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png" ContentType="image/png"/>
  <Default Extension="wmf" ContentType="image/x-wmf"/>
  <Default Extension="emf" ContentType="image/x-emf"/>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jc w:val="center"/>
        <w:rPr>
          <w:rFonts w:ascii="Times New Roman" w:hAnsi="Times New Roman" w:cs="Times New Roman"/>
          <w:color w:val="000000"/>
          <w:sz w:val="48"/>
          <w:szCs w:val="48"/>
        </w:rPr>
      </w:pPr>
      <w:bookmarkStart w:id="0" w:name="_Toc375206148"/>
      <w:bookmarkStart w:id="1" w:name="_Toc32642"/>
      <w:bookmarkStart w:id="2" w:name="_Toc485996374"/>
      <w:bookmarkStart w:id="3" w:name="_Toc443924632"/>
      <w:bookmarkStart w:id="4" w:name="_Toc11598"/>
      <w:r>
        <w:rPr>
          <w:rFonts w:ascii="Times New Roman" w:hAnsi="Times New Roman" w:cs="Times New Roman"/>
          <w:color w:val="000000"/>
          <w:sz w:val="48"/>
          <w:szCs w:val="48"/>
        </w:rPr>
        <w:t>目</w:t>
      </w:r>
      <w:r>
        <w:rPr>
          <w:rFonts w:hint="eastAsia" w:ascii="Times New Roman" w:hAnsi="Times New Roman" w:cs="Times New Roman"/>
          <w:color w:val="000000"/>
          <w:sz w:val="48"/>
          <w:szCs w:val="48"/>
        </w:rPr>
        <w:t>录</w:t>
      </w:r>
    </w:p>
    <w:p>
      <w:pPr>
        <w:pStyle w:val="29"/>
        <w:rPr>
          <w:rFonts w:ascii="Times New Roman" w:hAnsi="Times New Roman" w:cs="Times New Roman" w:eastAsiaTheme="minorEastAsia"/>
          <w:b w:val="0"/>
          <w:bCs w:val="0"/>
          <w:caps w:val="0"/>
          <w:kern w:val="2"/>
          <w:sz w:val="21"/>
          <w:szCs w:val="22"/>
        </w:rPr>
      </w:pPr>
      <w:r>
        <w:rPr>
          <w:rFonts w:ascii="Times New Roman" w:hAnsi="Times New Roman" w:cs="Times New Roman"/>
          <w:color w:val="000000"/>
        </w:rPr>
        <w:fldChar w:fldCharType="begin"/>
      </w:r>
      <w:r>
        <w:rPr>
          <w:rFonts w:ascii="Times New Roman" w:hAnsi="Times New Roman" w:cs="Times New Roman"/>
          <w:color w:val="000000"/>
        </w:rPr>
        <w:instrText xml:space="preserve"> TOC \o "1-2" \h \z \u </w:instrText>
      </w:r>
      <w:r>
        <w:rPr>
          <w:rFonts w:ascii="Times New Roman" w:hAnsi="Times New Roman" w:cs="Times New Roman"/>
          <w:color w:val="000000"/>
        </w:rPr>
        <w:fldChar w:fldCharType="separate"/>
      </w:r>
      <w:r>
        <w:fldChar w:fldCharType="begin"/>
      </w:r>
      <w:r>
        <w:instrText xml:space="preserve"> HYPERLINK \l "_Toc3019510" </w:instrText>
      </w:r>
      <w:r>
        <w:fldChar w:fldCharType="separate"/>
      </w:r>
      <w:r>
        <w:rPr>
          <w:rStyle w:val="56"/>
          <w:rFonts w:ascii="Times New Roman" w:hAnsi="Times New Roman" w:cs="Times New Roman"/>
        </w:rPr>
        <w:t>第一章   总则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_Toc3019510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34"/>
        <w:tabs>
          <w:tab w:val="right" w:leader="hyphen" w:pos="8720"/>
        </w:tabs>
        <w:rPr>
          <w:rFonts w:eastAsiaTheme="minorEastAsia"/>
          <w:szCs w:val="22"/>
        </w:rPr>
      </w:pPr>
      <w:r>
        <w:fldChar w:fldCharType="begin"/>
      </w:r>
      <w:r>
        <w:instrText xml:space="preserve"> HYPERLINK \l "_Toc3019511" </w:instrText>
      </w:r>
      <w:r>
        <w:fldChar w:fldCharType="separate"/>
      </w:r>
      <w:r>
        <w:rPr>
          <w:rStyle w:val="56"/>
        </w:rPr>
        <w:t>1.1 项目由来</w:t>
      </w:r>
      <w:r>
        <w:tab/>
      </w:r>
      <w:r>
        <w:fldChar w:fldCharType="begin"/>
      </w:r>
      <w:r>
        <w:instrText xml:space="preserve"> PAGEREF _Toc3019511 \h </w:instrText>
      </w:r>
      <w:r>
        <w:fldChar w:fldCharType="separate"/>
      </w:r>
      <w:r>
        <w:t>1</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"_Toc3019512" </w:instrText>
      </w:r>
      <w:r>
        <w:fldChar w:fldCharType="separate"/>
      </w:r>
      <w:r>
        <w:rPr>
          <w:rStyle w:val="56"/>
        </w:rPr>
        <w:t>1.2建设项目特点</w:t>
      </w:r>
      <w:r>
        <w:tab/>
      </w:r>
      <w:r>
        <w:fldChar w:fldCharType="begin"/>
      </w:r>
      <w:r>
        <w:instrText xml:space="preserve"> PAGEREF _Toc3019512 \h </w:instrText>
      </w:r>
      <w:r>
        <w:fldChar w:fldCharType="separate"/>
      </w:r>
      <w:r>
        <w:t>3</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"_Toc3019513" </w:instrText>
      </w:r>
      <w:r>
        <w:fldChar w:fldCharType="separate"/>
      </w:r>
      <w:r>
        <w:rPr>
          <w:rStyle w:val="56"/>
        </w:rPr>
        <w:t>1.3 环境影响评价的工作过程</w:t>
      </w:r>
      <w:r>
        <w:tab/>
      </w:r>
      <w:r>
        <w:fldChar w:fldCharType="begin"/>
      </w:r>
      <w:r>
        <w:instrText xml:space="preserve"> PAGEREF _Toc3019513 \h </w:instrText>
      </w:r>
      <w:r>
        <w:fldChar w:fldCharType="separate"/>
      </w:r>
      <w:r>
        <w:t>4</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"_Toc3019514" </w:instrText>
      </w:r>
      <w:r>
        <w:fldChar w:fldCharType="separate"/>
      </w:r>
      <w:r>
        <w:rPr>
          <w:rStyle w:val="56"/>
        </w:rPr>
        <w:t>1.4 关注的主要环境问题及环境影响</w:t>
      </w:r>
      <w:r>
        <w:tab/>
      </w:r>
      <w:r>
        <w:fldChar w:fldCharType="begin"/>
      </w:r>
      <w:r>
        <w:instrText xml:space="preserve"> PAGEREF _Toc3019514 \h </w:instrText>
      </w:r>
      <w:r>
        <w:fldChar w:fldCharType="separate"/>
      </w:r>
      <w:r>
        <w:t>5</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"_Toc3019515" </w:instrText>
      </w:r>
      <w:r>
        <w:fldChar w:fldCharType="separate"/>
      </w:r>
      <w:r>
        <w:rPr>
          <w:rStyle w:val="56"/>
        </w:rPr>
        <w:t>1.5 环境影响评价的主要结论</w:t>
      </w:r>
      <w:r>
        <w:tab/>
      </w:r>
      <w:r>
        <w:fldChar w:fldCharType="begin"/>
      </w:r>
      <w:r>
        <w:instrText xml:space="preserve"> PAGEREF _Toc3019515 \h </w:instrText>
      </w:r>
      <w:r>
        <w:fldChar w:fldCharType="separate"/>
      </w:r>
      <w:r>
        <w:t>5</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"_Toc3019516" </w:instrText>
      </w:r>
      <w:r>
        <w:fldChar w:fldCharType="separate"/>
      </w:r>
      <w:r>
        <w:rPr>
          <w:rStyle w:val="56"/>
        </w:rPr>
        <w:t>1.6 编制依据</w:t>
      </w:r>
      <w:r>
        <w:tab/>
      </w:r>
      <w:r>
        <w:fldChar w:fldCharType="begin"/>
      </w:r>
      <w:r>
        <w:instrText xml:space="preserve"> PAGEREF _Toc3019516 \h </w:instrText>
      </w:r>
      <w:r>
        <w:fldChar w:fldCharType="separate"/>
      </w:r>
      <w:r>
        <w:t>6</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"_Toc3019517" </w:instrText>
      </w:r>
      <w:r>
        <w:fldChar w:fldCharType="separate"/>
      </w:r>
      <w:r>
        <w:rPr>
          <w:rStyle w:val="56"/>
        </w:rPr>
        <w:t>1.7 评价对象、评价目的和评价重点</w:t>
      </w:r>
      <w:r>
        <w:tab/>
      </w:r>
      <w:r>
        <w:fldChar w:fldCharType="begin"/>
      </w:r>
      <w:r>
        <w:instrText xml:space="preserve"> PAGEREF _Toc3019517 \h </w:instrText>
      </w:r>
      <w:r>
        <w:fldChar w:fldCharType="separate"/>
      </w:r>
      <w:r>
        <w:t>8</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"_Toc3019518" </w:instrText>
      </w:r>
      <w:r>
        <w:fldChar w:fldCharType="separate"/>
      </w:r>
      <w:r>
        <w:rPr>
          <w:rStyle w:val="56"/>
        </w:rPr>
        <w:t>1.8 影响因素识别及评价因子筛选</w:t>
      </w:r>
      <w:r>
        <w:tab/>
      </w:r>
      <w:r>
        <w:fldChar w:fldCharType="begin"/>
      </w:r>
      <w:r>
        <w:instrText xml:space="preserve"> PAGEREF _Toc3019518 \h </w:instrText>
      </w:r>
      <w:r>
        <w:fldChar w:fldCharType="separate"/>
      </w:r>
      <w:r>
        <w:t>9</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"_Toc3019519" </w:instrText>
      </w:r>
      <w:r>
        <w:fldChar w:fldCharType="separate"/>
      </w:r>
      <w:r>
        <w:rPr>
          <w:rStyle w:val="56"/>
        </w:rPr>
        <w:t>1.9 评价标准</w:t>
      </w:r>
      <w:r>
        <w:tab/>
      </w:r>
      <w:r>
        <w:fldChar w:fldCharType="begin"/>
      </w:r>
      <w:r>
        <w:instrText xml:space="preserve"> PAGEREF _Toc3019519 \h </w:instrText>
      </w:r>
      <w:r>
        <w:fldChar w:fldCharType="separate"/>
      </w:r>
      <w:r>
        <w:t>10</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"_Toc3019520" </w:instrText>
      </w:r>
      <w:r>
        <w:fldChar w:fldCharType="separate"/>
      </w:r>
      <w:r>
        <w:rPr>
          <w:rStyle w:val="56"/>
        </w:rPr>
        <w:t>1.10 评价等级及评价范围</w:t>
      </w:r>
      <w:r>
        <w:tab/>
      </w:r>
      <w:r>
        <w:fldChar w:fldCharType="begin"/>
      </w:r>
      <w:r>
        <w:instrText xml:space="preserve"> PAGEREF _Toc3019520 \h </w:instrText>
      </w:r>
      <w:r>
        <w:fldChar w:fldCharType="separate"/>
      </w:r>
      <w:r>
        <w:t>13</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"_Toc3019521" </w:instrText>
      </w:r>
      <w:r>
        <w:fldChar w:fldCharType="separate"/>
      </w:r>
      <w:r>
        <w:rPr>
          <w:rStyle w:val="56"/>
        </w:rPr>
        <w:t>1.11工程特点和环境保护目标</w:t>
      </w:r>
      <w:r>
        <w:tab/>
      </w:r>
      <w:r>
        <w:fldChar w:fldCharType="begin"/>
      </w:r>
      <w:r>
        <w:instrText xml:space="preserve"> PAGEREF _Toc3019521 \h </w:instrText>
      </w:r>
      <w:r>
        <w:fldChar w:fldCharType="separate"/>
      </w:r>
      <w:r>
        <w:t>16</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"_Toc3019522" </w:instrText>
      </w:r>
      <w:r>
        <w:fldChar w:fldCharType="separate"/>
      </w:r>
      <w:r>
        <w:rPr>
          <w:rStyle w:val="56"/>
        </w:rPr>
        <w:t>1.12 评价专题设置</w:t>
      </w:r>
      <w:r>
        <w:tab/>
      </w:r>
      <w:r>
        <w:fldChar w:fldCharType="begin"/>
      </w:r>
      <w:r>
        <w:instrText xml:space="preserve"> PAGEREF _Toc3019522 \h </w:instrText>
      </w:r>
      <w:r>
        <w:fldChar w:fldCharType="separate"/>
      </w:r>
      <w:r>
        <w:t>19</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"_Toc3019523" </w:instrText>
      </w:r>
      <w:r>
        <w:fldChar w:fldCharType="separate"/>
      </w:r>
      <w:r>
        <w:rPr>
          <w:rStyle w:val="56"/>
        </w:rPr>
        <w:t>1.13 评价方法及工作程序</w:t>
      </w:r>
      <w:r>
        <w:tab/>
      </w:r>
      <w:r>
        <w:fldChar w:fldCharType="begin"/>
      </w:r>
      <w:r>
        <w:instrText xml:space="preserve"> PAGEREF _Toc3019523 \h </w:instrText>
      </w:r>
      <w:r>
        <w:fldChar w:fldCharType="separate"/>
      </w:r>
      <w:r>
        <w:t>20</w:t>
      </w:r>
      <w:r>
        <w:fldChar w:fldCharType="end"/>
      </w:r>
      <w:r>
        <w:fldChar w:fldCharType="end"/>
      </w:r>
    </w:p>
    <w:p>
      <w:pPr>
        <w:pStyle w:val="29"/>
        <w:rPr>
          <w:rFonts w:ascii="Times New Roman" w:hAnsi="Times New Roman" w:cs="Times New Roman" w:eastAsiaTheme="minorEastAsia"/>
          <w:b w:val="0"/>
          <w:bCs w:val="0"/>
          <w:caps w:val="0"/>
          <w:kern w:val="2"/>
          <w:sz w:val="21"/>
          <w:szCs w:val="22"/>
        </w:rPr>
      </w:pPr>
      <w:r>
        <w:fldChar w:fldCharType="begin"/>
      </w:r>
      <w:r>
        <w:instrText xml:space="preserve"> HYPERLINK \l "_Toc3019524" </w:instrText>
      </w:r>
      <w:r>
        <w:fldChar w:fldCharType="separate"/>
      </w:r>
      <w:r>
        <w:rPr>
          <w:rStyle w:val="56"/>
          <w:rFonts w:ascii="Times New Roman" w:hAnsi="Times New Roman" w:cs="Times New Roman"/>
        </w:rPr>
        <w:t>第二章  工程分析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_Toc3019524 \h </w:instrText>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r>
        <w:rPr>
          <w:rFonts w:ascii="Times New Roman" w:hAnsi="Times New Roman" w:cs="Times New Roman"/>
        </w:rPr>
        <w:fldChar w:fldCharType="end"/>
      </w:r>
    </w:p>
    <w:p>
      <w:pPr>
        <w:pStyle w:val="34"/>
        <w:tabs>
          <w:tab w:val="right" w:leader="hyphen" w:pos="8720"/>
        </w:tabs>
        <w:rPr>
          <w:rFonts w:eastAsiaTheme="minorEastAsia"/>
          <w:szCs w:val="22"/>
        </w:rPr>
      </w:pPr>
      <w:r>
        <w:fldChar w:fldCharType="begin"/>
      </w:r>
      <w:r>
        <w:instrText xml:space="preserve"> HYPERLINK \l "_Toc3019525" </w:instrText>
      </w:r>
      <w:r>
        <w:fldChar w:fldCharType="separate"/>
      </w:r>
      <w:r>
        <w:rPr>
          <w:rStyle w:val="56"/>
        </w:rPr>
        <w:t>2.1 建设项目概况</w:t>
      </w:r>
      <w:r>
        <w:tab/>
      </w:r>
      <w:r>
        <w:fldChar w:fldCharType="begin"/>
      </w:r>
      <w:r>
        <w:instrText xml:space="preserve"> PAGEREF _Toc3019525 \h </w:instrText>
      </w:r>
      <w:r>
        <w:fldChar w:fldCharType="separate"/>
      </w:r>
      <w:r>
        <w:t>22</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"_Toc3019526" </w:instrText>
      </w:r>
      <w:r>
        <w:fldChar w:fldCharType="separate"/>
      </w:r>
      <w:r>
        <w:rPr>
          <w:rStyle w:val="56"/>
        </w:rPr>
        <w:t>2.2项目工艺流程</w:t>
      </w:r>
      <w:r>
        <w:tab/>
      </w:r>
      <w:r>
        <w:fldChar w:fldCharType="begin"/>
      </w:r>
      <w:r>
        <w:instrText xml:space="preserve"> PAGEREF _Toc3019526 \h </w:instrText>
      </w:r>
      <w:r>
        <w:fldChar w:fldCharType="separate"/>
      </w:r>
      <w:r>
        <w:t>32</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"_Toc3019527" </w:instrText>
      </w:r>
      <w:r>
        <w:fldChar w:fldCharType="separate"/>
      </w:r>
      <w:r>
        <w:rPr>
          <w:rStyle w:val="56"/>
        </w:rPr>
        <w:t>2.3主要产污环节分析</w:t>
      </w:r>
      <w:r>
        <w:tab/>
      </w:r>
      <w:r>
        <w:fldChar w:fldCharType="begin"/>
      </w:r>
      <w:r>
        <w:instrText xml:space="preserve"> PAGEREF _Toc3019527 \h </w:instrText>
      </w:r>
      <w:r>
        <w:fldChar w:fldCharType="separate"/>
      </w:r>
      <w:r>
        <w:t>54</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"_Toc3019528" </w:instrText>
      </w:r>
      <w:r>
        <w:fldChar w:fldCharType="separate"/>
      </w:r>
      <w:r>
        <w:rPr>
          <w:rStyle w:val="56"/>
        </w:rPr>
        <w:t>2.4 项目主要污染物产排情况</w:t>
      </w:r>
      <w:r>
        <w:tab/>
      </w:r>
      <w:r>
        <w:fldChar w:fldCharType="begin"/>
      </w:r>
      <w:r>
        <w:instrText xml:space="preserve"> PAGEREF _Toc3019528 \h </w:instrText>
      </w:r>
      <w:r>
        <w:fldChar w:fldCharType="separate"/>
      </w:r>
      <w:r>
        <w:t>71</w:t>
      </w:r>
      <w:r>
        <w:fldChar w:fldCharType="end"/>
      </w:r>
      <w:r>
        <w:fldChar w:fldCharType="end"/>
      </w:r>
    </w:p>
    <w:p>
      <w:pPr>
        <w:pStyle w:val="29"/>
        <w:rPr>
          <w:rFonts w:ascii="Times New Roman" w:hAnsi="Times New Roman" w:cs="Times New Roman" w:eastAsiaTheme="minorEastAsia"/>
          <w:b w:val="0"/>
          <w:bCs w:val="0"/>
          <w:caps w:val="0"/>
          <w:kern w:val="2"/>
          <w:sz w:val="21"/>
          <w:szCs w:val="22"/>
        </w:rPr>
      </w:pPr>
      <w:r>
        <w:fldChar w:fldCharType="begin"/>
      </w:r>
      <w:r>
        <w:instrText xml:space="preserve"> HYPERLINK \l "_Toc3019529" </w:instrText>
      </w:r>
      <w:r>
        <w:fldChar w:fldCharType="separate"/>
      </w:r>
      <w:r>
        <w:rPr>
          <w:rStyle w:val="56"/>
          <w:rFonts w:ascii="Times New Roman" w:hAnsi="Times New Roman" w:cs="Times New Roman"/>
          <w:snapToGrid w:val="0"/>
        </w:rPr>
        <w:t>第三章  环境现状调查与评价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_Toc3019529 \h </w:instrText>
      </w:r>
      <w:r>
        <w:rPr>
          <w:rFonts w:ascii="Times New Roman" w:hAnsi="Times New Roman" w:cs="Times New Roman"/>
        </w:rPr>
        <w:fldChar w:fldCharType="separate"/>
      </w:r>
      <w:r>
        <w:rPr>
          <w:rFonts w:ascii="Times New Roman" w:hAnsi="Times New Roman" w:cs="Times New Roman"/>
        </w:rPr>
        <w:t>73</w:t>
      </w:r>
      <w:r>
        <w:rPr>
          <w:rFonts w:ascii="Times New Roman" w:hAnsi="Times New Roman" w:cs="Times New Roman"/>
        </w:rPr>
        <w:fldChar w:fldCharType="end"/>
      </w:r>
      <w:r>
        <w:rPr>
          <w:rFonts w:ascii="Times New Roman" w:hAnsi="Times New Roman" w:cs="Times New Roman"/>
        </w:rPr>
        <w:fldChar w:fldCharType="end"/>
      </w:r>
    </w:p>
    <w:p>
      <w:pPr>
        <w:pStyle w:val="34"/>
        <w:tabs>
          <w:tab w:val="right" w:leader="hyphen" w:pos="8720"/>
        </w:tabs>
        <w:rPr>
          <w:rFonts w:eastAsiaTheme="minorEastAsia"/>
          <w:szCs w:val="22"/>
        </w:rPr>
      </w:pPr>
      <w:r>
        <w:fldChar w:fldCharType="begin"/>
      </w:r>
      <w:r>
        <w:instrText xml:space="preserve"> HYPERLINK \l "_Toc3019530" </w:instrText>
      </w:r>
      <w:r>
        <w:fldChar w:fldCharType="separate"/>
      </w:r>
      <w:r>
        <w:rPr>
          <w:rStyle w:val="56"/>
          <w:bCs/>
        </w:rPr>
        <w:t>3.1自然现状调查与评价</w:t>
      </w:r>
      <w:r>
        <w:tab/>
      </w:r>
      <w:r>
        <w:fldChar w:fldCharType="begin"/>
      </w:r>
      <w:r>
        <w:instrText xml:space="preserve"> PAGEREF _Toc3019530 \h </w:instrText>
      </w:r>
      <w:r>
        <w:fldChar w:fldCharType="separate"/>
      </w:r>
      <w:r>
        <w:t>73</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"_Toc3019531" </w:instrText>
      </w:r>
      <w:r>
        <w:fldChar w:fldCharType="separate"/>
      </w:r>
      <w:r>
        <w:rPr>
          <w:rStyle w:val="56"/>
          <w:rFonts w:eastAsia="黑体"/>
          <w:bCs/>
        </w:rPr>
        <w:t>3.2环境保护目标调查</w:t>
      </w:r>
      <w:r>
        <w:tab/>
      </w:r>
      <w:r>
        <w:fldChar w:fldCharType="begin"/>
      </w:r>
      <w:r>
        <w:instrText xml:space="preserve"> PAGEREF _Toc3019531 \h </w:instrText>
      </w:r>
      <w:r>
        <w:fldChar w:fldCharType="separate"/>
      </w:r>
      <w:r>
        <w:t>76</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"_Toc3019532" </w:instrText>
      </w:r>
      <w:r>
        <w:fldChar w:fldCharType="separate"/>
      </w:r>
      <w:r>
        <w:rPr>
          <w:rStyle w:val="56"/>
          <w:rFonts w:eastAsia="黑体"/>
          <w:bCs/>
        </w:rPr>
        <w:t>3.3现状监测</w:t>
      </w:r>
      <w:r>
        <w:tab/>
      </w:r>
      <w:r>
        <w:fldChar w:fldCharType="begin"/>
      </w:r>
      <w:r>
        <w:instrText xml:space="preserve"> PAGEREF _Toc3019532 \h </w:instrText>
      </w:r>
      <w:r>
        <w:fldChar w:fldCharType="separate"/>
      </w:r>
      <w:r>
        <w:t>78</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"_Toc3019533" </w:instrText>
      </w:r>
      <w:r>
        <w:fldChar w:fldCharType="separate"/>
      </w:r>
      <w:r>
        <w:rPr>
          <w:rStyle w:val="56"/>
          <w:rFonts w:eastAsia="黑体"/>
          <w:bCs/>
        </w:rPr>
        <w:t>3.4区域污染源调查</w:t>
      </w:r>
      <w:r>
        <w:tab/>
      </w:r>
      <w:r>
        <w:fldChar w:fldCharType="begin"/>
      </w:r>
      <w:r>
        <w:instrText xml:space="preserve"> PAGEREF _Toc3019533 \h </w:instrText>
      </w:r>
      <w:r>
        <w:fldChar w:fldCharType="separate"/>
      </w:r>
      <w:r>
        <w:t>92</w:t>
      </w:r>
      <w:r>
        <w:fldChar w:fldCharType="end"/>
      </w:r>
      <w:r>
        <w:fldChar w:fldCharType="end"/>
      </w:r>
    </w:p>
    <w:p>
      <w:pPr>
        <w:pStyle w:val="29"/>
        <w:rPr>
          <w:rFonts w:ascii="Times New Roman" w:hAnsi="Times New Roman" w:cs="Times New Roman" w:eastAsiaTheme="minorEastAsia"/>
          <w:b w:val="0"/>
          <w:bCs w:val="0"/>
          <w:caps w:val="0"/>
          <w:kern w:val="2"/>
          <w:sz w:val="21"/>
          <w:szCs w:val="22"/>
        </w:rPr>
      </w:pPr>
      <w:r>
        <w:fldChar w:fldCharType="begin"/>
      </w:r>
      <w:r>
        <w:instrText xml:space="preserve"> HYPERLINK \l "_Toc3019534" </w:instrText>
      </w:r>
      <w:r>
        <w:fldChar w:fldCharType="separate"/>
      </w:r>
      <w:r>
        <w:rPr>
          <w:rStyle w:val="56"/>
          <w:rFonts w:ascii="Times New Roman" w:hAnsi="Times New Roman" w:cs="Times New Roman"/>
        </w:rPr>
        <w:t>第四章   环境影响预测与评价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_Toc3019534 \h </w:instrText>
      </w:r>
      <w:r>
        <w:rPr>
          <w:rFonts w:ascii="Times New Roman" w:hAnsi="Times New Roman" w:cs="Times New Roman"/>
        </w:rPr>
        <w:fldChar w:fldCharType="separate"/>
      </w:r>
      <w:r>
        <w:rPr>
          <w:rFonts w:ascii="Times New Roman" w:hAnsi="Times New Roman" w:cs="Times New Roman"/>
        </w:rPr>
        <w:t>93</w:t>
      </w:r>
      <w:r>
        <w:rPr>
          <w:rFonts w:ascii="Times New Roman" w:hAnsi="Times New Roman" w:cs="Times New Roman"/>
        </w:rPr>
        <w:fldChar w:fldCharType="end"/>
      </w:r>
      <w:r>
        <w:rPr>
          <w:rFonts w:ascii="Times New Roman" w:hAnsi="Times New Roman" w:cs="Times New Roman"/>
        </w:rPr>
        <w:fldChar w:fldCharType="end"/>
      </w:r>
    </w:p>
    <w:p>
      <w:pPr>
        <w:pStyle w:val="34"/>
        <w:tabs>
          <w:tab w:val="right" w:leader="hyphen" w:pos="8720"/>
        </w:tabs>
        <w:rPr>
          <w:rFonts w:eastAsiaTheme="minorEastAsia"/>
          <w:szCs w:val="22"/>
        </w:rPr>
      </w:pPr>
      <w:r>
        <w:fldChar w:fldCharType="begin"/>
      </w:r>
      <w:r>
        <w:instrText xml:space="preserve"> HYPERLINK \l "_Toc3019535" </w:instrText>
      </w:r>
      <w:r>
        <w:fldChar w:fldCharType="separate"/>
      </w:r>
      <w:r>
        <w:rPr>
          <w:rStyle w:val="56"/>
        </w:rPr>
        <w:t>4.1 施工期环境影响分析</w:t>
      </w:r>
      <w:r>
        <w:tab/>
      </w:r>
      <w:r>
        <w:fldChar w:fldCharType="begin"/>
      </w:r>
      <w:r>
        <w:instrText xml:space="preserve"> PAGEREF _Toc3019535 \h </w:instrText>
      </w:r>
      <w:r>
        <w:fldChar w:fldCharType="separate"/>
      </w:r>
      <w:r>
        <w:t>93</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"_Toc3019536" </w:instrText>
      </w:r>
      <w:r>
        <w:fldChar w:fldCharType="separate"/>
      </w:r>
      <w:r>
        <w:rPr>
          <w:rStyle w:val="56"/>
        </w:rPr>
        <w:t>4.2营运期环境影响预测与评价</w:t>
      </w:r>
      <w:r>
        <w:tab/>
      </w:r>
      <w:r>
        <w:fldChar w:fldCharType="begin"/>
      </w:r>
      <w:r>
        <w:instrText xml:space="preserve"> PAGEREF _Toc3019536 \h </w:instrText>
      </w:r>
      <w:r>
        <w:fldChar w:fldCharType="separate"/>
      </w:r>
      <w:r>
        <w:t>100</w:t>
      </w:r>
      <w:r>
        <w:fldChar w:fldCharType="end"/>
      </w:r>
      <w:r>
        <w:fldChar w:fldCharType="end"/>
      </w:r>
    </w:p>
    <w:p>
      <w:pPr>
        <w:pStyle w:val="29"/>
        <w:rPr>
          <w:rFonts w:ascii="Times New Roman" w:hAnsi="Times New Roman" w:cs="Times New Roman" w:eastAsiaTheme="minorEastAsia"/>
          <w:b w:val="0"/>
          <w:bCs w:val="0"/>
          <w:caps w:val="0"/>
          <w:kern w:val="2"/>
          <w:sz w:val="21"/>
          <w:szCs w:val="22"/>
        </w:rPr>
      </w:pPr>
      <w:r>
        <w:fldChar w:fldCharType="begin"/>
      </w:r>
      <w:r>
        <w:instrText xml:space="preserve"> HYPERLINK \l "_Toc3019537" </w:instrText>
      </w:r>
      <w:r>
        <w:fldChar w:fldCharType="separate"/>
      </w:r>
      <w:r>
        <w:rPr>
          <w:rStyle w:val="56"/>
          <w:rFonts w:ascii="Times New Roman" w:hAnsi="Times New Roman" w:cs="Times New Roman"/>
        </w:rPr>
        <w:t>第五章  环境保护措施及其可行性论证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_Toc3019537 \h </w:instrText>
      </w:r>
      <w:r>
        <w:rPr>
          <w:rFonts w:ascii="Times New Roman" w:hAnsi="Times New Roman" w:cs="Times New Roman"/>
        </w:rPr>
        <w:fldChar w:fldCharType="separate"/>
      </w:r>
      <w:r>
        <w:rPr>
          <w:rFonts w:ascii="Times New Roman" w:hAnsi="Times New Roman" w:cs="Times New Roman"/>
        </w:rPr>
        <w:t>141</w:t>
      </w:r>
      <w:r>
        <w:rPr>
          <w:rFonts w:ascii="Times New Roman" w:hAnsi="Times New Roman" w:cs="Times New Roman"/>
        </w:rPr>
        <w:fldChar w:fldCharType="end"/>
      </w:r>
      <w:r>
        <w:rPr>
          <w:rFonts w:ascii="Times New Roman" w:hAnsi="Times New Roman" w:cs="Times New Roman"/>
        </w:rPr>
        <w:fldChar w:fldCharType="end"/>
      </w:r>
    </w:p>
    <w:p>
      <w:pPr>
        <w:pStyle w:val="34"/>
        <w:tabs>
          <w:tab w:val="right" w:leader="hyphen" w:pos="8720"/>
        </w:tabs>
        <w:rPr>
          <w:rFonts w:eastAsiaTheme="minorEastAsia"/>
          <w:szCs w:val="22"/>
        </w:rPr>
      </w:pPr>
      <w:r>
        <w:fldChar w:fldCharType="begin"/>
      </w:r>
      <w:r>
        <w:instrText xml:space="preserve"> HYPERLINK \l "_Toc3019538" </w:instrText>
      </w:r>
      <w:r>
        <w:fldChar w:fldCharType="separate"/>
      </w:r>
      <w:r>
        <w:rPr>
          <w:rStyle w:val="56"/>
        </w:rPr>
        <w:t>5.1施工期污染防治措施</w:t>
      </w:r>
      <w:r>
        <w:tab/>
      </w:r>
      <w:r>
        <w:fldChar w:fldCharType="begin"/>
      </w:r>
      <w:r>
        <w:instrText xml:space="preserve"> PAGEREF _Toc3019538 \h </w:instrText>
      </w:r>
      <w:r>
        <w:fldChar w:fldCharType="separate"/>
      </w:r>
      <w:r>
        <w:t>141</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"_Toc3019539" </w:instrText>
      </w:r>
      <w:r>
        <w:fldChar w:fldCharType="separate"/>
      </w:r>
      <w:r>
        <w:rPr>
          <w:rStyle w:val="56"/>
        </w:rPr>
        <w:t>5.2营运期污染防治措施</w:t>
      </w:r>
      <w:r>
        <w:tab/>
      </w:r>
      <w:r>
        <w:fldChar w:fldCharType="begin"/>
      </w:r>
      <w:r>
        <w:instrText xml:space="preserve"> PAGEREF _Toc3019539 \h </w:instrText>
      </w:r>
      <w:r>
        <w:fldChar w:fldCharType="separate"/>
      </w:r>
      <w:r>
        <w:t>143</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"_Toc3019540" </w:instrText>
      </w:r>
      <w:r>
        <w:fldChar w:fldCharType="separate"/>
      </w:r>
      <w:r>
        <w:rPr>
          <w:rStyle w:val="56"/>
        </w:rPr>
        <w:t>5.3 污染防治环保投资估算</w:t>
      </w:r>
      <w:r>
        <w:tab/>
      </w:r>
      <w:r>
        <w:fldChar w:fldCharType="begin"/>
      </w:r>
      <w:r>
        <w:instrText xml:space="preserve"> PAGEREF _Toc3019540 \h </w:instrText>
      </w:r>
      <w:r>
        <w:fldChar w:fldCharType="separate"/>
      </w:r>
      <w:r>
        <w:t>170</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"_Toc3019541" </w:instrText>
      </w:r>
      <w:r>
        <w:fldChar w:fldCharType="separate"/>
      </w:r>
      <w:r>
        <w:rPr>
          <w:rStyle w:val="56"/>
        </w:rPr>
        <w:t>5.4环保投资竣工验收内容</w:t>
      </w:r>
      <w:r>
        <w:tab/>
      </w:r>
      <w:r>
        <w:fldChar w:fldCharType="begin"/>
      </w:r>
      <w:r>
        <w:instrText xml:space="preserve"> PAGEREF _Toc3019541 \h </w:instrText>
      </w:r>
      <w:r>
        <w:fldChar w:fldCharType="separate"/>
      </w:r>
      <w:r>
        <w:t>172</w:t>
      </w:r>
      <w:r>
        <w:fldChar w:fldCharType="end"/>
      </w:r>
      <w:r>
        <w:fldChar w:fldCharType="end"/>
      </w:r>
    </w:p>
    <w:p>
      <w:pPr>
        <w:pStyle w:val="29"/>
        <w:rPr>
          <w:rFonts w:ascii="Times New Roman" w:hAnsi="Times New Roman" w:cs="Times New Roman" w:eastAsiaTheme="minorEastAsia"/>
          <w:b w:val="0"/>
          <w:bCs w:val="0"/>
          <w:caps w:val="0"/>
          <w:kern w:val="2"/>
          <w:sz w:val="21"/>
          <w:szCs w:val="22"/>
        </w:rPr>
      </w:pPr>
      <w:r>
        <w:fldChar w:fldCharType="begin"/>
      </w:r>
      <w:r>
        <w:instrText xml:space="preserve"> HYPERLINK \l "_Toc3019542" </w:instrText>
      </w:r>
      <w:r>
        <w:fldChar w:fldCharType="separate"/>
      </w:r>
      <w:r>
        <w:rPr>
          <w:rStyle w:val="56"/>
          <w:rFonts w:ascii="Times New Roman" w:hAnsi="Times New Roman" w:cs="Times New Roman"/>
        </w:rPr>
        <w:t>第六章   环境管理与环境监测计划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_Toc3019542 \h </w:instrText>
      </w:r>
      <w:r>
        <w:rPr>
          <w:rFonts w:ascii="Times New Roman" w:hAnsi="Times New Roman" w:cs="Times New Roman"/>
        </w:rPr>
        <w:fldChar w:fldCharType="separate"/>
      </w:r>
      <w:r>
        <w:rPr>
          <w:rFonts w:ascii="Times New Roman" w:hAnsi="Times New Roman" w:cs="Times New Roman"/>
        </w:rPr>
        <w:t>177</w:t>
      </w:r>
      <w:r>
        <w:rPr>
          <w:rFonts w:ascii="Times New Roman" w:hAnsi="Times New Roman" w:cs="Times New Roman"/>
        </w:rPr>
        <w:fldChar w:fldCharType="end"/>
      </w:r>
      <w:r>
        <w:rPr>
          <w:rFonts w:ascii="Times New Roman" w:hAnsi="Times New Roman" w:cs="Times New Roman"/>
        </w:rPr>
        <w:fldChar w:fldCharType="end"/>
      </w:r>
    </w:p>
    <w:p>
      <w:pPr>
        <w:pStyle w:val="34"/>
        <w:tabs>
          <w:tab w:val="right" w:leader="hyphen" w:pos="8720"/>
        </w:tabs>
        <w:rPr>
          <w:rFonts w:eastAsiaTheme="minorEastAsia"/>
          <w:szCs w:val="22"/>
        </w:rPr>
      </w:pPr>
      <w:r>
        <w:fldChar w:fldCharType="begin"/>
      </w:r>
      <w:r>
        <w:instrText xml:space="preserve"> HYPERLINK \l "_Toc3019543" </w:instrText>
      </w:r>
      <w:r>
        <w:fldChar w:fldCharType="separate"/>
      </w:r>
      <w:r>
        <w:rPr>
          <w:rStyle w:val="56"/>
        </w:rPr>
        <w:t>6.1 环境管理计划</w:t>
      </w:r>
      <w:r>
        <w:tab/>
      </w:r>
      <w:r>
        <w:fldChar w:fldCharType="begin"/>
      </w:r>
      <w:r>
        <w:instrText xml:space="preserve"> PAGEREF _Toc3019543 \h </w:instrText>
      </w:r>
      <w:r>
        <w:fldChar w:fldCharType="separate"/>
      </w:r>
      <w:r>
        <w:t>177</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"_Toc3019544" </w:instrText>
      </w:r>
      <w:r>
        <w:fldChar w:fldCharType="separate"/>
      </w:r>
      <w:r>
        <w:rPr>
          <w:rStyle w:val="56"/>
        </w:rPr>
        <w:t>6.2 环境监测制度建议</w:t>
      </w:r>
      <w:r>
        <w:tab/>
      </w:r>
      <w:r>
        <w:fldChar w:fldCharType="begin"/>
      </w:r>
      <w:r>
        <w:instrText xml:space="preserve"> PAGEREF _Toc3019544 \h </w:instrText>
      </w:r>
      <w:r>
        <w:fldChar w:fldCharType="separate"/>
      </w:r>
      <w:r>
        <w:t>179</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"_Toc3019545" </w:instrText>
      </w:r>
      <w:r>
        <w:fldChar w:fldCharType="separate"/>
      </w:r>
      <w:r>
        <w:rPr>
          <w:rStyle w:val="56"/>
          <w:rFonts w:eastAsia="黑体"/>
          <w:kern w:val="0"/>
        </w:rPr>
        <w:t>6.3 环保“三同时”验收一览表</w:t>
      </w:r>
      <w:r>
        <w:tab/>
      </w:r>
      <w:r>
        <w:fldChar w:fldCharType="begin"/>
      </w:r>
      <w:r>
        <w:instrText xml:space="preserve"> PAGEREF _Toc3019545 \h </w:instrText>
      </w:r>
      <w:r>
        <w:fldChar w:fldCharType="separate"/>
      </w:r>
      <w:r>
        <w:t>180</w:t>
      </w:r>
      <w:r>
        <w:fldChar w:fldCharType="end"/>
      </w:r>
      <w:r>
        <w:fldChar w:fldCharType="end"/>
      </w:r>
    </w:p>
    <w:p>
      <w:pPr>
        <w:pStyle w:val="29"/>
        <w:rPr>
          <w:rFonts w:ascii="Times New Roman" w:hAnsi="Times New Roman" w:cs="Times New Roman" w:eastAsiaTheme="minorEastAsia"/>
          <w:b w:val="0"/>
          <w:bCs w:val="0"/>
          <w:caps w:val="0"/>
          <w:kern w:val="2"/>
          <w:sz w:val="21"/>
          <w:szCs w:val="22"/>
        </w:rPr>
      </w:pPr>
      <w:r>
        <w:fldChar w:fldCharType="begin"/>
      </w:r>
      <w:r>
        <w:instrText xml:space="preserve"> HYPERLINK \l "_Toc3019546" </w:instrText>
      </w:r>
      <w:r>
        <w:fldChar w:fldCharType="separate"/>
      </w:r>
      <w:r>
        <w:rPr>
          <w:rStyle w:val="56"/>
          <w:rFonts w:ascii="Times New Roman" w:hAnsi="Times New Roman" w:cs="Times New Roman"/>
        </w:rPr>
        <w:t>第七章   环境经济损益分析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_Toc3019546 \h </w:instrText>
      </w:r>
      <w:r>
        <w:rPr>
          <w:rFonts w:ascii="Times New Roman" w:hAnsi="Times New Roman" w:cs="Times New Roman"/>
        </w:rPr>
        <w:fldChar w:fldCharType="separate"/>
      </w:r>
      <w:r>
        <w:rPr>
          <w:rFonts w:ascii="Times New Roman" w:hAnsi="Times New Roman" w:cs="Times New Roman"/>
        </w:rPr>
        <w:t>185</w:t>
      </w:r>
      <w:r>
        <w:rPr>
          <w:rFonts w:ascii="Times New Roman" w:hAnsi="Times New Roman" w:cs="Times New Roman"/>
        </w:rPr>
        <w:fldChar w:fldCharType="end"/>
      </w:r>
      <w:r>
        <w:rPr>
          <w:rFonts w:ascii="Times New Roman" w:hAnsi="Times New Roman" w:cs="Times New Roman"/>
        </w:rPr>
        <w:fldChar w:fldCharType="end"/>
      </w:r>
    </w:p>
    <w:p>
      <w:pPr>
        <w:pStyle w:val="34"/>
        <w:tabs>
          <w:tab w:val="right" w:leader="hyphen" w:pos="8720"/>
        </w:tabs>
        <w:rPr>
          <w:rFonts w:eastAsiaTheme="minorEastAsia"/>
          <w:szCs w:val="22"/>
        </w:rPr>
      </w:pPr>
      <w:r>
        <w:fldChar w:fldCharType="begin"/>
      </w:r>
      <w:r>
        <w:instrText xml:space="preserve"> HYPERLINK \l "_Toc3019547" </w:instrText>
      </w:r>
      <w:r>
        <w:fldChar w:fldCharType="separate"/>
      </w:r>
      <w:r>
        <w:rPr>
          <w:rStyle w:val="56"/>
        </w:rPr>
        <w:t>7.1 环保投资估算</w:t>
      </w:r>
      <w:r>
        <w:tab/>
      </w:r>
      <w:r>
        <w:fldChar w:fldCharType="begin"/>
      </w:r>
      <w:r>
        <w:instrText xml:space="preserve"> PAGEREF _Toc3019547 \h </w:instrText>
      </w:r>
      <w:r>
        <w:fldChar w:fldCharType="separate"/>
      </w:r>
      <w:r>
        <w:t>185</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"_Toc3019548" </w:instrText>
      </w:r>
      <w:r>
        <w:fldChar w:fldCharType="separate"/>
      </w:r>
      <w:r>
        <w:rPr>
          <w:rStyle w:val="56"/>
        </w:rPr>
        <w:t>7.2 环境影响经济损失分析</w:t>
      </w:r>
      <w:r>
        <w:tab/>
      </w:r>
      <w:r>
        <w:fldChar w:fldCharType="begin"/>
      </w:r>
      <w:r>
        <w:instrText xml:space="preserve"> PAGEREF _Toc3019548 \h </w:instrText>
      </w:r>
      <w:r>
        <w:fldChar w:fldCharType="separate"/>
      </w:r>
      <w:r>
        <w:t>185</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"_Toc3019549" </w:instrText>
      </w:r>
      <w:r>
        <w:fldChar w:fldCharType="separate"/>
      </w:r>
      <w:r>
        <w:rPr>
          <w:rStyle w:val="56"/>
        </w:rPr>
        <w:t>7.3 经济效益分析</w:t>
      </w:r>
      <w:r>
        <w:tab/>
      </w:r>
      <w:r>
        <w:fldChar w:fldCharType="begin"/>
      </w:r>
      <w:r>
        <w:instrText xml:space="preserve"> PAGEREF _Toc3019549 \h </w:instrText>
      </w:r>
      <w:r>
        <w:fldChar w:fldCharType="separate"/>
      </w:r>
      <w:r>
        <w:t>187</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"_Toc3019550" </w:instrText>
      </w:r>
      <w:r>
        <w:fldChar w:fldCharType="separate"/>
      </w:r>
      <w:r>
        <w:rPr>
          <w:rStyle w:val="56"/>
        </w:rPr>
        <w:t>7.4 环境效益分析</w:t>
      </w:r>
      <w:r>
        <w:tab/>
      </w:r>
      <w:r>
        <w:fldChar w:fldCharType="begin"/>
      </w:r>
      <w:r>
        <w:instrText xml:space="preserve"> PAGEREF _Toc3019550 \h </w:instrText>
      </w:r>
      <w:r>
        <w:fldChar w:fldCharType="separate"/>
      </w:r>
      <w:r>
        <w:t>187</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"_Toc3019551" </w:instrText>
      </w:r>
      <w:r>
        <w:fldChar w:fldCharType="separate"/>
      </w:r>
      <w:r>
        <w:rPr>
          <w:rStyle w:val="56"/>
        </w:rPr>
        <w:t>7.5 社会效益分析</w:t>
      </w:r>
      <w:r>
        <w:tab/>
      </w:r>
      <w:r>
        <w:fldChar w:fldCharType="begin"/>
      </w:r>
      <w:r>
        <w:instrText xml:space="preserve"> PAGEREF _Toc3019551 \h </w:instrText>
      </w:r>
      <w:r>
        <w:fldChar w:fldCharType="separate"/>
      </w:r>
      <w:r>
        <w:t>188</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"_Toc3019552" </w:instrText>
      </w:r>
      <w:r>
        <w:fldChar w:fldCharType="separate"/>
      </w:r>
      <w:r>
        <w:rPr>
          <w:rStyle w:val="56"/>
        </w:rPr>
        <w:t>7.6 生态效益</w:t>
      </w:r>
      <w:r>
        <w:tab/>
      </w:r>
      <w:r>
        <w:fldChar w:fldCharType="begin"/>
      </w:r>
      <w:r>
        <w:instrText xml:space="preserve"> PAGEREF _Toc3019552 \h </w:instrText>
      </w:r>
      <w:r>
        <w:fldChar w:fldCharType="separate"/>
      </w:r>
      <w:r>
        <w:t>189</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"_Toc3019553" </w:instrText>
      </w:r>
      <w:r>
        <w:fldChar w:fldCharType="separate"/>
      </w:r>
      <w:r>
        <w:rPr>
          <w:rStyle w:val="56"/>
        </w:rPr>
        <w:t>7.7 分析结论</w:t>
      </w:r>
      <w:r>
        <w:tab/>
      </w:r>
      <w:r>
        <w:fldChar w:fldCharType="begin"/>
      </w:r>
      <w:r>
        <w:instrText xml:space="preserve"> PAGEREF _Toc3019553 \h </w:instrText>
      </w:r>
      <w:r>
        <w:fldChar w:fldCharType="separate"/>
      </w:r>
      <w:r>
        <w:t>189</w:t>
      </w:r>
      <w:r>
        <w:fldChar w:fldCharType="end"/>
      </w:r>
      <w:r>
        <w:fldChar w:fldCharType="end"/>
      </w:r>
    </w:p>
    <w:p>
      <w:pPr>
        <w:pStyle w:val="29"/>
        <w:rPr>
          <w:rFonts w:ascii="Times New Roman" w:hAnsi="Times New Roman" w:cs="Times New Roman" w:eastAsiaTheme="minorEastAsia"/>
          <w:b w:val="0"/>
          <w:bCs w:val="0"/>
          <w:caps w:val="0"/>
          <w:kern w:val="2"/>
          <w:sz w:val="21"/>
          <w:szCs w:val="22"/>
        </w:rPr>
      </w:pPr>
      <w:r>
        <w:fldChar w:fldCharType="begin"/>
      </w:r>
      <w:r>
        <w:instrText xml:space="preserve"> HYPERLINK \l "_Toc3019554" </w:instrText>
      </w:r>
      <w:r>
        <w:fldChar w:fldCharType="separate"/>
      </w:r>
      <w:r>
        <w:rPr>
          <w:rStyle w:val="56"/>
          <w:rFonts w:ascii="Times New Roman" w:hAnsi="Times New Roman" w:cs="Times New Roman"/>
        </w:rPr>
        <w:t>第八章 场址选择及场区平面布置合理性分析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_Toc3019554 \h </w:instrText>
      </w:r>
      <w:r>
        <w:rPr>
          <w:rFonts w:ascii="Times New Roman" w:hAnsi="Times New Roman" w:cs="Times New Roman"/>
        </w:rPr>
        <w:fldChar w:fldCharType="separate"/>
      </w:r>
      <w:r>
        <w:rPr>
          <w:rFonts w:ascii="Times New Roman" w:hAnsi="Times New Roman" w:cs="Times New Roman"/>
        </w:rPr>
        <w:t>190</w:t>
      </w:r>
      <w:r>
        <w:rPr>
          <w:rFonts w:ascii="Times New Roman" w:hAnsi="Times New Roman" w:cs="Times New Roman"/>
        </w:rPr>
        <w:fldChar w:fldCharType="end"/>
      </w:r>
      <w:r>
        <w:rPr>
          <w:rFonts w:ascii="Times New Roman" w:hAnsi="Times New Roman" w:cs="Times New Roman"/>
        </w:rPr>
        <w:fldChar w:fldCharType="end"/>
      </w:r>
    </w:p>
    <w:p>
      <w:pPr>
        <w:pStyle w:val="34"/>
        <w:tabs>
          <w:tab w:val="right" w:leader="hyphen" w:pos="8720"/>
        </w:tabs>
        <w:rPr>
          <w:rFonts w:eastAsiaTheme="minorEastAsia"/>
          <w:szCs w:val="22"/>
        </w:rPr>
      </w:pPr>
      <w:r>
        <w:fldChar w:fldCharType="begin"/>
      </w:r>
      <w:r>
        <w:instrText xml:space="preserve"> HYPERLINK \l "_Toc3019555" </w:instrText>
      </w:r>
      <w:r>
        <w:fldChar w:fldCharType="separate"/>
      </w:r>
      <w:r>
        <w:rPr>
          <w:rStyle w:val="56"/>
        </w:rPr>
        <w:t>8.1 场址可行性分析</w:t>
      </w:r>
      <w:r>
        <w:tab/>
      </w:r>
      <w:r>
        <w:fldChar w:fldCharType="begin"/>
      </w:r>
      <w:r>
        <w:instrText xml:space="preserve"> PAGEREF _Toc3019555 \h </w:instrText>
      </w:r>
      <w:r>
        <w:fldChar w:fldCharType="separate"/>
      </w:r>
      <w:r>
        <w:t>190</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"_Toc3019556" </w:instrText>
      </w:r>
      <w:r>
        <w:fldChar w:fldCharType="separate"/>
      </w:r>
      <w:r>
        <w:rPr>
          <w:rStyle w:val="56"/>
        </w:rPr>
        <w:t>8.2 场区平面布置合理性分析</w:t>
      </w:r>
      <w:r>
        <w:tab/>
      </w:r>
      <w:r>
        <w:fldChar w:fldCharType="begin"/>
      </w:r>
      <w:r>
        <w:instrText xml:space="preserve"> PAGEREF _Toc3019556 \h </w:instrText>
      </w:r>
      <w:r>
        <w:fldChar w:fldCharType="separate"/>
      </w:r>
      <w:r>
        <w:t>197</w:t>
      </w:r>
      <w:r>
        <w:fldChar w:fldCharType="end"/>
      </w:r>
      <w:r>
        <w:fldChar w:fldCharType="end"/>
      </w:r>
    </w:p>
    <w:p>
      <w:pPr>
        <w:pStyle w:val="29"/>
        <w:rPr>
          <w:rFonts w:ascii="Times New Roman" w:hAnsi="Times New Roman" w:cs="Times New Roman" w:eastAsiaTheme="minorEastAsia"/>
          <w:b w:val="0"/>
          <w:bCs w:val="0"/>
          <w:caps w:val="0"/>
          <w:kern w:val="2"/>
          <w:sz w:val="21"/>
          <w:szCs w:val="22"/>
        </w:rPr>
      </w:pPr>
      <w:r>
        <w:fldChar w:fldCharType="begin"/>
      </w:r>
      <w:r>
        <w:instrText xml:space="preserve"> HYPERLINK \l "_Toc3019557" </w:instrText>
      </w:r>
      <w:r>
        <w:fldChar w:fldCharType="separate"/>
      </w:r>
      <w:r>
        <w:rPr>
          <w:rStyle w:val="56"/>
          <w:rFonts w:ascii="Times New Roman" w:hAnsi="Times New Roman" w:cs="Times New Roman"/>
        </w:rPr>
        <w:t>第九章  评价结论与建议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_Toc3019557 \h </w:instrText>
      </w:r>
      <w:r>
        <w:rPr>
          <w:rFonts w:ascii="Times New Roman" w:hAnsi="Times New Roman" w:cs="Times New Roman"/>
        </w:rPr>
        <w:fldChar w:fldCharType="separate"/>
      </w:r>
      <w:r>
        <w:rPr>
          <w:rFonts w:ascii="Times New Roman" w:hAnsi="Times New Roman" w:cs="Times New Roman"/>
        </w:rPr>
        <w:t>199</w:t>
      </w:r>
      <w:r>
        <w:rPr>
          <w:rFonts w:ascii="Times New Roman" w:hAnsi="Times New Roman" w:cs="Times New Roman"/>
        </w:rPr>
        <w:fldChar w:fldCharType="end"/>
      </w:r>
      <w:r>
        <w:rPr>
          <w:rFonts w:ascii="Times New Roman" w:hAnsi="Times New Roman" w:cs="Times New Roman"/>
        </w:rPr>
        <w:fldChar w:fldCharType="end"/>
      </w:r>
    </w:p>
    <w:p>
      <w:pPr>
        <w:pStyle w:val="34"/>
        <w:tabs>
          <w:tab w:val="right" w:leader="hyphen" w:pos="8720"/>
        </w:tabs>
        <w:rPr>
          <w:rFonts w:eastAsiaTheme="minorEastAsia"/>
          <w:szCs w:val="22"/>
        </w:rPr>
      </w:pPr>
      <w:r>
        <w:fldChar w:fldCharType="begin"/>
      </w:r>
      <w:r>
        <w:instrText xml:space="preserve"> HYPERLINK \l "_Toc3019558" </w:instrText>
      </w:r>
      <w:r>
        <w:fldChar w:fldCharType="separate"/>
      </w:r>
      <w:r>
        <w:rPr>
          <w:rStyle w:val="56"/>
        </w:rPr>
        <w:t>9.1评价结论</w:t>
      </w:r>
      <w:r>
        <w:tab/>
      </w:r>
      <w:r>
        <w:fldChar w:fldCharType="begin"/>
      </w:r>
      <w:r>
        <w:instrText xml:space="preserve"> PAGEREF _Toc3019558 \h </w:instrText>
      </w:r>
      <w:r>
        <w:fldChar w:fldCharType="separate"/>
      </w:r>
      <w:r>
        <w:t>199</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"_Toc3019559" </w:instrText>
      </w:r>
      <w:r>
        <w:fldChar w:fldCharType="separate"/>
      </w:r>
      <w:r>
        <w:rPr>
          <w:rStyle w:val="56"/>
        </w:rPr>
        <w:t>9.2对策建议</w:t>
      </w:r>
      <w:r>
        <w:tab/>
      </w:r>
      <w:r>
        <w:fldChar w:fldCharType="begin"/>
      </w:r>
      <w:r>
        <w:instrText xml:space="preserve"> PAGEREF _Toc3019559 \h </w:instrText>
      </w:r>
      <w:r>
        <w:fldChar w:fldCharType="separate"/>
      </w:r>
      <w:r>
        <w:t>203</w:t>
      </w:r>
      <w:r>
        <w:fldChar w:fldCharType="end"/>
      </w:r>
      <w:r>
        <w:fldChar w:fldCharType="end"/>
      </w:r>
    </w:p>
    <w:p>
      <w:pPr>
        <w:pStyle w:val="34"/>
        <w:tabs>
          <w:tab w:val="right" w:leader="hyphen" w:pos="8720"/>
        </w:tabs>
        <w:rPr>
          <w:rFonts w:eastAsiaTheme="minorEastAsia"/>
          <w:szCs w:val="22"/>
        </w:rPr>
      </w:pPr>
      <w:r>
        <w:fldChar w:fldCharType="begin"/>
      </w:r>
      <w:r>
        <w:instrText xml:space="preserve"> HYPERLINK \l "_Toc3019560" </w:instrText>
      </w:r>
      <w:r>
        <w:fldChar w:fldCharType="separate"/>
      </w:r>
      <w:r>
        <w:rPr>
          <w:rStyle w:val="56"/>
        </w:rPr>
        <w:t>9.3评价总结论</w:t>
      </w:r>
      <w:r>
        <w:tab/>
      </w:r>
      <w:r>
        <w:fldChar w:fldCharType="begin"/>
      </w:r>
      <w:r>
        <w:instrText xml:space="preserve"> PAGEREF _Toc3019560 \h </w:instrText>
      </w:r>
      <w:r>
        <w:fldChar w:fldCharType="separate"/>
      </w:r>
      <w:r>
        <w:t>204</w:t>
      </w:r>
      <w:r>
        <w:fldChar w:fldCharType="end"/>
      </w:r>
      <w:r>
        <w:fldChar w:fldCharType="end"/>
      </w:r>
    </w:p>
    <w:p>
      <w:pPr>
        <w:spacing w:line="440" w:lineRule="exact"/>
        <w:rPr>
          <w:color w:val="000000"/>
          <w:sz w:val="24"/>
        </w:rPr>
      </w:pPr>
      <w:r>
        <w:rPr>
          <w:color w:val="000000"/>
          <w:sz w:val="24"/>
        </w:rPr>
        <w:fldChar w:fldCharType="end"/>
      </w:r>
    </w:p>
    <w:p>
      <w:pPr>
        <w:pStyle w:val="120"/>
        <w:adjustRightInd/>
        <w:spacing w:line="360" w:lineRule="auto"/>
        <w:ind w:firstLineChars="200"/>
        <w:rPr>
          <w:b/>
        </w:rPr>
        <w:sectPr>
          <w:footerReference r:id="rId3" w:type="default"/>
          <w:pgSz w:w="11906" w:h="16838"/>
          <w:pgMar w:top="1701" w:right="1588" w:bottom="1985" w:left="1588" w:header="851" w:footer="992" w:gutter="0"/>
          <w:pgNumType w:fmt="upperRoman"/>
          <w:cols w:space="720" w:num="1"/>
          <w:docGrid w:type="lines" w:linePitch="312" w:charSpace="0"/>
        </w:sectPr>
      </w:pPr>
    </w:p>
    <w:p>
      <w:pPr>
        <w:pStyle w:val="120"/>
        <w:adjustRightInd/>
        <w:spacing w:line="360" w:lineRule="auto"/>
        <w:ind w:firstLineChars="200"/>
        <w:rPr>
          <w:b/>
        </w:rPr>
      </w:pPr>
      <w:r>
        <w:rPr>
          <w:b/>
        </w:rPr>
        <w:t>附图：</w:t>
      </w:r>
    </w:p>
    <w:p>
      <w:pPr>
        <w:pStyle w:val="120"/>
        <w:spacing w:line="360" w:lineRule="auto"/>
        <w:ind w:firstLine="480" w:firstLineChars="200"/>
      </w:pPr>
      <w:r>
        <w:t>附图一  项目区域位置图</w:t>
      </w:r>
    </w:p>
    <w:p>
      <w:pPr>
        <w:pStyle w:val="120"/>
        <w:spacing w:line="360" w:lineRule="auto"/>
        <w:ind w:firstLine="480" w:firstLineChars="200"/>
      </w:pPr>
      <w:r>
        <w:t>附图二  周围敏感点分布图</w:t>
      </w:r>
    </w:p>
    <w:p>
      <w:pPr>
        <w:pStyle w:val="120"/>
        <w:spacing w:line="360" w:lineRule="auto"/>
        <w:ind w:firstLine="480" w:firstLineChars="200"/>
      </w:pPr>
      <w:r>
        <w:t>附图三  项目平面布置图</w:t>
      </w:r>
    </w:p>
    <w:p>
      <w:pPr>
        <w:pStyle w:val="120"/>
        <w:spacing w:line="360" w:lineRule="auto"/>
        <w:ind w:firstLine="480" w:firstLineChars="200"/>
      </w:pPr>
      <w:r>
        <w:t>附图四  项目区域水系图</w:t>
      </w:r>
    </w:p>
    <w:p>
      <w:pPr>
        <w:pStyle w:val="120"/>
        <w:spacing w:line="360" w:lineRule="auto"/>
        <w:ind w:firstLine="480" w:firstLineChars="200"/>
      </w:pPr>
      <w:r>
        <w:t>附图五  项目环境监测点分布图</w:t>
      </w:r>
    </w:p>
    <w:p>
      <w:pPr>
        <w:pStyle w:val="120"/>
        <w:spacing w:line="360" w:lineRule="auto"/>
        <w:ind w:firstLine="480" w:firstLineChars="200"/>
      </w:pPr>
      <w:r>
        <w:t>附图六  驻马店生态区划图</w:t>
      </w:r>
    </w:p>
    <w:p>
      <w:pPr>
        <w:pStyle w:val="120"/>
        <w:spacing w:line="360" w:lineRule="auto"/>
        <w:ind w:firstLine="480" w:firstLineChars="200"/>
      </w:pPr>
      <w:r>
        <w:t>附图七  项目卫生防护距离包络线图</w:t>
      </w:r>
    </w:p>
    <w:p>
      <w:pPr>
        <w:pStyle w:val="120"/>
        <w:spacing w:line="360" w:lineRule="auto"/>
        <w:ind w:firstLine="480" w:firstLineChars="200"/>
      </w:pPr>
      <w:r>
        <w:t>附图八  项目配套灌溉管网布置图</w:t>
      </w:r>
    </w:p>
    <w:p>
      <w:pPr>
        <w:pStyle w:val="120"/>
        <w:spacing w:line="360" w:lineRule="auto"/>
        <w:ind w:firstLine="480" w:firstLineChars="200"/>
      </w:pPr>
      <w:r>
        <w:t>附图</w:t>
      </w:r>
      <w:r>
        <w:rPr>
          <w:rFonts w:hint="eastAsia"/>
        </w:rPr>
        <w:t>九</w:t>
      </w:r>
      <w:r>
        <w:t xml:space="preserve">  项目</w:t>
      </w:r>
      <w:r>
        <w:rPr>
          <w:rFonts w:hint="eastAsia"/>
        </w:rPr>
        <w:t>分区防渗</w:t>
      </w:r>
      <w:r>
        <w:t>图</w:t>
      </w:r>
    </w:p>
    <w:p>
      <w:pPr>
        <w:pStyle w:val="120"/>
        <w:spacing w:line="360" w:lineRule="auto"/>
        <w:ind w:firstLine="480" w:firstLineChars="200"/>
      </w:pPr>
    </w:p>
    <w:p>
      <w:pPr>
        <w:pStyle w:val="120"/>
        <w:spacing w:line="360" w:lineRule="auto"/>
        <w:ind w:firstLineChars="200"/>
        <w:rPr>
          <w:b/>
        </w:rPr>
      </w:pPr>
      <w:r>
        <w:rPr>
          <w:b/>
        </w:rPr>
        <w:t>附件：</w:t>
      </w:r>
    </w:p>
    <w:p>
      <w:pPr>
        <w:pStyle w:val="120"/>
        <w:spacing w:line="360" w:lineRule="auto"/>
        <w:ind w:firstLine="480" w:firstLineChars="200"/>
      </w:pPr>
      <w:r>
        <w:t>附件1  委托书</w:t>
      </w:r>
    </w:p>
    <w:p>
      <w:pPr>
        <w:pStyle w:val="120"/>
        <w:spacing w:line="360" w:lineRule="auto"/>
        <w:ind w:firstLine="480" w:firstLineChars="200"/>
      </w:pPr>
      <w:r>
        <w:t>附件2  项目备案确认书</w:t>
      </w:r>
    </w:p>
    <w:p>
      <w:pPr>
        <w:pStyle w:val="120"/>
        <w:spacing w:line="360" w:lineRule="auto"/>
        <w:ind w:firstLine="480" w:firstLineChars="200"/>
      </w:pPr>
      <w:r>
        <w:t>附件3  平舆县国土资源局关于本项目的土地证明</w:t>
      </w:r>
    </w:p>
    <w:p>
      <w:pPr>
        <w:pStyle w:val="120"/>
        <w:spacing w:line="360" w:lineRule="auto"/>
        <w:ind w:firstLine="480" w:firstLineChars="200"/>
      </w:pPr>
      <w:r>
        <w:t>附件4  平舆县农业农村局关于本项目不在禁养区、限养区的证明</w:t>
      </w:r>
    </w:p>
    <w:p>
      <w:pPr>
        <w:pStyle w:val="120"/>
        <w:spacing w:line="360" w:lineRule="auto"/>
        <w:ind w:firstLine="480" w:firstLineChars="200"/>
      </w:pPr>
      <w:r>
        <w:t>附件5  沼液消纳协议</w:t>
      </w:r>
    </w:p>
    <w:p>
      <w:pPr>
        <w:pStyle w:val="120"/>
        <w:spacing w:line="360" w:lineRule="auto"/>
        <w:ind w:firstLine="480" w:firstLineChars="200"/>
      </w:pPr>
      <w:r>
        <w:t>附件6  监测报告</w:t>
      </w:r>
    </w:p>
    <w:p>
      <w:pPr>
        <w:pStyle w:val="120"/>
        <w:spacing w:line="360" w:lineRule="auto"/>
        <w:ind w:firstLine="480" w:firstLineChars="200"/>
      </w:pPr>
      <w:r>
        <w:t>附件7  医疗废物委托处置协议</w:t>
      </w:r>
    </w:p>
    <w:p>
      <w:pPr>
        <w:pStyle w:val="120"/>
        <w:spacing w:line="360" w:lineRule="auto"/>
        <w:ind w:firstLine="480" w:firstLineChars="200"/>
      </w:pPr>
    </w:p>
    <w:p>
      <w:pPr>
        <w:pStyle w:val="120"/>
        <w:spacing w:line="360" w:lineRule="auto"/>
        <w:ind w:firstLine="480" w:firstLineChars="200"/>
      </w:pPr>
      <w:r>
        <w:t>附表</w:t>
      </w:r>
    </w:p>
    <w:p>
      <w:pPr>
        <w:pStyle w:val="120"/>
        <w:spacing w:line="360" w:lineRule="auto"/>
        <w:ind w:firstLine="480" w:firstLineChars="200"/>
      </w:pPr>
      <w:r>
        <w:t>建设项目环评审批基础信息表</w:t>
      </w:r>
    </w:p>
    <w:p>
      <w:pPr>
        <w:spacing w:line="500" w:lineRule="exact"/>
        <w:rPr>
          <w:color w:val="000000"/>
          <w:sz w:val="24"/>
        </w:rPr>
      </w:pPr>
    </w:p>
    <w:p>
      <w:pPr>
        <w:spacing w:line="500" w:lineRule="exact"/>
        <w:rPr>
          <w:color w:val="000000"/>
          <w:sz w:val="24"/>
        </w:rPr>
        <w:sectPr>
          <w:footerReference r:id="rId4" w:type="default"/>
          <w:pgSz w:w="11906" w:h="16838"/>
          <w:pgMar w:top="1701" w:right="1588" w:bottom="1985" w:left="1588" w:header="851" w:footer="992" w:gutter="0"/>
          <w:pgNumType w:fmt="upperRoman"/>
          <w:cols w:space="720" w:num="1"/>
          <w:docGrid w:type="lines" w:linePitch="312" w:charSpace="0"/>
        </w:sectPr>
      </w:pPr>
    </w:p>
    <w:p>
      <w:pPr>
        <w:keepNext/>
        <w:keepLines/>
        <w:spacing w:before="100" w:beforeAutospacing="1" w:after="100" w:afterAutospacing="1"/>
        <w:jc w:val="center"/>
        <w:outlineLvl w:val="0"/>
        <w:rPr>
          <w:b/>
          <w:sz w:val="44"/>
          <w:szCs w:val="44"/>
        </w:rPr>
      </w:pPr>
      <w:bookmarkStart w:id="5" w:name="_Toc3019510"/>
      <w:r>
        <w:rPr>
          <w:b/>
          <w:sz w:val="44"/>
          <w:szCs w:val="44"/>
        </w:rPr>
        <w:t xml:space="preserve">第一章   </w:t>
      </w:r>
      <w:bookmarkEnd w:id="0"/>
      <w:r>
        <w:rPr>
          <w:b/>
          <w:sz w:val="44"/>
          <w:szCs w:val="44"/>
        </w:rPr>
        <w:t>总则</w:t>
      </w:r>
      <w:bookmarkEnd w:id="5"/>
    </w:p>
    <w:p>
      <w:pPr>
        <w:pStyle w:val="4"/>
        <w:spacing w:before="156" w:after="156"/>
        <w:rPr>
          <w:rFonts w:hAnsi="Times New Roman"/>
          <w:color w:val="000000"/>
        </w:rPr>
      </w:pPr>
      <w:bookmarkStart w:id="6" w:name="_Toc375206149"/>
      <w:bookmarkStart w:id="7" w:name="_Toc3019511"/>
      <w:r>
        <w:rPr>
          <w:rFonts w:hAnsi="Times New Roman"/>
          <w:color w:val="000000"/>
        </w:rPr>
        <w:t xml:space="preserve">1.1 </w:t>
      </w:r>
      <w:bookmarkEnd w:id="6"/>
      <w:r>
        <w:rPr>
          <w:rFonts w:hAnsi="Times New Roman"/>
          <w:color w:val="000000"/>
        </w:rPr>
        <w:t>项目由来</w:t>
      </w:r>
      <w:bookmarkEnd w:id="7"/>
    </w:p>
    <w:p>
      <w:pPr>
        <w:spacing w:line="500" w:lineRule="exact"/>
        <w:ind w:firstLine="480"/>
        <w:rPr>
          <w:color w:val="000000"/>
          <w:sz w:val="24"/>
        </w:rPr>
      </w:pPr>
      <w:r>
        <w:rPr>
          <w:color w:val="000000"/>
          <w:sz w:val="24"/>
        </w:rPr>
        <w:t>畜牧业是农业的重要组成部分，其发展水平是一个国家农业发达程度的重要标志。同时，畜牧业是人类的动物性食品的主要来源，一个工业国家的人均畜产品量也是反映国家发达程度和衡量人民生活水平的主要标志之一。河南省是我国排名前列的畜牧大省，已进入了由传统畜牧产业向现代畜牧产业的关键转型期，以布局区域化、养殖规模化、品种良种化、生产标准化、经营产业化、服务社会化为特征的现代畜牧业已处于快速发展阶段。然而，河南省畜牧业的发展面临着转变发展方式与传统分散养殖共存的矛盾，如生产标准化程度低、生产方式落后、畜牧污染严重、畜产品质量安全、疫情形势日趋复杂，疫病风险不断加大等，已成为制约河南省畜牧业发展的瓶颈。与此同时，兽药、饲料、饲料添加剂等的广泛推广和应用，在促进畜产品产量大幅度增长的同时，也带来了畜产品质量安全的隐患。因此，规模化、标准化、现代化的生猪养殖模式代替传统分散养殖是行业发展的必然趋势，也是河南省农业产业结构调整的必经之路。</w:t>
      </w:r>
    </w:p>
    <w:p>
      <w:pPr>
        <w:spacing w:line="500" w:lineRule="exact"/>
        <w:ind w:firstLine="480"/>
        <w:rPr>
          <w:color w:val="000000"/>
          <w:sz w:val="24"/>
        </w:rPr>
      </w:pPr>
      <w:r>
        <w:rPr>
          <w:color w:val="000000"/>
          <w:sz w:val="24"/>
        </w:rPr>
        <w:t>牧原食品股份有限公司是集</w:t>
      </w:r>
      <w:r>
        <w:rPr>
          <w:bCs/>
          <w:color w:val="000000"/>
          <w:sz w:val="24"/>
        </w:rPr>
        <w:t>饲料</w:t>
      </w:r>
      <w:r>
        <w:rPr>
          <w:color w:val="000000"/>
          <w:sz w:val="24"/>
        </w:rPr>
        <w:t>加工、养猪生产、屠宰加工为一体的大型现代化牧原食品股份有限公司是集</w:t>
      </w:r>
      <w:r>
        <w:rPr>
          <w:bCs/>
          <w:color w:val="000000"/>
          <w:sz w:val="24"/>
        </w:rPr>
        <w:t>饲料</w:t>
      </w:r>
      <w:r>
        <w:rPr>
          <w:color w:val="000000"/>
          <w:sz w:val="24"/>
        </w:rPr>
        <w:t>加工、养猪生产、屠宰加工为一体的大型现代化农牧企业，是河南省养殖龙头企业，集约化养猪规模居亚洲第一。公司始建于1992年，平舆牧原农牧有限公司为牧原食品股份有限公司的全资子公司。根据集团公司发展规划及市场需求，公司拟在平舆县</w:t>
      </w:r>
      <w:r>
        <w:rPr>
          <w:rFonts w:hint="eastAsia"/>
          <w:color w:val="000000"/>
          <w:sz w:val="24"/>
        </w:rPr>
        <w:t>东和店镇邢岗村</w:t>
      </w:r>
      <w:r>
        <w:rPr>
          <w:color w:val="000000"/>
          <w:sz w:val="24"/>
        </w:rPr>
        <w:t>建设“平舆牧原农牧有限公司平舆二十场生猪养殖项目”。本项目的经济技术来源于母公司——牧原食品股份有限公司，母公司可以为本项目的建设及实施提供保障。本项目建设内容包括保育育肥一体舍80</w:t>
      </w:r>
      <w:r>
        <w:rPr>
          <w:rFonts w:hint="eastAsia"/>
          <w:color w:val="000000"/>
          <w:sz w:val="24"/>
        </w:rPr>
        <w:t>栋</w:t>
      </w:r>
      <w:r>
        <w:rPr>
          <w:color w:val="000000"/>
          <w:sz w:val="24"/>
        </w:rPr>
        <w:t>，并配套建设污水处理设施、沼液综合利用等配套工程；清粪方式采用环保部认定的干清粪工艺；该项目占地面积</w:t>
      </w:r>
      <w:r>
        <w:rPr>
          <w:color w:val="000000" w:themeColor="text1"/>
          <w:sz w:val="24"/>
        </w:rPr>
        <w:t>2</w:t>
      </w:r>
      <w:r>
        <w:rPr>
          <w:rFonts w:hint="eastAsia"/>
          <w:color w:val="000000" w:themeColor="text1"/>
          <w:sz w:val="24"/>
        </w:rPr>
        <w:t>03</w:t>
      </w:r>
      <w:r>
        <w:rPr>
          <w:color w:val="000000"/>
          <w:sz w:val="24"/>
        </w:rPr>
        <w:t>亩，总投资12000万元，劳动定员</w:t>
      </w:r>
      <w:r>
        <w:rPr>
          <w:rFonts w:hint="eastAsia"/>
          <w:color w:val="000000"/>
          <w:sz w:val="24"/>
        </w:rPr>
        <w:t>49</w:t>
      </w:r>
      <w:r>
        <w:rPr>
          <w:color w:val="000000"/>
          <w:sz w:val="24"/>
        </w:rPr>
        <w:t>人，项目建成后养殖规模可达到年出栏生猪12.5万头。项目中心坐标东经：</w:t>
      </w:r>
      <w:r>
        <w:rPr>
          <w:rFonts w:hint="eastAsia"/>
          <w:color w:val="000000"/>
          <w:sz w:val="24"/>
        </w:rPr>
        <w:t>114.827042</w:t>
      </w:r>
      <w:r>
        <w:rPr>
          <w:color w:val="000000"/>
          <w:sz w:val="24"/>
        </w:rPr>
        <w:t>，北纬：</w:t>
      </w:r>
      <w:r>
        <w:rPr>
          <w:rFonts w:hint="eastAsia"/>
          <w:color w:val="000000"/>
          <w:sz w:val="24"/>
        </w:rPr>
        <w:t>32.994195</w:t>
      </w:r>
      <w:r>
        <w:rPr>
          <w:color w:val="000000"/>
          <w:sz w:val="24"/>
        </w:rPr>
        <w:t>。厂界拐点坐标见下表：</w:t>
      </w:r>
    </w:p>
    <w:p>
      <w:pPr>
        <w:spacing w:line="500" w:lineRule="exact"/>
        <w:ind w:firstLine="480"/>
        <w:jc w:val="center"/>
        <w:rPr>
          <w:b/>
          <w:color w:val="000000"/>
          <w:sz w:val="24"/>
        </w:rPr>
      </w:pPr>
      <w:r>
        <w:rPr>
          <w:b/>
          <w:color w:val="000000"/>
          <w:sz w:val="24"/>
        </w:rPr>
        <w:t>表1    项目场界拐点坐标</w:t>
      </w:r>
    </w:p>
    <w:tbl>
      <w:tblPr>
        <w:tblStyle w:val="44"/>
        <w:tblW w:w="894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4"/>
        <w:gridCol w:w="3117"/>
        <w:gridCol w:w="37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94" w:type="dxa"/>
          </w:tcPr>
          <w:p>
            <w:pPr>
              <w:widowControl/>
              <w:tabs>
                <w:tab w:val="center" w:pos="939"/>
                <w:tab w:val="right" w:pos="1878"/>
              </w:tabs>
              <w:jc w:val="left"/>
              <w:rPr>
                <w:bCs/>
                <w:color w:val="000000"/>
                <w:szCs w:val="21"/>
              </w:rPr>
            </w:pPr>
            <w:r>
              <w:rPr>
                <w:bCs/>
                <w:color w:val="000000"/>
                <w:szCs w:val="21"/>
              </w:rPr>
              <w:tab/>
            </w:r>
            <w:r>
              <w:rPr>
                <w:bCs/>
                <w:color w:val="000000"/>
                <w:szCs w:val="21"/>
              </w:rPr>
              <w:t>拐点编号</w:t>
            </w:r>
            <w:r>
              <w:rPr>
                <w:bCs/>
                <w:color w:val="000000"/>
                <w:szCs w:val="21"/>
              </w:rPr>
              <w:tab/>
            </w:r>
          </w:p>
        </w:tc>
        <w:tc>
          <w:tcPr>
            <w:tcW w:w="3117" w:type="dxa"/>
            <w:shd w:val="clear" w:color="auto" w:fill="auto"/>
            <w:noWrap/>
            <w:vAlign w:val="center"/>
          </w:tcPr>
          <w:p>
            <w:pPr>
              <w:widowControl/>
              <w:jc w:val="center"/>
              <w:rPr>
                <w:bCs/>
                <w:color w:val="000000"/>
                <w:szCs w:val="21"/>
              </w:rPr>
            </w:pPr>
            <w:r>
              <w:rPr>
                <w:bCs/>
                <w:color w:val="000000"/>
                <w:szCs w:val="21"/>
              </w:rPr>
              <w:t>经度（东经）</w:t>
            </w:r>
          </w:p>
        </w:tc>
        <w:tc>
          <w:tcPr>
            <w:tcW w:w="3737" w:type="dxa"/>
            <w:shd w:val="clear" w:color="auto" w:fill="auto"/>
            <w:noWrap/>
            <w:vAlign w:val="center"/>
          </w:tcPr>
          <w:p>
            <w:pPr>
              <w:widowControl/>
              <w:jc w:val="center"/>
              <w:rPr>
                <w:bCs/>
                <w:color w:val="000000"/>
                <w:szCs w:val="21"/>
              </w:rPr>
            </w:pPr>
            <w:r>
              <w:rPr>
                <w:bCs/>
                <w:color w:val="000000"/>
                <w:szCs w:val="21"/>
              </w:rPr>
              <w:t>纬度（北纬）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94" w:type="dxa"/>
          </w:tcPr>
          <w:p>
            <w:pPr>
              <w:widowControl/>
              <w:jc w:val="center"/>
              <w:rPr>
                <w:bCs/>
                <w:color w:val="000000"/>
                <w:szCs w:val="21"/>
              </w:rPr>
            </w:pPr>
            <w:r>
              <w:rPr>
                <w:bCs/>
                <w:color w:val="000000"/>
                <w:szCs w:val="21"/>
              </w:rPr>
              <w:t>1</w:t>
            </w:r>
          </w:p>
        </w:tc>
        <w:tc>
          <w:tcPr>
            <w:tcW w:w="3117" w:type="dxa"/>
            <w:shd w:val="clear" w:color="auto" w:fill="auto"/>
            <w:noWrap/>
            <w:vAlign w:val="center"/>
          </w:tcPr>
          <w:p>
            <w:pPr>
              <w:widowControl/>
              <w:jc w:val="center"/>
              <w:rPr>
                <w:bCs/>
                <w:color w:val="000000"/>
                <w:szCs w:val="21"/>
              </w:rPr>
            </w:pPr>
            <w:r>
              <w:rPr>
                <w:rFonts w:hint="eastAsia"/>
                <w:bCs/>
                <w:color w:val="000000"/>
                <w:szCs w:val="21"/>
              </w:rPr>
              <w:t>114.829067</w:t>
            </w:r>
          </w:p>
        </w:tc>
        <w:tc>
          <w:tcPr>
            <w:tcW w:w="3737" w:type="dxa"/>
            <w:shd w:val="clear" w:color="auto" w:fill="auto"/>
            <w:noWrap/>
            <w:vAlign w:val="center"/>
          </w:tcPr>
          <w:p>
            <w:pPr>
              <w:widowControl/>
              <w:jc w:val="center"/>
              <w:rPr>
                <w:bCs/>
                <w:color w:val="000000"/>
                <w:szCs w:val="21"/>
              </w:rPr>
            </w:pPr>
            <w:r>
              <w:rPr>
                <w:rFonts w:hint="eastAsia"/>
                <w:bCs/>
                <w:color w:val="000000"/>
                <w:szCs w:val="21"/>
              </w:rPr>
              <w:t>32.997232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94" w:type="dxa"/>
          </w:tcPr>
          <w:p>
            <w:pPr>
              <w:widowControl/>
              <w:jc w:val="center"/>
              <w:rPr>
                <w:bCs/>
                <w:color w:val="000000"/>
                <w:szCs w:val="21"/>
              </w:rPr>
            </w:pPr>
            <w:r>
              <w:rPr>
                <w:bCs/>
                <w:color w:val="000000"/>
                <w:szCs w:val="21"/>
              </w:rPr>
              <w:t>2</w:t>
            </w:r>
          </w:p>
        </w:tc>
        <w:tc>
          <w:tcPr>
            <w:tcW w:w="3117" w:type="dxa"/>
            <w:shd w:val="clear" w:color="auto" w:fill="auto"/>
            <w:noWrap/>
            <w:vAlign w:val="center"/>
          </w:tcPr>
          <w:p>
            <w:pPr>
              <w:widowControl/>
              <w:jc w:val="center"/>
              <w:rPr>
                <w:bCs/>
                <w:color w:val="000000"/>
                <w:szCs w:val="21"/>
              </w:rPr>
            </w:pPr>
            <w:r>
              <w:rPr>
                <w:rFonts w:hint="eastAsia"/>
                <w:bCs/>
                <w:color w:val="000000"/>
                <w:szCs w:val="21"/>
              </w:rPr>
              <w:t>114.829268</w:t>
            </w:r>
          </w:p>
        </w:tc>
        <w:tc>
          <w:tcPr>
            <w:tcW w:w="3737" w:type="dxa"/>
            <w:shd w:val="clear" w:color="auto" w:fill="auto"/>
            <w:noWrap/>
            <w:vAlign w:val="center"/>
          </w:tcPr>
          <w:p>
            <w:pPr>
              <w:widowControl/>
              <w:jc w:val="center"/>
              <w:rPr>
                <w:bCs/>
                <w:color w:val="000000"/>
                <w:szCs w:val="21"/>
              </w:rPr>
            </w:pPr>
            <w:r>
              <w:rPr>
                <w:rFonts w:hint="eastAsia"/>
                <w:bCs/>
                <w:color w:val="000000"/>
                <w:szCs w:val="21"/>
              </w:rPr>
              <w:t>32.996596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94" w:type="dxa"/>
          </w:tcPr>
          <w:p>
            <w:pPr>
              <w:widowControl/>
              <w:jc w:val="center"/>
              <w:rPr>
                <w:bCs/>
                <w:color w:val="000000"/>
                <w:szCs w:val="21"/>
              </w:rPr>
            </w:pPr>
            <w:r>
              <w:rPr>
                <w:bCs/>
                <w:color w:val="000000"/>
                <w:szCs w:val="21"/>
              </w:rPr>
              <w:t>3</w:t>
            </w:r>
          </w:p>
        </w:tc>
        <w:tc>
          <w:tcPr>
            <w:tcW w:w="3117" w:type="dxa"/>
            <w:shd w:val="clear" w:color="auto" w:fill="auto"/>
            <w:noWrap/>
            <w:vAlign w:val="center"/>
          </w:tcPr>
          <w:p>
            <w:pPr>
              <w:widowControl/>
              <w:jc w:val="center"/>
              <w:rPr>
                <w:bCs/>
                <w:color w:val="000000"/>
                <w:szCs w:val="21"/>
              </w:rPr>
            </w:pPr>
            <w:r>
              <w:rPr>
                <w:rFonts w:hint="eastAsia"/>
                <w:bCs/>
                <w:color w:val="000000"/>
                <w:szCs w:val="21"/>
              </w:rPr>
              <w:t>114.829220</w:t>
            </w:r>
          </w:p>
        </w:tc>
        <w:tc>
          <w:tcPr>
            <w:tcW w:w="3737" w:type="dxa"/>
            <w:shd w:val="clear" w:color="auto" w:fill="auto"/>
            <w:noWrap/>
            <w:vAlign w:val="center"/>
          </w:tcPr>
          <w:p>
            <w:pPr>
              <w:widowControl/>
              <w:jc w:val="center"/>
              <w:rPr>
                <w:bCs/>
                <w:color w:val="000000"/>
                <w:szCs w:val="21"/>
              </w:rPr>
            </w:pPr>
            <w:r>
              <w:rPr>
                <w:rFonts w:hint="eastAsia"/>
                <w:bCs/>
                <w:color w:val="000000"/>
                <w:szCs w:val="21"/>
              </w:rPr>
              <w:t>32.996578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94" w:type="dxa"/>
          </w:tcPr>
          <w:p>
            <w:pPr>
              <w:widowControl/>
              <w:jc w:val="center"/>
              <w:rPr>
                <w:bCs/>
                <w:color w:val="000000"/>
                <w:szCs w:val="21"/>
              </w:rPr>
            </w:pPr>
            <w:r>
              <w:rPr>
                <w:bCs/>
                <w:color w:val="000000"/>
                <w:szCs w:val="21"/>
              </w:rPr>
              <w:t>4</w:t>
            </w:r>
          </w:p>
        </w:tc>
        <w:tc>
          <w:tcPr>
            <w:tcW w:w="3117" w:type="dxa"/>
            <w:shd w:val="clear" w:color="auto" w:fill="auto"/>
            <w:noWrap/>
            <w:vAlign w:val="center"/>
          </w:tcPr>
          <w:p>
            <w:pPr>
              <w:widowControl/>
              <w:jc w:val="center"/>
              <w:rPr>
                <w:bCs/>
                <w:color w:val="000000"/>
                <w:szCs w:val="21"/>
              </w:rPr>
            </w:pPr>
            <w:r>
              <w:rPr>
                <w:rFonts w:hint="eastAsia"/>
                <w:bCs/>
                <w:color w:val="000000"/>
                <w:szCs w:val="21"/>
              </w:rPr>
              <w:t>114.830263</w:t>
            </w:r>
          </w:p>
        </w:tc>
        <w:tc>
          <w:tcPr>
            <w:tcW w:w="3737" w:type="dxa"/>
            <w:shd w:val="clear" w:color="auto" w:fill="auto"/>
            <w:noWrap/>
            <w:vAlign w:val="center"/>
          </w:tcPr>
          <w:p>
            <w:pPr>
              <w:widowControl/>
              <w:jc w:val="center"/>
              <w:rPr>
                <w:bCs/>
                <w:color w:val="000000"/>
                <w:szCs w:val="21"/>
              </w:rPr>
            </w:pPr>
            <w:r>
              <w:rPr>
                <w:rFonts w:hint="eastAsia"/>
                <w:bCs/>
                <w:color w:val="000000"/>
                <w:szCs w:val="21"/>
              </w:rPr>
              <w:t>32.992614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94" w:type="dxa"/>
          </w:tcPr>
          <w:p>
            <w:pPr>
              <w:widowControl/>
              <w:jc w:val="center"/>
              <w:rPr>
                <w:bCs/>
                <w:color w:val="000000"/>
                <w:szCs w:val="21"/>
              </w:rPr>
            </w:pPr>
            <w:r>
              <w:rPr>
                <w:bCs/>
                <w:color w:val="000000"/>
                <w:szCs w:val="21"/>
              </w:rPr>
              <w:t>5</w:t>
            </w:r>
          </w:p>
        </w:tc>
        <w:tc>
          <w:tcPr>
            <w:tcW w:w="3117" w:type="dxa"/>
            <w:shd w:val="clear" w:color="auto" w:fill="auto"/>
            <w:noWrap/>
            <w:vAlign w:val="center"/>
          </w:tcPr>
          <w:p>
            <w:pPr>
              <w:widowControl/>
              <w:jc w:val="center"/>
              <w:rPr>
                <w:bCs/>
                <w:color w:val="000000"/>
                <w:szCs w:val="21"/>
              </w:rPr>
            </w:pPr>
            <w:r>
              <w:rPr>
                <w:rFonts w:hint="eastAsia"/>
                <w:bCs/>
                <w:color w:val="000000"/>
                <w:szCs w:val="21"/>
              </w:rPr>
              <w:t>114.826891</w:t>
            </w:r>
          </w:p>
        </w:tc>
        <w:tc>
          <w:tcPr>
            <w:tcW w:w="3737" w:type="dxa"/>
            <w:shd w:val="clear" w:color="auto" w:fill="auto"/>
            <w:noWrap/>
            <w:vAlign w:val="center"/>
          </w:tcPr>
          <w:p>
            <w:pPr>
              <w:widowControl/>
              <w:jc w:val="center"/>
              <w:rPr>
                <w:bCs/>
                <w:color w:val="000000"/>
                <w:szCs w:val="21"/>
              </w:rPr>
            </w:pPr>
            <w:r>
              <w:rPr>
                <w:rFonts w:hint="eastAsia"/>
                <w:bCs/>
                <w:color w:val="000000"/>
                <w:szCs w:val="21"/>
              </w:rPr>
              <w:t>32.992076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94" w:type="dxa"/>
          </w:tcPr>
          <w:p>
            <w:pPr>
              <w:widowControl/>
              <w:jc w:val="center"/>
              <w:rPr>
                <w:bCs/>
                <w:color w:val="000000"/>
                <w:szCs w:val="21"/>
              </w:rPr>
            </w:pPr>
            <w:r>
              <w:rPr>
                <w:bCs/>
                <w:color w:val="000000"/>
                <w:szCs w:val="21"/>
              </w:rPr>
              <w:t>6</w:t>
            </w:r>
          </w:p>
        </w:tc>
        <w:tc>
          <w:tcPr>
            <w:tcW w:w="3117" w:type="dxa"/>
            <w:shd w:val="clear" w:color="auto" w:fill="auto"/>
            <w:noWrap/>
            <w:vAlign w:val="center"/>
          </w:tcPr>
          <w:p>
            <w:pPr>
              <w:widowControl/>
              <w:jc w:val="center"/>
              <w:rPr>
                <w:bCs/>
                <w:color w:val="000000"/>
                <w:szCs w:val="21"/>
              </w:rPr>
            </w:pPr>
            <w:r>
              <w:rPr>
                <w:rFonts w:hint="eastAsia"/>
                <w:bCs/>
                <w:color w:val="000000"/>
                <w:szCs w:val="21"/>
              </w:rPr>
              <w:t>114.824524</w:t>
            </w:r>
          </w:p>
        </w:tc>
        <w:tc>
          <w:tcPr>
            <w:tcW w:w="3737" w:type="dxa"/>
            <w:shd w:val="clear" w:color="auto" w:fill="auto"/>
            <w:noWrap/>
            <w:vAlign w:val="center"/>
          </w:tcPr>
          <w:p>
            <w:pPr>
              <w:widowControl/>
              <w:jc w:val="center"/>
              <w:rPr>
                <w:bCs/>
                <w:color w:val="000000"/>
                <w:szCs w:val="21"/>
              </w:rPr>
            </w:pPr>
            <w:r>
              <w:rPr>
                <w:rFonts w:hint="eastAsia"/>
                <w:bCs/>
                <w:color w:val="000000"/>
                <w:szCs w:val="21"/>
              </w:rPr>
              <w:t>32.991973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94" w:type="dxa"/>
          </w:tcPr>
          <w:p>
            <w:pPr>
              <w:widowControl/>
              <w:jc w:val="center"/>
              <w:rPr>
                <w:bCs/>
                <w:color w:val="000000"/>
                <w:szCs w:val="21"/>
              </w:rPr>
            </w:pPr>
            <w:r>
              <w:rPr>
                <w:rFonts w:hint="eastAsia"/>
                <w:bCs/>
                <w:color w:val="000000"/>
                <w:szCs w:val="21"/>
              </w:rPr>
              <w:t>7</w:t>
            </w:r>
          </w:p>
        </w:tc>
        <w:tc>
          <w:tcPr>
            <w:tcW w:w="3117" w:type="dxa"/>
            <w:shd w:val="clear" w:color="auto" w:fill="auto"/>
            <w:noWrap/>
            <w:vAlign w:val="center"/>
          </w:tcPr>
          <w:p>
            <w:pPr>
              <w:widowControl/>
              <w:jc w:val="center"/>
              <w:rPr>
                <w:bCs/>
                <w:color w:val="000000"/>
                <w:szCs w:val="21"/>
              </w:rPr>
            </w:pPr>
            <w:r>
              <w:rPr>
                <w:rFonts w:hint="eastAsia"/>
                <w:bCs/>
                <w:color w:val="000000"/>
                <w:szCs w:val="21"/>
              </w:rPr>
              <w:t>114.824453</w:t>
            </w:r>
          </w:p>
        </w:tc>
        <w:tc>
          <w:tcPr>
            <w:tcW w:w="3737" w:type="dxa"/>
            <w:shd w:val="clear" w:color="auto" w:fill="auto"/>
            <w:noWrap/>
            <w:vAlign w:val="center"/>
          </w:tcPr>
          <w:p>
            <w:pPr>
              <w:widowControl/>
              <w:jc w:val="center"/>
              <w:rPr>
                <w:bCs/>
                <w:color w:val="000000"/>
                <w:szCs w:val="21"/>
              </w:rPr>
            </w:pPr>
            <w:r>
              <w:rPr>
                <w:rFonts w:hint="eastAsia"/>
                <w:bCs/>
                <w:color w:val="000000"/>
                <w:szCs w:val="21"/>
              </w:rPr>
              <w:t>32.991989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94" w:type="dxa"/>
          </w:tcPr>
          <w:p>
            <w:pPr>
              <w:widowControl/>
              <w:jc w:val="center"/>
              <w:rPr>
                <w:bCs/>
                <w:color w:val="000000"/>
                <w:szCs w:val="21"/>
              </w:rPr>
            </w:pPr>
            <w:r>
              <w:rPr>
                <w:rFonts w:hint="eastAsia"/>
                <w:bCs/>
                <w:color w:val="000000"/>
                <w:szCs w:val="21"/>
              </w:rPr>
              <w:t>8</w:t>
            </w:r>
          </w:p>
        </w:tc>
        <w:tc>
          <w:tcPr>
            <w:tcW w:w="3117" w:type="dxa"/>
            <w:shd w:val="clear" w:color="auto" w:fill="auto"/>
            <w:noWrap/>
            <w:vAlign w:val="center"/>
          </w:tcPr>
          <w:p>
            <w:pPr>
              <w:widowControl/>
              <w:jc w:val="center"/>
              <w:rPr>
                <w:bCs/>
                <w:color w:val="000000"/>
                <w:szCs w:val="21"/>
              </w:rPr>
            </w:pPr>
            <w:r>
              <w:rPr>
                <w:rFonts w:hint="eastAsia"/>
                <w:bCs/>
                <w:color w:val="000000"/>
                <w:szCs w:val="21"/>
              </w:rPr>
              <w:t>114.824156</w:t>
            </w:r>
          </w:p>
        </w:tc>
        <w:tc>
          <w:tcPr>
            <w:tcW w:w="3737" w:type="dxa"/>
            <w:shd w:val="clear" w:color="auto" w:fill="auto"/>
            <w:noWrap/>
            <w:vAlign w:val="center"/>
          </w:tcPr>
          <w:p>
            <w:pPr>
              <w:widowControl/>
              <w:jc w:val="center"/>
              <w:rPr>
                <w:bCs/>
                <w:color w:val="000000"/>
                <w:szCs w:val="21"/>
              </w:rPr>
            </w:pPr>
            <w:r>
              <w:rPr>
                <w:rFonts w:hint="eastAsia"/>
                <w:bCs/>
                <w:color w:val="000000"/>
                <w:szCs w:val="21"/>
              </w:rPr>
              <w:t>32.995698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94" w:type="dxa"/>
          </w:tcPr>
          <w:p>
            <w:pPr>
              <w:widowControl/>
              <w:jc w:val="center"/>
              <w:rPr>
                <w:bCs/>
                <w:color w:val="000000"/>
                <w:szCs w:val="21"/>
              </w:rPr>
            </w:pPr>
            <w:r>
              <w:rPr>
                <w:rFonts w:hint="eastAsia"/>
                <w:bCs/>
                <w:color w:val="000000"/>
                <w:szCs w:val="21"/>
              </w:rPr>
              <w:t>9</w:t>
            </w:r>
          </w:p>
        </w:tc>
        <w:tc>
          <w:tcPr>
            <w:tcW w:w="3117" w:type="dxa"/>
            <w:shd w:val="clear" w:color="auto" w:fill="auto"/>
            <w:noWrap/>
            <w:vAlign w:val="center"/>
          </w:tcPr>
          <w:p>
            <w:pPr>
              <w:widowControl/>
              <w:jc w:val="center"/>
              <w:rPr>
                <w:bCs/>
                <w:color w:val="000000"/>
                <w:szCs w:val="21"/>
              </w:rPr>
            </w:pPr>
            <w:r>
              <w:rPr>
                <w:rFonts w:hint="eastAsia"/>
                <w:bCs/>
                <w:color w:val="000000"/>
                <w:szCs w:val="21"/>
              </w:rPr>
              <w:t>114.824038</w:t>
            </w:r>
          </w:p>
        </w:tc>
        <w:tc>
          <w:tcPr>
            <w:tcW w:w="3737" w:type="dxa"/>
            <w:shd w:val="clear" w:color="auto" w:fill="auto"/>
            <w:noWrap/>
            <w:vAlign w:val="center"/>
          </w:tcPr>
          <w:p>
            <w:pPr>
              <w:widowControl/>
              <w:jc w:val="center"/>
              <w:rPr>
                <w:bCs/>
                <w:color w:val="000000"/>
                <w:szCs w:val="21"/>
              </w:rPr>
            </w:pPr>
            <w:r>
              <w:rPr>
                <w:rFonts w:hint="eastAsia"/>
                <w:bCs/>
                <w:color w:val="000000"/>
                <w:szCs w:val="21"/>
              </w:rPr>
              <w:t>32.995687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94" w:type="dxa"/>
          </w:tcPr>
          <w:p>
            <w:pPr>
              <w:widowControl/>
              <w:jc w:val="center"/>
              <w:rPr>
                <w:bCs/>
                <w:color w:val="000000"/>
                <w:szCs w:val="21"/>
              </w:rPr>
            </w:pPr>
            <w:r>
              <w:rPr>
                <w:rFonts w:hint="eastAsia"/>
                <w:bCs/>
                <w:color w:val="000000"/>
                <w:szCs w:val="21"/>
              </w:rPr>
              <w:t>10</w:t>
            </w:r>
          </w:p>
        </w:tc>
        <w:tc>
          <w:tcPr>
            <w:tcW w:w="3117" w:type="dxa"/>
            <w:shd w:val="clear" w:color="auto" w:fill="auto"/>
            <w:noWrap/>
            <w:vAlign w:val="center"/>
          </w:tcPr>
          <w:p>
            <w:pPr>
              <w:widowControl/>
              <w:jc w:val="center"/>
              <w:rPr>
                <w:bCs/>
                <w:color w:val="000000"/>
                <w:szCs w:val="21"/>
              </w:rPr>
            </w:pPr>
            <w:r>
              <w:rPr>
                <w:rFonts w:hint="eastAsia"/>
                <w:bCs/>
                <w:color w:val="000000"/>
                <w:szCs w:val="21"/>
              </w:rPr>
              <w:t>114.823976</w:t>
            </w:r>
          </w:p>
        </w:tc>
        <w:tc>
          <w:tcPr>
            <w:tcW w:w="3737" w:type="dxa"/>
            <w:shd w:val="clear" w:color="auto" w:fill="auto"/>
            <w:noWrap/>
            <w:vAlign w:val="center"/>
          </w:tcPr>
          <w:p>
            <w:pPr>
              <w:widowControl/>
              <w:jc w:val="center"/>
              <w:rPr>
                <w:bCs/>
                <w:color w:val="000000"/>
                <w:szCs w:val="21"/>
              </w:rPr>
            </w:pPr>
            <w:r>
              <w:rPr>
                <w:rFonts w:hint="eastAsia"/>
                <w:bCs/>
                <w:color w:val="000000"/>
                <w:szCs w:val="21"/>
              </w:rPr>
              <w:t>32.996067</w:t>
            </w:r>
          </w:p>
        </w:tc>
      </w:tr>
    </w:tbl>
    <w:p>
      <w:pPr>
        <w:spacing w:line="500" w:lineRule="exact"/>
        <w:ind w:firstLine="480"/>
        <w:rPr>
          <w:bCs/>
          <w:color w:val="000000"/>
          <w:sz w:val="24"/>
        </w:rPr>
      </w:pPr>
      <w:r>
        <w:rPr>
          <w:bCs/>
          <w:color w:val="000000"/>
          <w:sz w:val="24"/>
        </w:rPr>
        <w:t>畜牧业作为我国农业农村经济的支柱产业，对保障国家食物安全，增加农民收入，保护和改善生态环境，推进农业现代化，促进国民经济现代化，促进国民经济稳定发展，具有十分重要的现实意义。《全国畜牧业发展第十二个五年规划（2011-2015）》及农业部《关于加快推进畜禽标准化规模养殖的意见》（农牧发[2010]6号）均明确指出：畜禽标准化规模养殖是现代畜牧业发展的必由之路，对畜禽养殖优势区域和畜产品主产区的生猪规模养殖场基础设施进行标准化建设，畜禽标准化规模养殖场的排泄物可实现达标排放或资源化利用，重大动物疫病防控能力显著增强，畜产品质量安全水平明显提升；鼓励龙头企业建设标准化生产基地，开展生物安全隔离区建设。</w:t>
      </w:r>
    </w:p>
    <w:p>
      <w:pPr>
        <w:spacing w:line="500" w:lineRule="exact"/>
        <w:ind w:firstLine="480"/>
        <w:rPr>
          <w:bCs/>
          <w:color w:val="000000"/>
          <w:sz w:val="24"/>
        </w:rPr>
      </w:pPr>
      <w:r>
        <w:rPr>
          <w:bCs/>
          <w:color w:val="000000"/>
          <w:sz w:val="24"/>
        </w:rPr>
        <w:t>根据《循环经济发展战略及近期行动计划》（国发〔2013〕5号）“第四章构建循环型农业体系 第三节畜牧业”明确指出：推进畜禽养殖清洁生产，推进适度规模养殖，鼓励养殖与种植相结合，建设标准化畜禽养殖场，推广畜禽清洁养殖、雨污分流、干湿分离和设施化处理技术； 加强畜禽粪污资源化利用，推广堆肥处理、工厂化生产有机肥、好氧发酵农田直接施用技术，促进养殖粪污资源化利用和无害化处理；构建农牧业循环经济产业链，构建畜禽粪便—沼气—发电，畜禽粪便—沼气—沼渣、沼液—无害化处理—肥料、农药—农林作物，畜禽加工—副产物—生化制品等产业链。根据《河南省人民政府办公厅关于推动全省都市生态农业发展的指导意　见》（豫政办[2014]128号），要加快我省生态农业发展，加强农业生态环境建设，加大农业面源污染防治力度，控制农药化肥使用，发展农牧结合循环经济，推进畜禽粪污资源化利用，推进以沼气池建设为重点的农村生态循环经济发展,规范农业投入品使用，支持推广农业物理和生物防控技术，减少化学农药用量。</w:t>
      </w:r>
    </w:p>
    <w:p>
      <w:pPr>
        <w:spacing w:line="500" w:lineRule="exact"/>
        <w:ind w:firstLine="480"/>
        <w:rPr>
          <w:bCs/>
          <w:color w:val="000000"/>
          <w:sz w:val="24"/>
        </w:rPr>
      </w:pPr>
      <w:r>
        <w:rPr>
          <w:color w:val="000000"/>
          <w:sz w:val="24"/>
        </w:rPr>
        <w:t>牧原食品股份有限公司</w:t>
      </w:r>
      <w:r>
        <w:rPr>
          <w:bCs/>
          <w:color w:val="000000"/>
          <w:sz w:val="24"/>
        </w:rPr>
        <w:t>在生猪养殖过程中遵循循环经济发展战略、秉持着生态环保理念，积极推进畜禽养殖清洁生产和有机生态农业的发展，项目产生的粪污经固液分离后固形物进入固粪处理区制有机肥基肥，经固液分离后的废水进入盖泄湖沼气池处理。经盖泄湖沼气池处理后产生沼液的作为农肥施用于周边农田不外排，产生的沼渣进入固粪处理区晾晒后制有机肥基肥料；盖泄湖沼气池厌氧发酵产生的沼气经净化后，用于场区食堂灶台，多余部分用于无害化处理。这种间接的种养结合发展模式是符合生态农业发展要求的同时也是满足可持续发展观的。</w:t>
      </w:r>
    </w:p>
    <w:p>
      <w:pPr>
        <w:spacing w:before="156" w:after="156" w:line="500" w:lineRule="exact"/>
        <w:ind w:firstLine="480"/>
        <w:rPr>
          <w:rFonts w:ascii="Times New Roman" w:hAnsi="Times New Roman"/>
          <w:b/>
          <w:bCs/>
          <w:sz w:val="24"/>
          <w:szCs w:val="24"/>
          <w:u w:val="single"/>
        </w:rPr>
      </w:pPr>
      <w:r>
        <w:rPr>
          <w:rFonts w:ascii="Times New Roman" w:hAnsi="Times New Roman"/>
          <w:b/>
          <w:bCs/>
          <w:sz w:val="24"/>
          <w:szCs w:val="24"/>
          <w:u w:val="single"/>
        </w:rPr>
        <w:t>根据《产业结构调整指导目录（2011年本）（2013修订后）》，本项目属于鼓励类中的“畜禽标准化养殖技术开发与应用”；根据《中华人民共和国环境保护法》和《中华人民共和国环境影响评价法》等法律有关规定，对新建或改扩建项目需进行环境影响评价。对照《建设项目环境影响评价分类管理名录》</w:t>
      </w:r>
      <w:r>
        <w:rPr>
          <w:rFonts w:hint="eastAsia" w:ascii="Times New Roman" w:hAnsi="Times New Roman"/>
          <w:b/>
          <w:bCs/>
          <w:sz w:val="24"/>
          <w:szCs w:val="24"/>
          <w:u w:val="single"/>
          <w:lang w:eastAsia="zh-CN"/>
        </w:rPr>
        <w:t>及关于修改《建设项目环境影响评价分类管理名录》部分内容的决定（生态环境部令第</w:t>
      </w:r>
      <w:r>
        <w:rPr>
          <w:rFonts w:hint="eastAsia" w:ascii="Times New Roman" w:hAnsi="Times New Roman"/>
          <w:b/>
          <w:bCs/>
          <w:sz w:val="24"/>
          <w:szCs w:val="24"/>
          <w:u w:val="single"/>
          <w:lang w:val="en-US" w:eastAsia="zh-CN"/>
        </w:rPr>
        <w:t>1号</w:t>
      </w:r>
      <w:r>
        <w:rPr>
          <w:rFonts w:hint="eastAsia" w:ascii="Times New Roman" w:hAnsi="Times New Roman"/>
          <w:b/>
          <w:bCs/>
          <w:sz w:val="24"/>
          <w:szCs w:val="24"/>
          <w:u w:val="single"/>
          <w:lang w:eastAsia="zh-CN"/>
        </w:rPr>
        <w:t>）</w:t>
      </w:r>
      <w:r>
        <w:rPr>
          <w:rFonts w:ascii="Times New Roman" w:hAnsi="Times New Roman"/>
          <w:b/>
          <w:bCs/>
          <w:sz w:val="24"/>
          <w:szCs w:val="24"/>
          <w:u w:val="single"/>
        </w:rPr>
        <w:t>，</w:t>
      </w:r>
      <w:r>
        <w:rPr>
          <w:rFonts w:hint="eastAsia" w:ascii="Times New Roman" w:hAnsi="Times New Roman"/>
          <w:b/>
          <w:bCs/>
          <w:sz w:val="24"/>
          <w:szCs w:val="24"/>
          <w:u w:val="single"/>
          <w:lang w:eastAsia="zh-CN"/>
        </w:rPr>
        <w:t>本项目生猪养殖</w:t>
      </w:r>
      <w:r>
        <w:rPr>
          <w:rFonts w:ascii="Times New Roman" w:hAnsi="Times New Roman"/>
          <w:b/>
          <w:bCs/>
          <w:sz w:val="24"/>
          <w:szCs w:val="24"/>
          <w:u w:val="single"/>
        </w:rPr>
        <w:t>属</w:t>
      </w:r>
      <w:r>
        <w:rPr>
          <w:rFonts w:hint="eastAsia" w:ascii="Times New Roman" w:hAnsi="Times New Roman"/>
          <w:b/>
          <w:bCs/>
          <w:sz w:val="24"/>
          <w:szCs w:val="24"/>
          <w:u w:val="single"/>
        </w:rPr>
        <w:t>一、畜牧业/1</w:t>
      </w:r>
      <w:r>
        <w:rPr>
          <w:rFonts w:ascii="Times New Roman" w:hAnsi="Times New Roman"/>
          <w:b/>
          <w:bCs/>
          <w:sz w:val="24"/>
          <w:szCs w:val="24"/>
          <w:u w:val="single"/>
        </w:rPr>
        <w:t>、畜禽养殖场、养殖小区\年出栏生猪5000头及以上；涉及环境敏感区的，环评类别为报告书</w:t>
      </w:r>
      <w:r>
        <w:rPr>
          <w:rFonts w:hint="eastAsia" w:ascii="Times New Roman" w:hAnsi="Times New Roman"/>
          <w:b/>
          <w:bCs/>
          <w:sz w:val="24"/>
          <w:szCs w:val="24"/>
          <w:u w:val="single"/>
          <w:lang w:eastAsia="zh-CN"/>
        </w:rPr>
        <w:t>；项目配套的病死猪工程仅处理本项目产生的病死猪，根据</w:t>
      </w:r>
      <w:r>
        <w:rPr>
          <w:rFonts w:ascii="Times New Roman" w:hAnsi="Times New Roman"/>
          <w:b/>
          <w:bCs/>
          <w:sz w:val="24"/>
          <w:szCs w:val="24"/>
          <w:u w:val="single"/>
        </w:rPr>
        <w:t>《建设项目环境影响评价分类管理名录》</w:t>
      </w:r>
      <w:r>
        <w:rPr>
          <w:rFonts w:hint="eastAsia" w:ascii="Times New Roman" w:hAnsi="Times New Roman"/>
          <w:b/>
          <w:bCs/>
          <w:sz w:val="24"/>
          <w:szCs w:val="24"/>
          <w:u w:val="single"/>
          <w:lang w:eastAsia="zh-CN"/>
        </w:rPr>
        <w:t>规定，病死猪处理属于三十四、环境治理业中第</w:t>
      </w:r>
      <w:r>
        <w:rPr>
          <w:rFonts w:hint="eastAsia" w:ascii="Times New Roman" w:hAnsi="Times New Roman"/>
          <w:b/>
          <w:bCs/>
          <w:sz w:val="24"/>
          <w:szCs w:val="24"/>
          <w:u w:val="single"/>
          <w:lang w:val="en-US" w:eastAsia="zh-CN"/>
        </w:rPr>
        <w:t>100小项 危险废物（含医疗废物） 利用及处置 利用及处置的需编制环境影响报告书；综上，本项目需编制环境影响报告书</w:t>
      </w:r>
      <w:r>
        <w:rPr>
          <w:rFonts w:ascii="Times New Roman" w:hAnsi="Times New Roman"/>
          <w:b/>
          <w:bCs/>
          <w:sz w:val="24"/>
          <w:szCs w:val="24"/>
          <w:u w:val="single"/>
        </w:rPr>
        <w:t>。受</w:t>
      </w:r>
      <w:r>
        <w:rPr>
          <w:rFonts w:ascii="Times New Roman" w:hAnsi="Times New Roman"/>
          <w:b/>
          <w:bCs/>
          <w:color w:val="000000"/>
          <w:kern w:val="0"/>
          <w:sz w:val="24"/>
          <w:szCs w:val="21"/>
          <w:u w:val="single"/>
        </w:rPr>
        <w:t>平舆牧原农牧有限公司</w:t>
      </w:r>
      <w:r>
        <w:rPr>
          <w:rFonts w:ascii="Times New Roman" w:hAnsi="Times New Roman"/>
          <w:b/>
          <w:bCs/>
          <w:sz w:val="24"/>
          <w:szCs w:val="24"/>
          <w:u w:val="single"/>
        </w:rPr>
        <w:t>的委托，</w:t>
      </w:r>
      <w:r>
        <w:rPr>
          <w:rFonts w:hint="eastAsia" w:ascii="Times New Roman" w:hAnsi="Times New Roman"/>
          <w:b/>
          <w:bCs/>
          <w:sz w:val="24"/>
          <w:u w:val="single"/>
          <w:lang w:eastAsia="zh-CN"/>
        </w:rPr>
        <w:t>我单位</w:t>
      </w:r>
      <w:r>
        <w:rPr>
          <w:rFonts w:ascii="Times New Roman" w:hAnsi="Times New Roman"/>
          <w:b/>
          <w:bCs/>
          <w:sz w:val="24"/>
          <w:szCs w:val="24"/>
          <w:u w:val="single"/>
        </w:rPr>
        <w:t>承担该项目的环境影响报告书编制工作（项目委托书见附件1）。</w:t>
      </w:r>
    </w:p>
    <w:p>
      <w:pPr>
        <w:spacing w:line="500" w:lineRule="exact"/>
        <w:ind w:firstLine="480" w:firstLineChars="200"/>
        <w:rPr>
          <w:color w:val="000000"/>
          <w:sz w:val="24"/>
        </w:rPr>
      </w:pPr>
      <w:r>
        <w:rPr>
          <w:color w:val="000000"/>
          <w:sz w:val="24"/>
        </w:rPr>
        <w:t>评价单位在接受委托后，收集有关的资料，进行现场踏勘调查，了解场址及周边环境概况，并组织对区域各环境要素进行监测，分析工程相关污染因素，经预测和评价，本着科学、规范、客观、公正的原则，编制完成了该项目的环境影响报告书。</w:t>
      </w:r>
    </w:p>
    <w:p>
      <w:pPr>
        <w:pStyle w:val="4"/>
        <w:spacing w:before="156" w:after="156"/>
        <w:rPr>
          <w:rFonts w:hAnsi="Times New Roman"/>
        </w:rPr>
      </w:pPr>
      <w:bookmarkStart w:id="8" w:name="_Toc3019512"/>
      <w:r>
        <w:rPr>
          <w:rFonts w:hAnsi="Times New Roman"/>
        </w:rPr>
        <w:t>1.2建设项目特点</w:t>
      </w:r>
      <w:bookmarkEnd w:id="8"/>
    </w:p>
    <w:p>
      <w:pPr>
        <w:spacing w:before="156" w:after="156" w:line="500" w:lineRule="exact"/>
        <w:rPr>
          <w:sz w:val="24"/>
        </w:rPr>
      </w:pPr>
      <w:r>
        <w:rPr>
          <w:b/>
          <w:sz w:val="24"/>
          <w:lang w:val="zh-CN"/>
        </w:rPr>
        <w:t>1.2.1 工程特点</w:t>
      </w:r>
    </w:p>
    <w:p>
      <w:pPr>
        <w:widowControl/>
        <w:kinsoku w:val="0"/>
        <w:overflowPunct w:val="0"/>
        <w:snapToGrid w:val="0"/>
        <w:spacing w:line="520" w:lineRule="exact"/>
        <w:ind w:firstLine="480" w:firstLineChars="200"/>
        <w:rPr>
          <w:sz w:val="24"/>
        </w:rPr>
      </w:pPr>
      <w:r>
        <w:rPr>
          <w:bCs/>
          <w:color w:val="000000"/>
          <w:sz w:val="24"/>
        </w:rPr>
        <w:t>（1）本项目属于新建性质，</w:t>
      </w:r>
      <w:r>
        <w:rPr>
          <w:sz w:val="24"/>
        </w:rPr>
        <w:t>年出栏</w:t>
      </w:r>
      <w:r>
        <w:rPr>
          <w:rFonts w:hint="eastAsia"/>
          <w:sz w:val="24"/>
        </w:rPr>
        <w:t>12.5万</w:t>
      </w:r>
      <w:r>
        <w:rPr>
          <w:sz w:val="24"/>
        </w:rPr>
        <w:t>头生猪养殖项目，采用</w:t>
      </w:r>
      <w:r>
        <w:rPr>
          <w:bCs/>
          <w:sz w:val="24"/>
        </w:rPr>
        <w:t>环保部认定的</w:t>
      </w:r>
      <w:r>
        <w:rPr>
          <w:sz w:val="24"/>
        </w:rPr>
        <w:t>干清粪工艺。</w:t>
      </w:r>
    </w:p>
    <w:p>
      <w:pPr>
        <w:spacing w:line="360" w:lineRule="auto"/>
        <w:ind w:firstLine="480" w:firstLineChars="200"/>
        <w:rPr>
          <w:bCs/>
          <w:color w:val="000000"/>
          <w:sz w:val="24"/>
        </w:rPr>
      </w:pPr>
      <w:r>
        <w:rPr>
          <w:bCs/>
          <w:color w:val="000000"/>
          <w:sz w:val="24"/>
        </w:rPr>
        <w:t>（2）项目运行过程中产生的污染因素以废水、恶臭气体、固体废物和设备噪声为主。项目以“预防为主、防治结合”的技术方针，采用较为成熟的治理措施，可以将其对外环境的影响降至最低。</w:t>
      </w:r>
    </w:p>
    <w:p>
      <w:pPr>
        <w:spacing w:line="360" w:lineRule="auto"/>
        <w:ind w:firstLine="480" w:firstLineChars="200"/>
        <w:rPr>
          <w:color w:val="000000" w:themeColor="text1"/>
          <w:sz w:val="24"/>
        </w:rPr>
      </w:pPr>
      <w:r>
        <w:rPr>
          <w:bCs/>
          <w:color w:val="000000"/>
          <w:sz w:val="24"/>
        </w:rPr>
        <w:t>（3）项目为规模化养殖，</w:t>
      </w:r>
      <w:r>
        <w:rPr>
          <w:bCs/>
          <w:sz w:val="24"/>
        </w:rPr>
        <w:t>养殖区采用环保部认定的干清粪工艺，</w:t>
      </w:r>
      <w:r>
        <w:rPr>
          <w:bCs/>
          <w:color w:val="000000"/>
          <w:sz w:val="24"/>
        </w:rPr>
        <w:t>减少养殖过程中冲洗废水产生量、降低废水中污染物的浓度；项目产生的猪粪以及本项目污水处理装置产生的粪渣运至场区粪便处理区，</w:t>
      </w:r>
      <w:r>
        <w:rPr>
          <w:color w:val="000000"/>
          <w:sz w:val="24"/>
          <w:szCs w:val="21"/>
        </w:rPr>
        <w:t>一起进行发酵作为有机肥基肥外售</w:t>
      </w:r>
      <w:r>
        <w:rPr>
          <w:bCs/>
          <w:color w:val="000000"/>
          <w:sz w:val="24"/>
        </w:rPr>
        <w:t>；</w:t>
      </w:r>
      <w:r>
        <w:rPr>
          <w:bCs/>
          <w:color w:val="000000" w:themeColor="text1"/>
          <w:sz w:val="24"/>
        </w:rPr>
        <w:t>病死猪</w:t>
      </w:r>
      <w:r>
        <w:rPr>
          <w:color w:val="000000" w:themeColor="text1"/>
          <w:sz w:val="24"/>
          <w:szCs w:val="21"/>
        </w:rPr>
        <w:t>运往场区内自建无害化处理中心处理</w:t>
      </w:r>
      <w:r>
        <w:rPr>
          <w:color w:val="000000" w:themeColor="text1"/>
          <w:sz w:val="24"/>
        </w:rPr>
        <w:t>。</w:t>
      </w:r>
    </w:p>
    <w:p>
      <w:pPr>
        <w:spacing w:line="360" w:lineRule="auto"/>
        <w:ind w:firstLine="480" w:firstLineChars="200"/>
        <w:rPr>
          <w:bCs/>
          <w:color w:val="000000"/>
          <w:sz w:val="24"/>
        </w:rPr>
      </w:pPr>
      <w:r>
        <w:rPr>
          <w:bCs/>
          <w:color w:val="000000"/>
          <w:sz w:val="24"/>
        </w:rPr>
        <w:t>（4）项目产生的废水采用“厌氧处理+农田综合利用”的处理方式，实现废水资源化利用。</w:t>
      </w:r>
    </w:p>
    <w:p>
      <w:pPr>
        <w:spacing w:line="360" w:lineRule="auto"/>
        <w:ind w:firstLine="480" w:firstLineChars="200"/>
        <w:rPr>
          <w:bCs/>
          <w:color w:val="000000"/>
          <w:sz w:val="24"/>
        </w:rPr>
      </w:pPr>
      <w:r>
        <w:rPr>
          <w:bCs/>
          <w:color w:val="000000"/>
          <w:sz w:val="24"/>
        </w:rPr>
        <w:t>（5）项目养殖区产生的恶臭气体通过控制饲养密度、加强舍内通风、采用节水型饮水及时清粪、绿化等措施抑制或减少臭气的产生；粪污处理</w:t>
      </w:r>
      <w:r>
        <w:rPr>
          <w:bCs/>
          <w:strike/>
          <w:color w:val="000000"/>
          <w:sz w:val="24"/>
        </w:rPr>
        <w:t>各</w:t>
      </w:r>
      <w:r>
        <w:rPr>
          <w:bCs/>
          <w:color w:val="000000"/>
          <w:sz w:val="24"/>
        </w:rPr>
        <w:t>工艺单元采用密闭形式，减少恶臭对周围环境的污染。</w:t>
      </w:r>
    </w:p>
    <w:p>
      <w:pPr>
        <w:spacing w:before="156" w:after="156" w:line="500" w:lineRule="exact"/>
        <w:rPr>
          <w:b/>
          <w:sz w:val="24"/>
          <w:lang w:val="zh-CN"/>
        </w:rPr>
      </w:pPr>
      <w:r>
        <w:rPr>
          <w:b/>
          <w:sz w:val="24"/>
          <w:lang w:val="zh-CN"/>
        </w:rPr>
        <w:t>1.2.2 项目环境特点</w:t>
      </w:r>
    </w:p>
    <w:p>
      <w:pPr>
        <w:spacing w:line="560" w:lineRule="exact"/>
        <w:ind w:firstLine="480" w:firstLineChars="200"/>
        <w:rPr>
          <w:bCs/>
          <w:color w:val="000000" w:themeColor="text1"/>
          <w:sz w:val="24"/>
        </w:rPr>
      </w:pPr>
      <w:bookmarkStart w:id="9" w:name="_Toc475261385"/>
      <w:bookmarkStart w:id="10" w:name="_Toc7451"/>
      <w:bookmarkStart w:id="11" w:name="_Toc479779857"/>
      <w:bookmarkStart w:id="12" w:name="_Toc3019514"/>
      <w:bookmarkStart w:id="13" w:name="_Toc476661351"/>
      <w:r>
        <w:rPr>
          <w:bCs/>
          <w:color w:val="000000" w:themeColor="text1"/>
          <w:sz w:val="24"/>
        </w:rPr>
        <w:t>（1）区域地表水</w:t>
      </w:r>
    </w:p>
    <w:p>
      <w:pPr>
        <w:spacing w:line="560" w:lineRule="exact"/>
        <w:ind w:firstLine="480" w:firstLineChars="200"/>
        <w:rPr>
          <w:color w:val="000000" w:themeColor="text1"/>
          <w:sz w:val="24"/>
        </w:rPr>
      </w:pPr>
      <w:r>
        <w:rPr>
          <w:bCs/>
          <w:color w:val="000000" w:themeColor="text1"/>
          <w:sz w:val="24"/>
        </w:rPr>
        <w:t>评价区域地表水体主要为项目</w:t>
      </w:r>
      <w:r>
        <w:rPr>
          <w:rFonts w:hint="eastAsia"/>
          <w:color w:val="000000"/>
          <w:sz w:val="24"/>
          <w:lang w:val="zh-CN"/>
        </w:rPr>
        <w:t>西</w:t>
      </w:r>
      <w:r>
        <w:rPr>
          <w:color w:val="000000"/>
          <w:sz w:val="24"/>
          <w:lang w:val="zh-CN"/>
        </w:rPr>
        <w:t>侧</w:t>
      </w:r>
      <w:r>
        <w:rPr>
          <w:rFonts w:hint="eastAsia"/>
          <w:color w:val="000000"/>
          <w:sz w:val="24"/>
        </w:rPr>
        <w:t>583</w:t>
      </w:r>
      <w:r>
        <w:rPr>
          <w:color w:val="000000"/>
          <w:sz w:val="24"/>
          <w:lang w:val="zh-CN"/>
        </w:rPr>
        <w:t>m处的</w:t>
      </w:r>
      <w:r>
        <w:rPr>
          <w:rFonts w:hint="eastAsia"/>
          <w:color w:val="000000"/>
          <w:sz w:val="24"/>
          <w:lang w:val="zh-CN"/>
        </w:rPr>
        <w:t>大黄港</w:t>
      </w:r>
      <w:r>
        <w:rPr>
          <w:color w:val="000000"/>
          <w:sz w:val="24"/>
          <w:lang w:val="zh-CN"/>
        </w:rPr>
        <w:t>河</w:t>
      </w:r>
      <w:r>
        <w:rPr>
          <w:color w:val="000000" w:themeColor="text1"/>
          <w:sz w:val="24"/>
          <w:lang w:val="zh-CN"/>
        </w:rPr>
        <w:t>，</w:t>
      </w:r>
      <w:r>
        <w:rPr>
          <w:rFonts w:hint="eastAsia"/>
          <w:bCs/>
          <w:color w:val="000000" w:themeColor="text1"/>
          <w:sz w:val="24"/>
        </w:rPr>
        <w:t>大黄港</w:t>
      </w:r>
      <w:r>
        <w:rPr>
          <w:bCs/>
          <w:color w:val="000000" w:themeColor="text1"/>
          <w:sz w:val="24"/>
        </w:rPr>
        <w:t>河水</w:t>
      </w:r>
      <w:r>
        <w:rPr>
          <w:color w:val="000000" w:themeColor="text1"/>
          <w:sz w:val="24"/>
        </w:rPr>
        <w:t>质功能区划为</w:t>
      </w:r>
      <w:r>
        <w:rPr>
          <w:rFonts w:hAnsi="宋体"/>
          <w:szCs w:val="21"/>
        </w:rPr>
        <w:t>Ⅲ</w:t>
      </w:r>
      <w:r>
        <w:rPr>
          <w:color w:val="000000" w:themeColor="text1"/>
          <w:sz w:val="24"/>
        </w:rPr>
        <w:t>类，</w:t>
      </w:r>
      <w:r>
        <w:rPr>
          <w:color w:val="000000" w:themeColor="text1"/>
          <w:sz w:val="24"/>
          <w:lang w:val="zh-CN"/>
        </w:rPr>
        <w:t>用于农田灌溉，防洪排涝</w:t>
      </w:r>
      <w:r>
        <w:rPr>
          <w:color w:val="000000" w:themeColor="text1"/>
          <w:sz w:val="24"/>
        </w:rPr>
        <w:t>；项目所在地环境空气为二类功能区；声环境功能区为2类。</w:t>
      </w:r>
    </w:p>
    <w:p>
      <w:pPr>
        <w:spacing w:line="560" w:lineRule="exact"/>
        <w:ind w:firstLine="480" w:firstLineChars="200"/>
        <w:rPr>
          <w:color w:val="000000" w:themeColor="text1"/>
          <w:sz w:val="24"/>
        </w:rPr>
      </w:pPr>
      <w:r>
        <w:rPr>
          <w:color w:val="000000" w:themeColor="text1"/>
          <w:sz w:val="24"/>
        </w:rPr>
        <w:t>（2）周围环境</w:t>
      </w:r>
    </w:p>
    <w:p>
      <w:pPr>
        <w:spacing w:line="560" w:lineRule="exact"/>
        <w:ind w:firstLine="480" w:firstLineChars="200"/>
        <w:rPr>
          <w:color w:val="000000" w:themeColor="text1"/>
          <w:sz w:val="24"/>
          <w:lang w:val="zh-CN"/>
        </w:rPr>
      </w:pPr>
      <w:bookmarkStart w:id="14" w:name="_Toc475261384"/>
      <w:bookmarkStart w:id="15" w:name="_Toc476661350"/>
      <w:bookmarkStart w:id="16" w:name="_Toc3019513"/>
      <w:bookmarkStart w:id="17" w:name="_Toc31337"/>
      <w:bookmarkStart w:id="18" w:name="_Toc479779856"/>
      <w:r>
        <w:rPr>
          <w:color w:val="000000" w:themeColor="text1"/>
          <w:sz w:val="24"/>
          <w:lang w:val="zh-CN"/>
        </w:rPr>
        <w:t>该项目位于平舆县</w:t>
      </w:r>
      <w:r>
        <w:rPr>
          <w:rFonts w:hint="eastAsia"/>
          <w:color w:val="000000" w:themeColor="text1"/>
          <w:sz w:val="24"/>
          <w:lang w:val="zh-CN"/>
        </w:rPr>
        <w:t>东和店镇邢岗村</w:t>
      </w:r>
      <w:r>
        <w:rPr>
          <w:color w:val="000000" w:themeColor="text1"/>
          <w:sz w:val="24"/>
          <w:lang w:val="zh-CN"/>
        </w:rPr>
        <w:t>，场区四周农田围绕，地形相对平坦。种植作物有玉米、小麦等；场址周围敏感点有：</w:t>
      </w:r>
      <w:r>
        <w:rPr>
          <w:rFonts w:hint="eastAsia"/>
          <w:color w:val="000000" w:themeColor="text1"/>
          <w:sz w:val="24"/>
          <w:lang w:val="zh-CN"/>
        </w:rPr>
        <w:t>东南</w:t>
      </w:r>
      <w:r>
        <w:rPr>
          <w:color w:val="000000" w:themeColor="text1"/>
          <w:sz w:val="24"/>
          <w:lang w:val="zh-CN"/>
        </w:rPr>
        <w:t>侧</w:t>
      </w:r>
      <w:r>
        <w:rPr>
          <w:rFonts w:hint="eastAsia"/>
          <w:color w:val="000000" w:themeColor="text1"/>
          <w:sz w:val="24"/>
          <w:lang w:eastAsia="zh-CN"/>
        </w:rPr>
        <w:t>507</w:t>
      </w:r>
      <w:r>
        <w:rPr>
          <w:color w:val="000000" w:themeColor="text1"/>
          <w:sz w:val="24"/>
          <w:lang w:val="zh-CN"/>
        </w:rPr>
        <w:t>m处为</w:t>
      </w:r>
      <w:r>
        <w:rPr>
          <w:rFonts w:hint="eastAsia"/>
          <w:color w:val="000000" w:themeColor="text1"/>
          <w:sz w:val="24"/>
          <w:lang w:val="zh-CN"/>
        </w:rPr>
        <w:t>邢寨村</w:t>
      </w:r>
      <w:r>
        <w:rPr>
          <w:color w:val="000000" w:themeColor="text1"/>
          <w:sz w:val="24"/>
          <w:lang w:val="zh-CN"/>
        </w:rPr>
        <w:t>，</w:t>
      </w:r>
      <w:r>
        <w:rPr>
          <w:rFonts w:hint="eastAsia"/>
          <w:color w:val="000000" w:themeColor="text1"/>
          <w:sz w:val="24"/>
          <w:lang w:val="zh-CN"/>
        </w:rPr>
        <w:t>南</w:t>
      </w:r>
      <w:r>
        <w:rPr>
          <w:color w:val="000000" w:themeColor="text1"/>
          <w:sz w:val="24"/>
          <w:lang w:val="zh-CN"/>
        </w:rPr>
        <w:t>侧</w:t>
      </w:r>
      <w:r>
        <w:rPr>
          <w:rFonts w:hint="eastAsia"/>
          <w:color w:val="000000" w:themeColor="text1"/>
          <w:sz w:val="24"/>
        </w:rPr>
        <w:t>1140</w:t>
      </w:r>
      <w:r>
        <w:rPr>
          <w:color w:val="000000" w:themeColor="text1"/>
          <w:sz w:val="24"/>
          <w:lang w:val="zh-CN"/>
        </w:rPr>
        <w:t>m处为</w:t>
      </w:r>
      <w:r>
        <w:rPr>
          <w:rFonts w:hint="eastAsia"/>
          <w:color w:val="000000" w:themeColor="text1"/>
          <w:sz w:val="24"/>
          <w:lang w:val="zh-CN"/>
        </w:rPr>
        <w:t>老任村</w:t>
      </w:r>
      <w:r>
        <w:rPr>
          <w:color w:val="000000" w:themeColor="text1"/>
          <w:sz w:val="24"/>
          <w:lang w:val="zh-CN"/>
        </w:rPr>
        <w:t>，</w:t>
      </w:r>
      <w:r>
        <w:rPr>
          <w:rFonts w:hint="eastAsia"/>
          <w:color w:val="000000" w:themeColor="text1"/>
          <w:sz w:val="24"/>
          <w:lang w:val="zh-CN"/>
        </w:rPr>
        <w:t>西</w:t>
      </w:r>
      <w:r>
        <w:rPr>
          <w:color w:val="000000" w:themeColor="text1"/>
          <w:sz w:val="24"/>
          <w:lang w:val="zh-CN"/>
        </w:rPr>
        <w:t>侧</w:t>
      </w:r>
      <w:r>
        <w:rPr>
          <w:rFonts w:hint="eastAsia"/>
          <w:color w:val="000000" w:themeColor="text1"/>
          <w:sz w:val="24"/>
        </w:rPr>
        <w:t>1876</w:t>
      </w:r>
      <w:r>
        <w:rPr>
          <w:color w:val="000000" w:themeColor="text1"/>
          <w:sz w:val="24"/>
          <w:lang w:val="zh-CN"/>
        </w:rPr>
        <w:t>m处为</w:t>
      </w:r>
      <w:r>
        <w:rPr>
          <w:rFonts w:hint="eastAsia"/>
          <w:color w:val="000000" w:themeColor="text1"/>
          <w:sz w:val="24"/>
          <w:lang w:val="zh-CN"/>
        </w:rPr>
        <w:t>后湾村</w:t>
      </w:r>
      <w:r>
        <w:rPr>
          <w:color w:val="000000" w:themeColor="text1"/>
          <w:sz w:val="24"/>
          <w:lang w:val="zh-CN"/>
        </w:rPr>
        <w:t>，</w:t>
      </w:r>
      <w:r>
        <w:rPr>
          <w:rFonts w:hint="eastAsia"/>
          <w:color w:val="000000" w:themeColor="text1"/>
          <w:sz w:val="24"/>
          <w:lang w:val="zh-CN"/>
        </w:rPr>
        <w:t>北</w:t>
      </w:r>
      <w:r>
        <w:rPr>
          <w:color w:val="000000" w:themeColor="text1"/>
          <w:sz w:val="24"/>
          <w:lang w:val="zh-CN"/>
        </w:rPr>
        <w:t>侧</w:t>
      </w:r>
      <w:r>
        <w:rPr>
          <w:rFonts w:hint="eastAsia"/>
          <w:color w:val="000000" w:themeColor="text1"/>
          <w:sz w:val="24"/>
        </w:rPr>
        <w:t>955</w:t>
      </w:r>
      <w:r>
        <w:rPr>
          <w:color w:val="000000" w:themeColor="text1"/>
          <w:sz w:val="24"/>
          <w:lang w:val="zh-CN"/>
        </w:rPr>
        <w:t>m处为</w:t>
      </w:r>
      <w:r>
        <w:rPr>
          <w:rFonts w:hint="eastAsia"/>
          <w:color w:val="000000" w:themeColor="text1"/>
          <w:sz w:val="24"/>
          <w:lang w:val="zh-CN"/>
        </w:rPr>
        <w:t>仙翁庙村</w:t>
      </w:r>
      <w:r>
        <w:rPr>
          <w:color w:val="000000" w:themeColor="text1"/>
          <w:sz w:val="24"/>
          <w:lang w:val="zh-CN"/>
        </w:rPr>
        <w:t>。</w:t>
      </w:r>
    </w:p>
    <w:p>
      <w:pPr>
        <w:pStyle w:val="4"/>
        <w:spacing w:before="156" w:after="156"/>
        <w:rPr>
          <w:rFonts w:hAnsi="Times New Roman"/>
        </w:rPr>
      </w:pPr>
      <w:r>
        <w:rPr>
          <w:rFonts w:hAnsi="Times New Roman"/>
        </w:rPr>
        <w:t>1.3 环境影响评价的工作过程</w:t>
      </w:r>
      <w:bookmarkEnd w:id="14"/>
      <w:bookmarkEnd w:id="15"/>
      <w:bookmarkEnd w:id="16"/>
      <w:bookmarkEnd w:id="17"/>
      <w:bookmarkEnd w:id="18"/>
    </w:p>
    <w:p>
      <w:pPr>
        <w:spacing w:line="560" w:lineRule="exact"/>
        <w:ind w:firstLine="480" w:firstLineChars="200"/>
        <w:rPr>
          <w:sz w:val="24"/>
        </w:rPr>
      </w:pPr>
      <w:r>
        <w:rPr>
          <w:sz w:val="24"/>
        </w:rPr>
        <w:t>根据《中华人民共和国环境保护法》、《中华人民共和国环境影响评价法》、《建设项目环境保护管理条例》及《建设项目环境影响评价分类管理名录》（环境保护部令第44号, 2018年4月28修改）等有关规定，本项目属第一类 畜牧业\第1项 畜禽养殖场、养殖小区\年出栏生猪5000头以上，应当编制环境影响报告书。</w:t>
      </w:r>
    </w:p>
    <w:p>
      <w:pPr>
        <w:spacing w:line="560" w:lineRule="exact"/>
        <w:ind w:firstLine="480" w:firstLineChars="200"/>
        <w:rPr>
          <w:sz w:val="24"/>
        </w:rPr>
      </w:pPr>
      <w:r>
        <w:rPr>
          <w:sz w:val="24"/>
        </w:rPr>
        <w:t>根据《河南省建设项目环境影响评价文件分级审批目录》（2016年本），该项目环境影响报告书应由驻马店市环境保护局审批。</w:t>
      </w:r>
    </w:p>
    <w:p>
      <w:pPr>
        <w:widowControl/>
        <w:kinsoku w:val="0"/>
        <w:overflowPunct w:val="0"/>
        <w:snapToGrid w:val="0"/>
        <w:spacing w:line="520" w:lineRule="exact"/>
        <w:ind w:firstLine="480" w:firstLineChars="200"/>
        <w:rPr>
          <w:sz w:val="24"/>
        </w:rPr>
      </w:pPr>
      <w:r>
        <w:rPr>
          <w:sz w:val="24"/>
        </w:rPr>
        <w:t>受平舆牧原农牧</w:t>
      </w:r>
      <w:r>
        <w:rPr>
          <w:kern w:val="0"/>
          <w:sz w:val="24"/>
        </w:rPr>
        <w:t>有限公司</w:t>
      </w:r>
      <w:r>
        <w:rPr>
          <w:kern w:val="28"/>
          <w:sz w:val="24"/>
        </w:rPr>
        <w:t>的</w:t>
      </w:r>
      <w:r>
        <w:rPr>
          <w:sz w:val="24"/>
        </w:rPr>
        <w:t>委托，按照导则、规范要求及评价工作需要，在依程序开展现场调查，资料收集，现状监测等环评工作的基础上，济源蓝天科技有限责任公司编制了“</w:t>
      </w:r>
      <w:r>
        <w:rPr>
          <w:kern w:val="0"/>
          <w:sz w:val="24"/>
        </w:rPr>
        <w:t>平舆牧原农牧有限公司平舆二十场生猪养殖项目</w:t>
      </w:r>
      <w:r>
        <w:rPr>
          <w:sz w:val="24"/>
        </w:rPr>
        <w:t>”环境影响报告书。</w:t>
      </w:r>
    </w:p>
    <w:p>
      <w:pPr>
        <w:spacing w:line="560" w:lineRule="exact"/>
        <w:ind w:firstLine="480" w:firstLineChars="200"/>
        <w:rPr>
          <w:sz w:val="24"/>
        </w:rPr>
      </w:pPr>
      <w:r>
        <w:rPr>
          <w:sz w:val="24"/>
        </w:rPr>
        <w:t>以下是环评过程回顾：</w:t>
      </w:r>
    </w:p>
    <w:p>
      <w:pPr>
        <w:spacing w:line="560" w:lineRule="exact"/>
        <w:ind w:firstLine="480" w:firstLineChars="200"/>
        <w:rPr>
          <w:sz w:val="24"/>
        </w:rPr>
      </w:pPr>
      <w:r>
        <w:rPr>
          <w:color w:val="000000"/>
          <w:sz w:val="24"/>
        </w:rPr>
        <w:t>2019年</w:t>
      </w:r>
      <w:r>
        <w:rPr>
          <w:rFonts w:hint="eastAsia"/>
          <w:color w:val="000000"/>
          <w:sz w:val="24"/>
        </w:rPr>
        <w:t>10</w:t>
      </w:r>
      <w:r>
        <w:rPr>
          <w:color w:val="000000"/>
          <w:sz w:val="24"/>
        </w:rPr>
        <w:t>月</w:t>
      </w:r>
      <w:r>
        <w:rPr>
          <w:sz w:val="24"/>
        </w:rPr>
        <w:t>，接受建设单位委托后，项目启动，受建设单位邀请对拟建厂址及周围环境情况进行了踏勘，并收集相关资料。</w:t>
      </w:r>
    </w:p>
    <w:p>
      <w:pPr>
        <w:spacing w:line="560" w:lineRule="exact"/>
        <w:ind w:firstLine="480" w:firstLineChars="200"/>
        <w:rPr>
          <w:sz w:val="24"/>
        </w:rPr>
      </w:pPr>
      <w:r>
        <w:rPr>
          <w:sz w:val="24"/>
        </w:rPr>
        <w:t>2019年</w:t>
      </w:r>
      <w:r>
        <w:rPr>
          <w:rFonts w:hint="eastAsia"/>
          <w:sz w:val="24"/>
        </w:rPr>
        <w:t>11</w:t>
      </w:r>
      <w:r>
        <w:rPr>
          <w:sz w:val="24"/>
        </w:rPr>
        <w:t>月，建设单位委托河南政检检测研究院有限公司进行环境现状监测。</w:t>
      </w:r>
    </w:p>
    <w:p>
      <w:pPr>
        <w:spacing w:line="560" w:lineRule="exact"/>
        <w:ind w:firstLine="480" w:firstLineChars="200"/>
        <w:rPr>
          <w:sz w:val="24"/>
        </w:rPr>
      </w:pPr>
      <w:r>
        <w:rPr>
          <w:sz w:val="24"/>
        </w:rPr>
        <w:t>2019年</w:t>
      </w:r>
      <w:r>
        <w:rPr>
          <w:rFonts w:hint="eastAsia"/>
          <w:sz w:val="24"/>
        </w:rPr>
        <w:t>11</w:t>
      </w:r>
      <w:r>
        <w:rPr>
          <w:sz w:val="24"/>
        </w:rPr>
        <w:t>月，济源蓝天科技有限责任公司编制完成了该项目环境影响报告书（送审版）。</w:t>
      </w:r>
    </w:p>
    <w:p>
      <w:pPr>
        <w:pStyle w:val="4"/>
        <w:spacing w:before="156" w:after="156"/>
        <w:rPr>
          <w:rFonts w:hAnsi="Times New Roman"/>
        </w:rPr>
      </w:pPr>
      <w:r>
        <w:rPr>
          <w:rFonts w:hAnsi="Times New Roman"/>
        </w:rPr>
        <w:t>1.4 关注的主要环境问题及环境影响</w:t>
      </w:r>
      <w:bookmarkEnd w:id="9"/>
      <w:bookmarkEnd w:id="10"/>
      <w:bookmarkEnd w:id="11"/>
      <w:bookmarkEnd w:id="12"/>
      <w:bookmarkEnd w:id="13"/>
    </w:p>
    <w:p>
      <w:pPr>
        <w:spacing w:line="560" w:lineRule="exact"/>
        <w:ind w:firstLine="480" w:firstLineChars="200"/>
        <w:rPr>
          <w:sz w:val="24"/>
        </w:rPr>
      </w:pPr>
      <w:r>
        <w:rPr>
          <w:sz w:val="24"/>
        </w:rPr>
        <w:t>环境空气：重点关注项目建设产生的恶臭对区域环境空气质量以及敏感点的影响；</w:t>
      </w:r>
    </w:p>
    <w:p>
      <w:pPr>
        <w:spacing w:line="560" w:lineRule="exact"/>
        <w:ind w:firstLine="480" w:firstLineChars="200"/>
        <w:rPr>
          <w:sz w:val="24"/>
        </w:rPr>
      </w:pPr>
      <w:r>
        <w:rPr>
          <w:sz w:val="24"/>
        </w:rPr>
        <w:t>水环境：重点关注项目项目废水收集、处理措施以及完全综合利用的可行性；</w:t>
      </w:r>
    </w:p>
    <w:p>
      <w:pPr>
        <w:spacing w:line="560" w:lineRule="exact"/>
        <w:ind w:firstLine="480" w:firstLineChars="200"/>
        <w:rPr>
          <w:sz w:val="24"/>
        </w:rPr>
      </w:pPr>
      <w:r>
        <w:rPr>
          <w:sz w:val="24"/>
        </w:rPr>
        <w:t>声环境：重点关注项目实施后高噪声设备对区域声环境的影响；</w:t>
      </w:r>
    </w:p>
    <w:p>
      <w:pPr>
        <w:spacing w:line="560" w:lineRule="exact"/>
        <w:ind w:firstLine="480" w:firstLineChars="200"/>
        <w:rPr>
          <w:sz w:val="24"/>
        </w:rPr>
      </w:pPr>
      <w:r>
        <w:rPr>
          <w:sz w:val="24"/>
        </w:rPr>
        <w:t>固体废物：重点关注病死猪及医疗垃圾的收集、暂存、处置措施的合理性，防止二次污染。</w:t>
      </w:r>
    </w:p>
    <w:p>
      <w:pPr>
        <w:pStyle w:val="4"/>
        <w:spacing w:before="156" w:after="156"/>
        <w:rPr>
          <w:rFonts w:hAnsi="Times New Roman"/>
        </w:rPr>
      </w:pPr>
      <w:bookmarkStart w:id="19" w:name="_Toc479779858"/>
      <w:bookmarkStart w:id="20" w:name="_Toc3019515"/>
      <w:bookmarkStart w:id="21" w:name="_Toc475261386"/>
      <w:bookmarkStart w:id="22" w:name="_Toc476661352"/>
      <w:bookmarkStart w:id="23" w:name="_Toc11240"/>
      <w:r>
        <w:rPr>
          <w:rFonts w:hAnsi="Times New Roman"/>
        </w:rPr>
        <w:t>1.5 环境影响评价的主要结论</w:t>
      </w:r>
      <w:bookmarkEnd w:id="19"/>
      <w:bookmarkEnd w:id="20"/>
      <w:bookmarkEnd w:id="21"/>
      <w:bookmarkEnd w:id="22"/>
      <w:bookmarkEnd w:id="23"/>
    </w:p>
    <w:p>
      <w:pPr>
        <w:spacing w:line="560" w:lineRule="exact"/>
        <w:ind w:firstLine="480" w:firstLineChars="200"/>
        <w:rPr>
          <w:sz w:val="24"/>
        </w:rPr>
      </w:pPr>
      <w:r>
        <w:rPr>
          <w:sz w:val="24"/>
        </w:rPr>
        <w:t>本项目符合国家产业政策，选址符合《平舆县城乡总体规划（2012-2020）》和《平舆县“十三五”生态环境保护规划》，符合平舆县畜禽养殖禁养区划定方案，不在平舆县城市、乡镇集中式饮用水源地保护区范围内，符合环境功能区划。该项目废气、废水、噪声、固体废物处理措施合理，污染物排放可实现最大程度的削减，产生的各类污染物能够达标排放，可满足总量控制要求。经预测，废气、废水、固废的排放对周围环境及敏感点不会产生明显影响。</w:t>
      </w:r>
    </w:p>
    <w:p>
      <w:pPr>
        <w:spacing w:line="500" w:lineRule="exact"/>
        <w:ind w:firstLine="480" w:firstLineChars="200"/>
        <w:rPr>
          <w:color w:val="000000"/>
          <w:sz w:val="24"/>
        </w:rPr>
      </w:pPr>
      <w:r>
        <w:rPr>
          <w:sz w:val="24"/>
        </w:rPr>
        <w:t>综上所述，拟建工程的建设是评价区域整体环境可以承纳的，具备环境可行性，从环保角度，该项目的建设是可行的。</w:t>
      </w:r>
    </w:p>
    <w:p>
      <w:pPr>
        <w:pStyle w:val="4"/>
        <w:spacing w:before="156" w:after="156"/>
        <w:rPr>
          <w:rFonts w:hAnsi="Times New Roman"/>
          <w:color w:val="000000"/>
        </w:rPr>
      </w:pPr>
      <w:bookmarkStart w:id="24" w:name="_Toc3019516"/>
      <w:bookmarkStart w:id="25" w:name="_Toc375206150"/>
      <w:r>
        <w:rPr>
          <w:rFonts w:hAnsi="Times New Roman"/>
          <w:color w:val="000000"/>
        </w:rPr>
        <w:t>1.6 编制依据</w:t>
      </w:r>
      <w:bookmarkEnd w:id="24"/>
      <w:bookmarkEnd w:id="25"/>
    </w:p>
    <w:p>
      <w:pPr>
        <w:spacing w:line="600" w:lineRule="exact"/>
        <w:outlineLvl w:val="2"/>
        <w:rPr>
          <w:b/>
          <w:color w:val="000000"/>
          <w:sz w:val="24"/>
          <w:lang w:val="zh-CN"/>
        </w:rPr>
      </w:pPr>
      <w:r>
        <w:rPr>
          <w:b/>
          <w:color w:val="000000"/>
          <w:sz w:val="24"/>
          <w:lang w:val="zh-CN"/>
        </w:rPr>
        <w:t>1.6.1 法律法规</w:t>
      </w:r>
    </w:p>
    <w:p>
      <w:pPr>
        <w:tabs>
          <w:tab w:val="left" w:pos="1080"/>
        </w:tabs>
        <w:spacing w:line="500" w:lineRule="exact"/>
        <w:ind w:left="426"/>
        <w:rPr>
          <w:color w:val="000000"/>
          <w:sz w:val="24"/>
        </w:rPr>
      </w:pPr>
      <w:r>
        <w:rPr>
          <w:color w:val="000000"/>
          <w:sz w:val="24"/>
        </w:rPr>
        <w:t>（1）《中华人民共和国环境保护法》（2014年4月24日修订，2015年1月1日实施）；</w:t>
      </w:r>
    </w:p>
    <w:p>
      <w:pPr>
        <w:tabs>
          <w:tab w:val="left" w:pos="1080"/>
        </w:tabs>
        <w:spacing w:line="500" w:lineRule="exact"/>
        <w:ind w:left="426"/>
        <w:rPr>
          <w:color w:val="000000"/>
          <w:sz w:val="24"/>
        </w:rPr>
      </w:pPr>
      <w:r>
        <w:rPr>
          <w:color w:val="000000"/>
          <w:sz w:val="24"/>
        </w:rPr>
        <w:t>（2）《中华人民共和国环境影响评价法》，2016年9月1日实施；</w:t>
      </w:r>
    </w:p>
    <w:p>
      <w:pPr>
        <w:tabs>
          <w:tab w:val="left" w:pos="1080"/>
        </w:tabs>
        <w:spacing w:line="500" w:lineRule="exact"/>
        <w:ind w:left="426"/>
        <w:rPr>
          <w:color w:val="000000"/>
          <w:sz w:val="24"/>
        </w:rPr>
      </w:pPr>
      <w:r>
        <w:rPr>
          <w:color w:val="000000"/>
          <w:sz w:val="24"/>
        </w:rPr>
        <w:t>（3）《建设项目环境保护管理条例》（国务院令第253号，1998年11月29日）；</w:t>
      </w:r>
    </w:p>
    <w:p>
      <w:pPr>
        <w:tabs>
          <w:tab w:val="left" w:pos="1080"/>
        </w:tabs>
        <w:spacing w:line="500" w:lineRule="exact"/>
        <w:ind w:left="426"/>
        <w:rPr>
          <w:color w:val="000000"/>
          <w:sz w:val="24"/>
        </w:rPr>
      </w:pPr>
      <w:r>
        <w:rPr>
          <w:color w:val="000000"/>
          <w:sz w:val="24"/>
        </w:rPr>
        <w:t>（4）《中华人民共和国水污染防治法》（2018年1月1日）；</w:t>
      </w:r>
    </w:p>
    <w:p>
      <w:pPr>
        <w:tabs>
          <w:tab w:val="left" w:pos="1080"/>
        </w:tabs>
        <w:spacing w:line="500" w:lineRule="exact"/>
        <w:ind w:left="426"/>
        <w:rPr>
          <w:color w:val="000000"/>
          <w:sz w:val="24"/>
        </w:rPr>
      </w:pPr>
      <w:r>
        <w:rPr>
          <w:color w:val="000000"/>
          <w:sz w:val="24"/>
        </w:rPr>
        <w:t>（5）《中华人民共和国大气污染防治法》（2016年1月1日实施）；</w:t>
      </w:r>
    </w:p>
    <w:p>
      <w:pPr>
        <w:tabs>
          <w:tab w:val="left" w:pos="1080"/>
        </w:tabs>
        <w:spacing w:line="500" w:lineRule="exact"/>
        <w:ind w:left="426"/>
        <w:rPr>
          <w:color w:val="000000"/>
          <w:sz w:val="24"/>
        </w:rPr>
      </w:pPr>
      <w:r>
        <w:rPr>
          <w:color w:val="000000"/>
          <w:sz w:val="24"/>
        </w:rPr>
        <w:t>（6）《中华人民共和国环境噪声污染防治法》（1996年10月29日）；</w:t>
      </w:r>
    </w:p>
    <w:p>
      <w:pPr>
        <w:tabs>
          <w:tab w:val="left" w:pos="1080"/>
        </w:tabs>
        <w:spacing w:line="500" w:lineRule="exact"/>
        <w:ind w:left="426"/>
        <w:rPr>
          <w:color w:val="000000"/>
          <w:sz w:val="24"/>
        </w:rPr>
      </w:pPr>
      <w:r>
        <w:rPr>
          <w:color w:val="000000"/>
          <w:sz w:val="24"/>
        </w:rPr>
        <w:t>（7）《中华人民共和国固体废物污染环境防治法》（2016年修订实施修订实施）；</w:t>
      </w:r>
    </w:p>
    <w:p>
      <w:pPr>
        <w:tabs>
          <w:tab w:val="left" w:pos="1080"/>
        </w:tabs>
        <w:spacing w:line="500" w:lineRule="exact"/>
        <w:ind w:left="426"/>
        <w:rPr>
          <w:color w:val="000000"/>
          <w:sz w:val="24"/>
        </w:rPr>
      </w:pPr>
      <w:r>
        <w:rPr>
          <w:color w:val="000000"/>
          <w:sz w:val="24"/>
        </w:rPr>
        <w:t>（8）《中华人民共和国土地管理法》（2004年8月28日修订）；</w:t>
      </w:r>
    </w:p>
    <w:p>
      <w:pPr>
        <w:tabs>
          <w:tab w:val="left" w:pos="1080"/>
        </w:tabs>
        <w:spacing w:line="500" w:lineRule="exact"/>
        <w:ind w:left="426"/>
        <w:rPr>
          <w:color w:val="000000"/>
          <w:sz w:val="24"/>
        </w:rPr>
      </w:pPr>
      <w:r>
        <w:rPr>
          <w:color w:val="000000"/>
          <w:sz w:val="24"/>
        </w:rPr>
        <w:t>（9）《基本农田保护条例》（国务院令第257号，1998年12月27日）；</w:t>
      </w:r>
    </w:p>
    <w:p>
      <w:pPr>
        <w:tabs>
          <w:tab w:val="left" w:pos="1080"/>
        </w:tabs>
        <w:spacing w:line="500" w:lineRule="exact"/>
        <w:ind w:left="426"/>
        <w:rPr>
          <w:color w:val="000000"/>
          <w:sz w:val="24"/>
        </w:rPr>
      </w:pPr>
      <w:r>
        <w:rPr>
          <w:color w:val="000000"/>
          <w:sz w:val="24"/>
        </w:rPr>
        <w:t>（10）《国家危险废物名录》（2016年8月1日）；</w:t>
      </w:r>
    </w:p>
    <w:p>
      <w:pPr>
        <w:tabs>
          <w:tab w:val="left" w:pos="1080"/>
        </w:tabs>
        <w:spacing w:line="500" w:lineRule="exact"/>
        <w:ind w:left="426"/>
        <w:rPr>
          <w:color w:val="000000"/>
          <w:sz w:val="24"/>
        </w:rPr>
      </w:pPr>
      <w:r>
        <w:rPr>
          <w:color w:val="000000"/>
          <w:sz w:val="24"/>
        </w:rPr>
        <w:t>（11）《国务院关于印发“十三五”生态环境保护规划的通知》国发〔2016〕65号；</w:t>
      </w:r>
    </w:p>
    <w:p>
      <w:pPr>
        <w:tabs>
          <w:tab w:val="left" w:pos="1080"/>
        </w:tabs>
        <w:spacing w:line="500" w:lineRule="exact"/>
        <w:ind w:left="426"/>
        <w:rPr>
          <w:color w:val="000000"/>
          <w:sz w:val="24"/>
        </w:rPr>
      </w:pPr>
      <w:r>
        <w:rPr>
          <w:color w:val="000000"/>
          <w:sz w:val="24"/>
        </w:rPr>
        <w:t>（12）《国务院关于环境保护若干问题的决定》（1996年8月3日）；</w:t>
      </w:r>
    </w:p>
    <w:p>
      <w:pPr>
        <w:tabs>
          <w:tab w:val="left" w:pos="1080"/>
        </w:tabs>
        <w:spacing w:line="500" w:lineRule="exact"/>
        <w:ind w:left="426"/>
        <w:rPr>
          <w:color w:val="000000"/>
          <w:sz w:val="24"/>
        </w:rPr>
      </w:pPr>
      <w:r>
        <w:rPr>
          <w:bCs/>
          <w:color w:val="000000"/>
          <w:sz w:val="24"/>
        </w:rPr>
        <w:t>（13）《关于落实科学发展观加</w:t>
      </w:r>
      <w:r>
        <w:rPr>
          <w:color w:val="000000"/>
          <w:sz w:val="24"/>
        </w:rPr>
        <w:t>强环境保护的决定》（国发[2005]39号，2005年12月3日）；</w:t>
      </w:r>
    </w:p>
    <w:p>
      <w:pPr>
        <w:tabs>
          <w:tab w:val="left" w:pos="1080"/>
        </w:tabs>
        <w:spacing w:line="500" w:lineRule="exact"/>
        <w:ind w:left="426"/>
        <w:rPr>
          <w:color w:val="000000"/>
          <w:sz w:val="24"/>
        </w:rPr>
      </w:pPr>
      <w:r>
        <w:rPr>
          <w:color w:val="000000"/>
          <w:sz w:val="24"/>
        </w:rPr>
        <w:t>（14）《关于进一步加强环境影响评价管理防范环境风险的通知》（环发[2012]77号）；</w:t>
      </w:r>
    </w:p>
    <w:p>
      <w:pPr>
        <w:tabs>
          <w:tab w:val="left" w:pos="1080"/>
        </w:tabs>
        <w:spacing w:line="500" w:lineRule="exact"/>
        <w:ind w:left="426"/>
        <w:rPr>
          <w:color w:val="000000"/>
          <w:sz w:val="24"/>
        </w:rPr>
      </w:pPr>
      <w:r>
        <w:rPr>
          <w:color w:val="000000"/>
          <w:sz w:val="24"/>
        </w:rPr>
        <w:t>（15）《关于切实加强风险防范严格环境影响评价管理的通知》（环发[2012]98号）；</w:t>
      </w:r>
    </w:p>
    <w:p>
      <w:pPr>
        <w:tabs>
          <w:tab w:val="left" w:pos="1080"/>
        </w:tabs>
        <w:spacing w:line="500" w:lineRule="exact"/>
        <w:ind w:left="426"/>
        <w:rPr>
          <w:color w:val="000000"/>
          <w:sz w:val="24"/>
        </w:rPr>
      </w:pPr>
      <w:r>
        <w:rPr>
          <w:color w:val="000000"/>
          <w:sz w:val="24"/>
        </w:rPr>
        <w:t>（16）《环境影响评价公众参与暂行办法》（环发[2006]28号）；</w:t>
      </w:r>
    </w:p>
    <w:p>
      <w:pPr>
        <w:tabs>
          <w:tab w:val="left" w:pos="1080"/>
        </w:tabs>
        <w:spacing w:line="500" w:lineRule="exact"/>
        <w:ind w:left="426"/>
        <w:rPr>
          <w:color w:val="000000"/>
          <w:sz w:val="24"/>
        </w:rPr>
      </w:pPr>
      <w:r>
        <w:rPr>
          <w:color w:val="000000"/>
          <w:sz w:val="24"/>
        </w:rPr>
        <w:t>（17）《农业部关于加快推进畜禽标准化规模养殖的意见》（农牧发[2010]6号）；</w:t>
      </w:r>
    </w:p>
    <w:p>
      <w:pPr>
        <w:tabs>
          <w:tab w:val="left" w:pos="1080"/>
        </w:tabs>
        <w:spacing w:line="500" w:lineRule="exact"/>
        <w:ind w:left="426"/>
        <w:rPr>
          <w:color w:val="000000"/>
          <w:sz w:val="24"/>
        </w:rPr>
      </w:pPr>
      <w:r>
        <w:rPr>
          <w:color w:val="000000"/>
          <w:sz w:val="24"/>
        </w:rPr>
        <w:t>（18）《畜禽养殖业污染防治管理办法》（国家环境保护总局令 第9号）；</w:t>
      </w:r>
    </w:p>
    <w:p>
      <w:pPr>
        <w:tabs>
          <w:tab w:val="left" w:pos="1080"/>
        </w:tabs>
        <w:spacing w:line="500" w:lineRule="exact"/>
        <w:ind w:left="426"/>
        <w:rPr>
          <w:color w:val="000000"/>
          <w:sz w:val="24"/>
        </w:rPr>
      </w:pPr>
      <w:r>
        <w:rPr>
          <w:color w:val="000000"/>
          <w:sz w:val="24"/>
        </w:rPr>
        <w:t>（19）《畜禽养殖业污染防治技术政策》（环发[2010]151号）；</w:t>
      </w:r>
    </w:p>
    <w:p>
      <w:pPr>
        <w:spacing w:line="500" w:lineRule="exact"/>
        <w:ind w:firstLine="480" w:firstLineChars="200"/>
        <w:rPr>
          <w:color w:val="000000"/>
          <w:sz w:val="24"/>
        </w:rPr>
      </w:pPr>
      <w:r>
        <w:rPr>
          <w:color w:val="000000"/>
          <w:sz w:val="24"/>
        </w:rPr>
        <w:t>（20）《</w:t>
      </w:r>
      <w:r>
        <w:rPr>
          <w:bCs/>
          <w:color w:val="000000"/>
          <w:sz w:val="24"/>
        </w:rPr>
        <w:t>畜禽规模养殖污染防治条例</w:t>
      </w:r>
      <w:r>
        <w:rPr>
          <w:color w:val="000000"/>
          <w:sz w:val="24"/>
        </w:rPr>
        <w:t>》（国务院令第643号，2014年1月1日）；</w:t>
      </w:r>
    </w:p>
    <w:p>
      <w:pPr>
        <w:spacing w:line="500" w:lineRule="exact"/>
        <w:ind w:firstLine="480" w:firstLineChars="200"/>
        <w:rPr>
          <w:color w:val="000000"/>
          <w:sz w:val="24"/>
        </w:rPr>
      </w:pPr>
      <w:r>
        <w:rPr>
          <w:color w:val="000000"/>
          <w:sz w:val="24"/>
        </w:rPr>
        <w:t>（21）</w:t>
      </w:r>
      <w:r>
        <w:rPr>
          <w:bCs/>
          <w:color w:val="000000"/>
          <w:sz w:val="24"/>
        </w:rPr>
        <w:t>《河南省减少污染物排放条例》</w:t>
      </w:r>
      <w:r>
        <w:rPr>
          <w:color w:val="000000"/>
          <w:sz w:val="24"/>
        </w:rPr>
        <w:t>（2014.1.1）；</w:t>
      </w:r>
    </w:p>
    <w:p>
      <w:pPr>
        <w:spacing w:line="500" w:lineRule="exact"/>
        <w:ind w:firstLine="480" w:firstLineChars="200"/>
        <w:rPr>
          <w:color w:val="000000"/>
          <w:sz w:val="24"/>
        </w:rPr>
      </w:pPr>
      <w:r>
        <w:rPr>
          <w:color w:val="000000"/>
          <w:sz w:val="24"/>
        </w:rPr>
        <w:t>（22）《河南省水污染防治条例》（河南省人民政府，2010.3.1）；</w:t>
      </w:r>
    </w:p>
    <w:p>
      <w:pPr>
        <w:spacing w:line="500" w:lineRule="exact"/>
        <w:ind w:firstLine="480" w:firstLineChars="200"/>
        <w:rPr>
          <w:color w:val="000000"/>
          <w:sz w:val="24"/>
        </w:rPr>
      </w:pPr>
      <w:r>
        <w:rPr>
          <w:color w:val="000000"/>
          <w:sz w:val="24"/>
        </w:rPr>
        <w:t>（23）《河南省环境保护“十三五”规划》（河南省人民政府，豫政[2017]77号）；</w:t>
      </w:r>
    </w:p>
    <w:p>
      <w:pPr>
        <w:spacing w:line="500" w:lineRule="exact"/>
        <w:ind w:firstLine="480" w:firstLineChars="200"/>
        <w:rPr>
          <w:color w:val="000000"/>
          <w:sz w:val="24"/>
        </w:rPr>
      </w:pPr>
      <w:r>
        <w:rPr>
          <w:color w:val="000000"/>
          <w:sz w:val="24"/>
        </w:rPr>
        <w:t>（24）《河南省现代畜牧产业发展规划》（豫政[2010]20号）；</w:t>
      </w:r>
    </w:p>
    <w:p>
      <w:pPr>
        <w:spacing w:line="500" w:lineRule="exact"/>
        <w:ind w:firstLine="480" w:firstLineChars="200"/>
        <w:rPr>
          <w:color w:val="000000"/>
          <w:sz w:val="24"/>
        </w:rPr>
      </w:pPr>
      <w:r>
        <w:rPr>
          <w:color w:val="000000"/>
          <w:sz w:val="24"/>
        </w:rPr>
        <w:t>（25）《河南省畜牧业“十三五”发展规划》（豫牧[2017]22号）；</w:t>
      </w:r>
    </w:p>
    <w:p>
      <w:pPr>
        <w:spacing w:line="500" w:lineRule="exact"/>
        <w:ind w:firstLine="480" w:firstLineChars="200"/>
        <w:rPr>
          <w:color w:val="000000"/>
          <w:sz w:val="24"/>
        </w:rPr>
      </w:pPr>
      <w:r>
        <w:rPr>
          <w:color w:val="000000"/>
          <w:sz w:val="24"/>
        </w:rPr>
        <w:t>（26）《关于加强环评管理防范环境风险的通知》（豫</w:t>
      </w:r>
      <w:r>
        <w:rPr>
          <w:bCs/>
          <w:color w:val="000000"/>
          <w:sz w:val="24"/>
        </w:rPr>
        <w:t>环文</w:t>
      </w:r>
      <w:r>
        <w:rPr>
          <w:color w:val="000000"/>
          <w:sz w:val="24"/>
        </w:rPr>
        <w:t>[2012]159号）；</w:t>
      </w:r>
    </w:p>
    <w:p>
      <w:pPr>
        <w:spacing w:line="500" w:lineRule="exact"/>
        <w:ind w:firstLine="480" w:firstLineChars="200"/>
        <w:rPr>
          <w:color w:val="000000"/>
          <w:sz w:val="24"/>
        </w:rPr>
      </w:pPr>
      <w:r>
        <w:rPr>
          <w:color w:val="000000"/>
          <w:sz w:val="24"/>
        </w:rPr>
        <w:t>（27）《平舆县城乡总体规划（2012-2030）》；</w:t>
      </w:r>
    </w:p>
    <w:p>
      <w:pPr>
        <w:spacing w:line="500" w:lineRule="exact"/>
        <w:ind w:firstLine="480" w:firstLineChars="200"/>
        <w:rPr>
          <w:color w:val="000000"/>
          <w:sz w:val="24"/>
        </w:rPr>
      </w:pPr>
      <w:r>
        <w:rPr>
          <w:color w:val="000000"/>
          <w:sz w:val="24"/>
        </w:rPr>
        <w:t>（28）《平舆县“十三五”生态环境保护规划》；</w:t>
      </w:r>
    </w:p>
    <w:p>
      <w:pPr>
        <w:spacing w:line="500" w:lineRule="exact"/>
        <w:ind w:firstLine="480" w:firstLineChars="200"/>
        <w:rPr>
          <w:color w:val="000000"/>
          <w:sz w:val="24"/>
        </w:rPr>
      </w:pPr>
      <w:r>
        <w:rPr>
          <w:color w:val="000000"/>
          <w:sz w:val="24"/>
        </w:rPr>
        <w:t>（29）《平舆县畜禽养殖禁养区限养区划定调整方案》的通知。</w:t>
      </w:r>
    </w:p>
    <w:p>
      <w:pPr>
        <w:spacing w:line="600" w:lineRule="exact"/>
        <w:outlineLvl w:val="2"/>
        <w:rPr>
          <w:b/>
          <w:color w:val="000000"/>
          <w:sz w:val="24"/>
          <w:lang w:val="zh-CN"/>
        </w:rPr>
      </w:pPr>
      <w:r>
        <w:rPr>
          <w:b/>
          <w:color w:val="000000"/>
          <w:sz w:val="24"/>
          <w:lang w:val="zh-CN"/>
        </w:rPr>
        <w:t xml:space="preserve">1.6.2 </w:t>
      </w:r>
      <w:r>
        <w:rPr>
          <w:b/>
          <w:color w:val="000000"/>
          <w:sz w:val="24"/>
        </w:rPr>
        <w:t>行业标准与技术规范</w:t>
      </w:r>
    </w:p>
    <w:p>
      <w:pPr>
        <w:spacing w:line="500" w:lineRule="exact"/>
        <w:ind w:firstLine="480" w:firstLineChars="200"/>
        <w:rPr>
          <w:color w:val="000000"/>
          <w:sz w:val="24"/>
        </w:rPr>
      </w:pPr>
      <w:r>
        <w:rPr>
          <w:color w:val="000000"/>
          <w:sz w:val="24"/>
        </w:rPr>
        <w:t>（1）《环境影响评价技术导则—总纲》（HJ2.1-2016）；</w:t>
      </w:r>
    </w:p>
    <w:p>
      <w:pPr>
        <w:spacing w:line="500" w:lineRule="exact"/>
        <w:ind w:firstLine="480" w:firstLineChars="200"/>
        <w:rPr>
          <w:color w:val="000000"/>
          <w:sz w:val="24"/>
        </w:rPr>
      </w:pPr>
      <w:r>
        <w:rPr>
          <w:color w:val="000000"/>
          <w:sz w:val="24"/>
        </w:rPr>
        <w:t>（2）《环境影响评价技术导则—大气环境》（HJ2.2-2018）；</w:t>
      </w:r>
    </w:p>
    <w:p>
      <w:pPr>
        <w:spacing w:line="500" w:lineRule="exact"/>
        <w:ind w:firstLine="480" w:firstLineChars="200"/>
        <w:rPr>
          <w:color w:val="000000"/>
          <w:sz w:val="24"/>
        </w:rPr>
      </w:pPr>
      <w:r>
        <w:rPr>
          <w:color w:val="000000"/>
          <w:sz w:val="24"/>
        </w:rPr>
        <w:t>（3）《环境影响评价技术导则—地表水环境》（HJ/T2.3-2018）；</w:t>
      </w:r>
    </w:p>
    <w:p>
      <w:pPr>
        <w:spacing w:line="500" w:lineRule="exact"/>
        <w:ind w:firstLine="480" w:firstLineChars="200"/>
        <w:rPr>
          <w:color w:val="000000"/>
          <w:sz w:val="24"/>
        </w:rPr>
      </w:pPr>
      <w:r>
        <w:rPr>
          <w:color w:val="000000"/>
          <w:sz w:val="24"/>
        </w:rPr>
        <w:t>（4）《环境影响评价技术导则—声环境》（HJ2.4-2009）；</w:t>
      </w:r>
    </w:p>
    <w:p>
      <w:pPr>
        <w:spacing w:line="500" w:lineRule="exact"/>
        <w:ind w:firstLine="480" w:firstLineChars="200"/>
        <w:rPr>
          <w:color w:val="000000"/>
          <w:sz w:val="24"/>
        </w:rPr>
      </w:pPr>
      <w:r>
        <w:rPr>
          <w:color w:val="000000"/>
          <w:sz w:val="24"/>
        </w:rPr>
        <w:t>（5）《环境影响评价技术导则—地下水环境》（HJ610-2016）；</w:t>
      </w:r>
    </w:p>
    <w:p>
      <w:pPr>
        <w:spacing w:line="500" w:lineRule="exact"/>
        <w:ind w:firstLine="480" w:firstLineChars="200"/>
        <w:rPr>
          <w:color w:val="000000"/>
          <w:sz w:val="24"/>
        </w:rPr>
      </w:pPr>
      <w:r>
        <w:rPr>
          <w:color w:val="000000"/>
          <w:sz w:val="24"/>
        </w:rPr>
        <w:t>（6）《环境影响评价技术导则—生态影响》（HJ19-2011）；</w:t>
      </w:r>
    </w:p>
    <w:p>
      <w:pPr>
        <w:spacing w:line="500" w:lineRule="exact"/>
        <w:ind w:firstLine="480" w:firstLineChars="200"/>
        <w:rPr>
          <w:color w:val="000000"/>
          <w:sz w:val="24"/>
        </w:rPr>
      </w:pPr>
      <w:r>
        <w:rPr>
          <w:color w:val="000000"/>
          <w:sz w:val="24"/>
        </w:rPr>
        <w:t>（7）《地下水环境监测技术规范》（HJ/T164-2004）；</w:t>
      </w:r>
    </w:p>
    <w:p>
      <w:pPr>
        <w:spacing w:line="500" w:lineRule="exact"/>
        <w:ind w:firstLine="480" w:firstLineChars="200"/>
        <w:rPr>
          <w:color w:val="000000"/>
          <w:sz w:val="24"/>
        </w:rPr>
      </w:pPr>
      <w:r>
        <w:rPr>
          <w:color w:val="000000"/>
          <w:sz w:val="24"/>
        </w:rPr>
        <w:t>（8）《地表水和污水监测技术规范》（HJ/T91-2002）；</w:t>
      </w:r>
    </w:p>
    <w:p>
      <w:pPr>
        <w:spacing w:line="500" w:lineRule="exact"/>
        <w:ind w:firstLine="480" w:firstLineChars="200"/>
        <w:rPr>
          <w:color w:val="000000"/>
          <w:sz w:val="24"/>
        </w:rPr>
      </w:pPr>
      <w:r>
        <w:rPr>
          <w:color w:val="000000"/>
          <w:sz w:val="24"/>
        </w:rPr>
        <w:t>（9）《建设项目环境影响评价分类管理名录》（环境保护部令第44号, 2018年4月28修改）；</w:t>
      </w:r>
    </w:p>
    <w:p>
      <w:pPr>
        <w:spacing w:line="500" w:lineRule="exact"/>
        <w:ind w:firstLine="480" w:firstLineChars="200"/>
        <w:rPr>
          <w:color w:val="000000"/>
          <w:sz w:val="24"/>
        </w:rPr>
      </w:pPr>
      <w:r>
        <w:rPr>
          <w:color w:val="000000"/>
          <w:sz w:val="24"/>
        </w:rPr>
        <w:t>（10）《建设项目环境风险评价技术导则》（HJ/T169-2018）；</w:t>
      </w:r>
    </w:p>
    <w:p>
      <w:pPr>
        <w:spacing w:line="500" w:lineRule="exact"/>
        <w:ind w:firstLine="480" w:firstLineChars="200"/>
        <w:rPr>
          <w:color w:val="000000"/>
          <w:sz w:val="24"/>
        </w:rPr>
      </w:pPr>
      <w:r>
        <w:rPr>
          <w:color w:val="000000"/>
          <w:sz w:val="24"/>
        </w:rPr>
        <w:t>（11）《畜禽养殖业污染防治技术规范》（HJ/T81-2001）；</w:t>
      </w:r>
    </w:p>
    <w:p>
      <w:pPr>
        <w:spacing w:line="500" w:lineRule="exact"/>
        <w:ind w:firstLine="480" w:firstLineChars="200"/>
        <w:rPr>
          <w:color w:val="000000"/>
          <w:sz w:val="24"/>
        </w:rPr>
      </w:pPr>
      <w:r>
        <w:rPr>
          <w:color w:val="000000"/>
          <w:sz w:val="24"/>
        </w:rPr>
        <w:t>（12）《畜禽养殖业污染治理工程技术规范》（HJ497-2009）；</w:t>
      </w:r>
    </w:p>
    <w:p>
      <w:pPr>
        <w:spacing w:line="500" w:lineRule="exact"/>
        <w:ind w:firstLine="480" w:firstLineChars="200"/>
        <w:rPr>
          <w:color w:val="000000"/>
          <w:sz w:val="24"/>
        </w:rPr>
      </w:pPr>
      <w:r>
        <w:rPr>
          <w:color w:val="000000"/>
          <w:sz w:val="24"/>
        </w:rPr>
        <w:t>（13）《畜禽粪便无害化处理技术规范》（NY/T1168-2006）；</w:t>
      </w:r>
    </w:p>
    <w:p>
      <w:pPr>
        <w:spacing w:line="500" w:lineRule="exact"/>
        <w:ind w:firstLine="480" w:firstLineChars="200"/>
        <w:rPr>
          <w:color w:val="000000"/>
          <w:sz w:val="24"/>
        </w:rPr>
      </w:pPr>
      <w:r>
        <w:rPr>
          <w:color w:val="000000"/>
          <w:sz w:val="24"/>
        </w:rPr>
        <w:t>（14）《畜禽场环境污染控制技术规范》（NY/T1169-2006）；</w:t>
      </w:r>
    </w:p>
    <w:p>
      <w:pPr>
        <w:spacing w:line="500" w:lineRule="exact"/>
        <w:ind w:firstLine="480" w:firstLineChars="200"/>
        <w:rPr>
          <w:color w:val="000000"/>
          <w:sz w:val="24"/>
        </w:rPr>
      </w:pPr>
      <w:r>
        <w:rPr>
          <w:color w:val="000000"/>
          <w:sz w:val="24"/>
        </w:rPr>
        <w:t>（15）《规模化畜禽养殖场沼气工程设计规范》（NY/T1222-2006）；</w:t>
      </w:r>
    </w:p>
    <w:p>
      <w:pPr>
        <w:spacing w:line="500" w:lineRule="exact"/>
        <w:ind w:firstLine="480" w:firstLineChars="200"/>
        <w:rPr>
          <w:color w:val="000000"/>
          <w:sz w:val="24"/>
        </w:rPr>
      </w:pPr>
      <w:r>
        <w:rPr>
          <w:color w:val="000000"/>
          <w:sz w:val="24"/>
        </w:rPr>
        <w:t>（16）《畜禽养殖场污染防治最佳可行技术指南（试行）》（HJ-BAT-10）；</w:t>
      </w:r>
    </w:p>
    <w:p>
      <w:pPr>
        <w:spacing w:line="500" w:lineRule="exact"/>
        <w:ind w:firstLine="480" w:firstLineChars="200"/>
        <w:rPr>
          <w:color w:val="000000"/>
          <w:sz w:val="24"/>
        </w:rPr>
      </w:pPr>
      <w:r>
        <w:rPr>
          <w:color w:val="000000"/>
          <w:sz w:val="24"/>
        </w:rPr>
        <w:t>（17）《畜禽粪便还田技术规范》（GB/T25246-2010）；</w:t>
      </w:r>
    </w:p>
    <w:p>
      <w:pPr>
        <w:spacing w:line="500" w:lineRule="exact"/>
        <w:ind w:firstLine="480" w:firstLineChars="200"/>
        <w:rPr>
          <w:color w:val="000000"/>
          <w:sz w:val="24"/>
        </w:rPr>
      </w:pPr>
      <w:r>
        <w:rPr>
          <w:color w:val="000000"/>
          <w:sz w:val="24"/>
        </w:rPr>
        <w:t>（18）《畜禽养殖产地环境评价规范》（HJ 568—2010）。</w:t>
      </w:r>
    </w:p>
    <w:p>
      <w:pPr>
        <w:spacing w:line="600" w:lineRule="exact"/>
        <w:outlineLvl w:val="2"/>
        <w:rPr>
          <w:b/>
          <w:color w:val="000000"/>
          <w:sz w:val="24"/>
          <w:lang w:val="zh-CN"/>
        </w:rPr>
      </w:pPr>
      <w:r>
        <w:rPr>
          <w:b/>
          <w:color w:val="000000"/>
          <w:sz w:val="24"/>
          <w:lang w:val="zh-CN"/>
        </w:rPr>
        <w:t>1.6.3 其他有关资料</w:t>
      </w:r>
    </w:p>
    <w:p>
      <w:pPr>
        <w:spacing w:line="500" w:lineRule="exact"/>
        <w:ind w:firstLine="480" w:firstLineChars="200"/>
        <w:rPr>
          <w:color w:val="000000"/>
          <w:sz w:val="24"/>
        </w:rPr>
      </w:pPr>
      <w:r>
        <w:rPr>
          <w:color w:val="000000"/>
          <w:sz w:val="24"/>
        </w:rPr>
        <w:t>（1）本项目环评工作委托书；</w:t>
      </w:r>
    </w:p>
    <w:p>
      <w:pPr>
        <w:spacing w:line="500" w:lineRule="exact"/>
        <w:ind w:firstLine="480" w:firstLineChars="200"/>
        <w:rPr>
          <w:color w:val="000000" w:themeColor="text1"/>
          <w:sz w:val="24"/>
        </w:rPr>
      </w:pPr>
      <w:r>
        <w:rPr>
          <w:color w:val="000000" w:themeColor="text1"/>
          <w:sz w:val="24"/>
        </w:rPr>
        <w:t>（2）平舆县环境保护局文件关于《平舆牧原农牧有限公司平舆二十场生猪养殖项目环境影响评价执行标准的函》。</w:t>
      </w:r>
    </w:p>
    <w:p>
      <w:pPr>
        <w:spacing w:line="500" w:lineRule="exact"/>
        <w:ind w:firstLine="480" w:firstLineChars="200"/>
        <w:rPr>
          <w:color w:val="000000"/>
          <w:sz w:val="24"/>
        </w:rPr>
      </w:pPr>
      <w:r>
        <w:rPr>
          <w:color w:val="000000"/>
          <w:sz w:val="24"/>
        </w:rPr>
        <w:t>（3）与项目有关的其他资料和文件。</w:t>
      </w:r>
    </w:p>
    <w:p>
      <w:pPr>
        <w:pStyle w:val="4"/>
        <w:spacing w:before="156" w:after="156"/>
        <w:rPr>
          <w:rFonts w:hAnsi="Times New Roman"/>
          <w:color w:val="000000"/>
        </w:rPr>
      </w:pPr>
      <w:bookmarkStart w:id="26" w:name="_Toc375206151"/>
      <w:bookmarkStart w:id="27" w:name="_Toc3019517"/>
      <w:r>
        <w:rPr>
          <w:rFonts w:hAnsi="Times New Roman"/>
          <w:color w:val="000000"/>
        </w:rPr>
        <w:t>1.7 评价对象、评价目的和</w:t>
      </w:r>
      <w:bookmarkEnd w:id="26"/>
      <w:r>
        <w:rPr>
          <w:rFonts w:hAnsi="Times New Roman"/>
          <w:color w:val="000000"/>
        </w:rPr>
        <w:t>评价重点</w:t>
      </w:r>
      <w:bookmarkEnd w:id="27"/>
    </w:p>
    <w:p>
      <w:pPr>
        <w:spacing w:line="600" w:lineRule="exact"/>
        <w:outlineLvl w:val="2"/>
        <w:rPr>
          <w:b/>
          <w:color w:val="000000"/>
          <w:sz w:val="24"/>
        </w:rPr>
      </w:pPr>
      <w:r>
        <w:rPr>
          <w:b/>
          <w:color w:val="000000"/>
          <w:sz w:val="24"/>
        </w:rPr>
        <w:t>1.7.1 评价对象</w:t>
      </w:r>
    </w:p>
    <w:p>
      <w:pPr>
        <w:spacing w:line="500" w:lineRule="exact"/>
        <w:ind w:firstLine="480" w:firstLineChars="200"/>
        <w:rPr>
          <w:color w:val="000000"/>
          <w:sz w:val="24"/>
        </w:rPr>
      </w:pPr>
      <w:r>
        <w:rPr>
          <w:color w:val="000000"/>
          <w:sz w:val="24"/>
        </w:rPr>
        <w:t>本次评价对象为：平舆牧原农牧有限公司平舆二十场生猪养殖项目。</w:t>
      </w:r>
    </w:p>
    <w:p>
      <w:pPr>
        <w:spacing w:line="600" w:lineRule="exact"/>
        <w:outlineLvl w:val="2"/>
        <w:rPr>
          <w:b/>
          <w:color w:val="000000"/>
          <w:sz w:val="24"/>
        </w:rPr>
      </w:pPr>
      <w:r>
        <w:rPr>
          <w:b/>
          <w:color w:val="000000"/>
          <w:sz w:val="24"/>
        </w:rPr>
        <w:t>1.7.2 评价目的</w:t>
      </w:r>
    </w:p>
    <w:p>
      <w:pPr>
        <w:spacing w:line="500" w:lineRule="exact"/>
        <w:ind w:firstLine="480" w:firstLineChars="200"/>
        <w:rPr>
          <w:bCs/>
          <w:color w:val="000000"/>
          <w:sz w:val="24"/>
        </w:rPr>
      </w:pPr>
      <w:r>
        <w:rPr>
          <w:bCs/>
          <w:color w:val="000000"/>
          <w:sz w:val="24"/>
        </w:rPr>
        <w:t>（1）通过项目地区自然环境和社会环境调查及现状监测，了解区域环境现状，掌握当地环境质量现状水平，确定环境纳污容量；</w:t>
      </w:r>
    </w:p>
    <w:p>
      <w:pPr>
        <w:spacing w:line="500" w:lineRule="exact"/>
        <w:ind w:firstLine="480" w:firstLineChars="200"/>
        <w:rPr>
          <w:bCs/>
          <w:color w:val="000000"/>
          <w:sz w:val="24"/>
        </w:rPr>
      </w:pPr>
      <w:r>
        <w:rPr>
          <w:bCs/>
          <w:color w:val="000000"/>
          <w:sz w:val="24"/>
        </w:rPr>
        <w:t>（2）通过对项目的工程分析和现场踏勘、监测，进一步核实工程污染产生情况，分析和预测营运期项目污染对周边环境的影响范围和程度；</w:t>
      </w:r>
    </w:p>
    <w:p>
      <w:pPr>
        <w:spacing w:line="500" w:lineRule="exact"/>
        <w:ind w:firstLine="480" w:firstLineChars="200"/>
        <w:rPr>
          <w:bCs/>
          <w:color w:val="000000"/>
          <w:sz w:val="24"/>
        </w:rPr>
      </w:pPr>
      <w:r>
        <w:rPr>
          <w:bCs/>
          <w:color w:val="000000"/>
          <w:sz w:val="24"/>
        </w:rPr>
        <w:t>（3）在对本项目工程分析的基础上，以清洁生产为原则，分析工程污染治理措施的可行性，提出相应的对策措施建议，并为今后的环境管理工作提供科学依据；</w:t>
      </w:r>
    </w:p>
    <w:p>
      <w:pPr>
        <w:spacing w:line="500" w:lineRule="exact"/>
        <w:ind w:firstLine="480" w:firstLineChars="200"/>
        <w:rPr>
          <w:bCs/>
          <w:color w:val="000000"/>
          <w:sz w:val="24"/>
        </w:rPr>
      </w:pPr>
      <w:r>
        <w:rPr>
          <w:bCs/>
          <w:color w:val="000000"/>
          <w:sz w:val="24"/>
        </w:rPr>
        <w:t>（4）根据预测评价结果，分析工程及选址的可行性。</w:t>
      </w:r>
    </w:p>
    <w:p>
      <w:pPr>
        <w:spacing w:line="600" w:lineRule="exact"/>
        <w:outlineLvl w:val="2"/>
        <w:rPr>
          <w:b/>
          <w:color w:val="000000"/>
          <w:sz w:val="24"/>
        </w:rPr>
      </w:pPr>
      <w:r>
        <w:rPr>
          <w:b/>
          <w:color w:val="000000"/>
          <w:sz w:val="24"/>
        </w:rPr>
        <w:t>1.7.3 评价重点</w:t>
      </w:r>
    </w:p>
    <w:p>
      <w:pPr>
        <w:spacing w:line="500" w:lineRule="exact"/>
        <w:ind w:firstLine="480" w:firstLineChars="200"/>
        <w:rPr>
          <w:bCs/>
          <w:color w:val="000000"/>
          <w:sz w:val="24"/>
        </w:rPr>
      </w:pPr>
      <w:r>
        <w:rPr>
          <w:bCs/>
          <w:color w:val="000000"/>
          <w:sz w:val="24"/>
        </w:rPr>
        <w:t>根据对项目工程分析和选址地环境特征，确定本项目环境影响评价的重点为：</w:t>
      </w:r>
    </w:p>
    <w:p>
      <w:pPr>
        <w:spacing w:line="500" w:lineRule="exact"/>
        <w:ind w:firstLine="480" w:firstLineChars="200"/>
        <w:rPr>
          <w:bCs/>
          <w:color w:val="000000"/>
          <w:sz w:val="24"/>
        </w:rPr>
      </w:pPr>
      <w:r>
        <w:rPr>
          <w:bCs/>
          <w:color w:val="000000"/>
          <w:sz w:val="24"/>
        </w:rPr>
        <w:t>（1）工程分析：针对养殖行业特点，调查分析废气、废水、固废等的污染物特性，重点核实项目污染物的排放源强和排放特征；</w:t>
      </w:r>
    </w:p>
    <w:p>
      <w:pPr>
        <w:spacing w:line="500" w:lineRule="exact"/>
        <w:ind w:firstLine="480" w:firstLineChars="200"/>
        <w:rPr>
          <w:bCs/>
          <w:color w:val="000000"/>
          <w:sz w:val="24"/>
        </w:rPr>
      </w:pPr>
      <w:r>
        <w:rPr>
          <w:bCs/>
          <w:color w:val="000000"/>
          <w:sz w:val="24"/>
        </w:rPr>
        <w:t>（2）环境影响预测与评价：核实项目污染物的排放源强和排放特征，预测判断项目建设完成后对评价区域环境的影响范围和程度；</w:t>
      </w:r>
    </w:p>
    <w:p>
      <w:pPr>
        <w:spacing w:line="500" w:lineRule="exact"/>
        <w:ind w:firstLine="480" w:firstLineChars="200"/>
        <w:rPr>
          <w:bCs/>
          <w:color w:val="000000"/>
          <w:sz w:val="24"/>
        </w:rPr>
      </w:pPr>
      <w:r>
        <w:rPr>
          <w:bCs/>
          <w:color w:val="000000"/>
          <w:sz w:val="24"/>
        </w:rPr>
        <w:t>（3）污染防治措施及技术经济论证：根据建设项目产生的污染物特点，充分分析污染治理措施的技术先进性、经济合理性及运行的可靠性、农养一体化实施的可靠性，提出相应的对策措施建议。</w:t>
      </w:r>
    </w:p>
    <w:p>
      <w:pPr>
        <w:pStyle w:val="4"/>
        <w:spacing w:before="156" w:after="156"/>
        <w:rPr>
          <w:rFonts w:hAnsi="Times New Roman"/>
          <w:color w:val="000000"/>
        </w:rPr>
      </w:pPr>
      <w:bookmarkStart w:id="28" w:name="_Toc3019518"/>
      <w:bookmarkStart w:id="29" w:name="_Toc375206152"/>
      <w:r>
        <w:rPr>
          <w:rFonts w:hAnsi="Times New Roman"/>
          <w:color w:val="000000"/>
        </w:rPr>
        <w:t>1.8 影响因素识别及评价因子筛选</w:t>
      </w:r>
      <w:bookmarkEnd w:id="28"/>
      <w:bookmarkEnd w:id="29"/>
    </w:p>
    <w:p>
      <w:pPr>
        <w:spacing w:line="600" w:lineRule="exact"/>
        <w:outlineLvl w:val="2"/>
        <w:rPr>
          <w:b/>
          <w:color w:val="000000"/>
          <w:sz w:val="24"/>
        </w:rPr>
      </w:pPr>
      <w:r>
        <w:rPr>
          <w:b/>
          <w:color w:val="000000"/>
          <w:sz w:val="24"/>
        </w:rPr>
        <w:t>1.8.1 环境影响因素识别</w:t>
      </w:r>
    </w:p>
    <w:p>
      <w:pPr>
        <w:spacing w:line="500" w:lineRule="exact"/>
        <w:ind w:firstLine="480" w:firstLineChars="200"/>
        <w:rPr>
          <w:bCs/>
          <w:color w:val="000000"/>
          <w:sz w:val="24"/>
        </w:rPr>
      </w:pPr>
      <w:r>
        <w:rPr>
          <w:bCs/>
          <w:color w:val="000000"/>
          <w:sz w:val="24"/>
        </w:rPr>
        <w:t>项目环境影响因素识别见表1-1。</w:t>
      </w:r>
    </w:p>
    <w:p>
      <w:pPr>
        <w:spacing w:line="500" w:lineRule="exact"/>
        <w:ind w:firstLine="422" w:firstLineChars="200"/>
        <w:jc w:val="center"/>
        <w:rPr>
          <w:b/>
          <w:bCs/>
          <w:color w:val="000000"/>
          <w:szCs w:val="21"/>
        </w:rPr>
      </w:pPr>
      <w:r>
        <w:rPr>
          <w:b/>
          <w:bCs/>
          <w:color w:val="000000"/>
          <w:szCs w:val="21"/>
        </w:rPr>
        <w:t>表1-1   工程环境影响识别一览表</w:t>
      </w:r>
    </w:p>
    <w:tbl>
      <w:tblPr>
        <w:tblStyle w:val="44"/>
        <w:tblW w:w="87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8"/>
        <w:gridCol w:w="449"/>
        <w:gridCol w:w="1286"/>
        <w:gridCol w:w="709"/>
        <w:gridCol w:w="850"/>
        <w:gridCol w:w="949"/>
        <w:gridCol w:w="684"/>
        <w:gridCol w:w="691"/>
        <w:gridCol w:w="1136"/>
        <w:gridCol w:w="11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restart"/>
            <w:vAlign w:val="center"/>
          </w:tcPr>
          <w:p>
            <w:pPr>
              <w:spacing w:line="320" w:lineRule="exact"/>
              <w:jc w:val="center"/>
              <w:rPr>
                <w:b/>
                <w:color w:val="000000"/>
                <w:szCs w:val="21"/>
              </w:rPr>
            </w:pPr>
            <w:r>
              <w:rPr>
                <w:b/>
                <w:color w:val="000000"/>
                <w:szCs w:val="21"/>
              </w:rPr>
              <w:t>阶段</w:t>
            </w:r>
          </w:p>
        </w:tc>
        <w:tc>
          <w:tcPr>
            <w:tcW w:w="1735" w:type="dxa"/>
            <w:gridSpan w:val="2"/>
            <w:vMerge w:val="restart"/>
            <w:vAlign w:val="center"/>
          </w:tcPr>
          <w:p>
            <w:pPr>
              <w:spacing w:line="320" w:lineRule="exact"/>
              <w:jc w:val="center"/>
              <w:rPr>
                <w:b/>
                <w:color w:val="000000"/>
                <w:szCs w:val="21"/>
              </w:rPr>
            </w:pPr>
            <w:r>
              <w:rPr>
                <w:b/>
                <w:color w:val="000000"/>
                <w:szCs w:val="21"/>
              </w:rPr>
              <w:t>污染因素</w:t>
            </w:r>
          </w:p>
        </w:tc>
        <w:tc>
          <w:tcPr>
            <w:tcW w:w="6209" w:type="dxa"/>
            <w:gridSpan w:val="7"/>
            <w:vAlign w:val="center"/>
          </w:tcPr>
          <w:p>
            <w:pPr>
              <w:spacing w:line="320" w:lineRule="exact"/>
              <w:jc w:val="center"/>
              <w:rPr>
                <w:b/>
                <w:color w:val="000000"/>
                <w:szCs w:val="21"/>
              </w:rPr>
            </w:pPr>
            <w:r>
              <w:rPr>
                <w:b/>
                <w:color w:val="000000"/>
                <w:szCs w:val="21"/>
              </w:rPr>
              <w:t>环境要素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b/>
                <w:color w:val="000000"/>
                <w:szCs w:val="21"/>
              </w:rPr>
            </w:pPr>
          </w:p>
        </w:tc>
        <w:tc>
          <w:tcPr>
            <w:tcW w:w="1735" w:type="dxa"/>
            <w:gridSpan w:val="2"/>
            <w:vMerge w:val="continue"/>
            <w:vAlign w:val="center"/>
          </w:tcPr>
          <w:p>
            <w:pPr>
              <w:spacing w:line="320" w:lineRule="exact"/>
              <w:jc w:val="center"/>
              <w:rPr>
                <w:b/>
                <w:color w:val="000000"/>
                <w:szCs w:val="21"/>
              </w:rPr>
            </w:pPr>
          </w:p>
        </w:tc>
        <w:tc>
          <w:tcPr>
            <w:tcW w:w="709" w:type="dxa"/>
            <w:vAlign w:val="center"/>
          </w:tcPr>
          <w:p>
            <w:pPr>
              <w:spacing w:line="320" w:lineRule="exact"/>
              <w:jc w:val="center"/>
              <w:rPr>
                <w:b/>
                <w:color w:val="000000"/>
                <w:szCs w:val="21"/>
              </w:rPr>
            </w:pPr>
            <w:r>
              <w:rPr>
                <w:b/>
                <w:color w:val="000000"/>
                <w:szCs w:val="21"/>
              </w:rPr>
              <w:t>大气</w:t>
            </w:r>
          </w:p>
        </w:tc>
        <w:tc>
          <w:tcPr>
            <w:tcW w:w="850" w:type="dxa"/>
            <w:vAlign w:val="center"/>
          </w:tcPr>
          <w:p>
            <w:pPr>
              <w:spacing w:line="320" w:lineRule="exact"/>
              <w:jc w:val="center"/>
              <w:rPr>
                <w:b/>
                <w:color w:val="000000"/>
                <w:szCs w:val="21"/>
              </w:rPr>
            </w:pPr>
            <w:r>
              <w:rPr>
                <w:b/>
                <w:color w:val="000000"/>
                <w:szCs w:val="21"/>
              </w:rPr>
              <w:t>地表水</w:t>
            </w:r>
          </w:p>
        </w:tc>
        <w:tc>
          <w:tcPr>
            <w:tcW w:w="949" w:type="dxa"/>
            <w:vAlign w:val="center"/>
          </w:tcPr>
          <w:p>
            <w:pPr>
              <w:spacing w:line="320" w:lineRule="exact"/>
              <w:jc w:val="center"/>
              <w:rPr>
                <w:b/>
                <w:color w:val="000000"/>
                <w:szCs w:val="21"/>
              </w:rPr>
            </w:pPr>
            <w:r>
              <w:rPr>
                <w:b/>
                <w:color w:val="000000"/>
                <w:szCs w:val="21"/>
              </w:rPr>
              <w:t>地下水</w:t>
            </w:r>
          </w:p>
        </w:tc>
        <w:tc>
          <w:tcPr>
            <w:tcW w:w="684" w:type="dxa"/>
            <w:vAlign w:val="center"/>
          </w:tcPr>
          <w:p>
            <w:pPr>
              <w:spacing w:line="320" w:lineRule="exact"/>
              <w:jc w:val="center"/>
              <w:rPr>
                <w:b/>
                <w:color w:val="000000"/>
                <w:szCs w:val="21"/>
              </w:rPr>
            </w:pPr>
            <w:r>
              <w:rPr>
                <w:b/>
                <w:color w:val="000000"/>
                <w:szCs w:val="21"/>
              </w:rPr>
              <w:t>声</w:t>
            </w:r>
          </w:p>
        </w:tc>
        <w:tc>
          <w:tcPr>
            <w:tcW w:w="691" w:type="dxa"/>
            <w:vAlign w:val="center"/>
          </w:tcPr>
          <w:p>
            <w:pPr>
              <w:spacing w:line="320" w:lineRule="exact"/>
              <w:jc w:val="center"/>
              <w:rPr>
                <w:b/>
                <w:color w:val="000000"/>
                <w:szCs w:val="21"/>
              </w:rPr>
            </w:pPr>
            <w:r>
              <w:rPr>
                <w:b/>
                <w:color w:val="000000"/>
                <w:szCs w:val="21"/>
              </w:rPr>
              <w:t>生态</w:t>
            </w:r>
          </w:p>
        </w:tc>
        <w:tc>
          <w:tcPr>
            <w:tcW w:w="1136" w:type="dxa"/>
            <w:vAlign w:val="center"/>
          </w:tcPr>
          <w:p>
            <w:pPr>
              <w:spacing w:line="320" w:lineRule="exact"/>
              <w:jc w:val="center"/>
              <w:rPr>
                <w:b/>
                <w:color w:val="000000"/>
                <w:szCs w:val="21"/>
              </w:rPr>
            </w:pPr>
            <w:r>
              <w:rPr>
                <w:b/>
                <w:color w:val="000000"/>
                <w:szCs w:val="21"/>
              </w:rPr>
              <w:t>水土流失</w:t>
            </w:r>
          </w:p>
        </w:tc>
        <w:tc>
          <w:tcPr>
            <w:tcW w:w="1190" w:type="dxa"/>
            <w:vAlign w:val="center"/>
          </w:tcPr>
          <w:p>
            <w:pPr>
              <w:spacing w:line="320" w:lineRule="exact"/>
              <w:jc w:val="center"/>
              <w:rPr>
                <w:b/>
                <w:color w:val="000000"/>
                <w:szCs w:val="21"/>
              </w:rPr>
            </w:pPr>
            <w:r>
              <w:rPr>
                <w:b/>
                <w:color w:val="000000"/>
                <w:szCs w:val="21"/>
              </w:rPr>
              <w:t>居民生活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restart"/>
            <w:vAlign w:val="center"/>
          </w:tcPr>
          <w:p>
            <w:pPr>
              <w:spacing w:line="320" w:lineRule="exact"/>
              <w:jc w:val="center"/>
              <w:rPr>
                <w:color w:val="000000"/>
                <w:szCs w:val="21"/>
              </w:rPr>
            </w:pPr>
            <w:r>
              <w:rPr>
                <w:color w:val="000000"/>
                <w:szCs w:val="21"/>
              </w:rPr>
              <w:t>施工期</w:t>
            </w:r>
          </w:p>
        </w:tc>
        <w:tc>
          <w:tcPr>
            <w:tcW w:w="449" w:type="dxa"/>
            <w:vMerge w:val="restart"/>
            <w:vAlign w:val="center"/>
          </w:tcPr>
          <w:p>
            <w:pPr>
              <w:spacing w:line="320" w:lineRule="exact"/>
              <w:jc w:val="center"/>
              <w:rPr>
                <w:color w:val="000000"/>
                <w:szCs w:val="21"/>
              </w:rPr>
            </w:pPr>
            <w:r>
              <w:rPr>
                <w:color w:val="000000"/>
                <w:szCs w:val="21"/>
              </w:rPr>
              <w:t>场区</w:t>
            </w:r>
          </w:p>
        </w:tc>
        <w:tc>
          <w:tcPr>
            <w:tcW w:w="1286" w:type="dxa"/>
            <w:vAlign w:val="center"/>
          </w:tcPr>
          <w:p>
            <w:pPr>
              <w:spacing w:line="320" w:lineRule="exact"/>
              <w:jc w:val="center"/>
              <w:rPr>
                <w:color w:val="000000"/>
                <w:szCs w:val="21"/>
              </w:rPr>
            </w:pPr>
            <w:r>
              <w:rPr>
                <w:color w:val="000000"/>
                <w:szCs w:val="21"/>
              </w:rPr>
              <w:t>施工噪声</w:t>
            </w:r>
          </w:p>
        </w:tc>
        <w:tc>
          <w:tcPr>
            <w:tcW w:w="709" w:type="dxa"/>
            <w:vAlign w:val="center"/>
          </w:tcPr>
          <w:p>
            <w:pPr>
              <w:spacing w:line="320" w:lineRule="exact"/>
              <w:jc w:val="center"/>
              <w:rPr>
                <w:color w:val="000000"/>
                <w:szCs w:val="21"/>
              </w:rPr>
            </w:pPr>
            <w:r>
              <w:rPr>
                <w:color w:val="000000"/>
                <w:szCs w:val="21"/>
              </w:rPr>
              <w:t>○</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w:t>
            </w:r>
          </w:p>
        </w:tc>
        <w:tc>
          <w:tcPr>
            <w:tcW w:w="684" w:type="dxa"/>
            <w:vAlign w:val="center"/>
          </w:tcPr>
          <w:p>
            <w:pPr>
              <w:spacing w:line="320" w:lineRule="exact"/>
              <w:jc w:val="center"/>
              <w:rPr>
                <w:color w:val="000000"/>
                <w:szCs w:val="21"/>
              </w:rPr>
            </w:pPr>
            <w:r>
              <w:rPr>
                <w:rFonts w:hint="eastAsia" w:ascii="宋体" w:hAnsi="宋体" w:cs="宋体"/>
                <w:color w:val="000000"/>
                <w:szCs w:val="21"/>
              </w:rPr>
              <w:t>◆</w:t>
            </w:r>
            <w:r>
              <w:rPr>
                <w:color w:val="000000"/>
                <w:szCs w:val="21"/>
              </w:rPr>
              <w:t>S</w:t>
            </w:r>
          </w:p>
        </w:tc>
        <w:tc>
          <w:tcPr>
            <w:tcW w:w="691"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S</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449" w:type="dxa"/>
            <w:vMerge w:val="continue"/>
            <w:vAlign w:val="center"/>
          </w:tcPr>
          <w:p>
            <w:pPr>
              <w:spacing w:line="320" w:lineRule="exact"/>
              <w:jc w:val="center"/>
              <w:rPr>
                <w:color w:val="000000"/>
                <w:szCs w:val="21"/>
              </w:rPr>
            </w:pPr>
          </w:p>
        </w:tc>
        <w:tc>
          <w:tcPr>
            <w:tcW w:w="1286" w:type="dxa"/>
            <w:vAlign w:val="center"/>
          </w:tcPr>
          <w:p>
            <w:pPr>
              <w:spacing w:line="320" w:lineRule="exact"/>
              <w:jc w:val="center"/>
              <w:rPr>
                <w:color w:val="000000"/>
                <w:szCs w:val="21"/>
              </w:rPr>
            </w:pPr>
            <w:r>
              <w:rPr>
                <w:color w:val="000000"/>
                <w:szCs w:val="21"/>
              </w:rPr>
              <w:t>扬尘</w:t>
            </w:r>
          </w:p>
        </w:tc>
        <w:tc>
          <w:tcPr>
            <w:tcW w:w="709" w:type="dxa"/>
            <w:vAlign w:val="center"/>
          </w:tcPr>
          <w:p>
            <w:pPr>
              <w:spacing w:line="320" w:lineRule="exact"/>
              <w:jc w:val="center"/>
              <w:rPr>
                <w:color w:val="000000"/>
                <w:szCs w:val="21"/>
              </w:rPr>
            </w:pPr>
            <w:r>
              <w:rPr>
                <w:rFonts w:hint="eastAsia" w:ascii="宋体" w:hAnsi="宋体" w:cs="宋体"/>
                <w:color w:val="000000"/>
                <w:szCs w:val="21"/>
              </w:rPr>
              <w:t>◆</w:t>
            </w:r>
            <w:r>
              <w:rPr>
                <w:color w:val="000000"/>
                <w:szCs w:val="21"/>
              </w:rPr>
              <w:t>S</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w:t>
            </w:r>
          </w:p>
        </w:tc>
        <w:tc>
          <w:tcPr>
            <w:tcW w:w="684" w:type="dxa"/>
            <w:vAlign w:val="center"/>
          </w:tcPr>
          <w:p>
            <w:pPr>
              <w:spacing w:line="320" w:lineRule="exact"/>
              <w:jc w:val="center"/>
              <w:rPr>
                <w:color w:val="000000"/>
                <w:szCs w:val="21"/>
              </w:rPr>
            </w:pPr>
            <w:r>
              <w:rPr>
                <w:color w:val="000000"/>
                <w:szCs w:val="21"/>
              </w:rPr>
              <w:t>○</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S</w:t>
            </w:r>
          </w:p>
        </w:tc>
        <w:tc>
          <w:tcPr>
            <w:tcW w:w="1190" w:type="dxa"/>
            <w:vAlign w:val="center"/>
          </w:tcPr>
          <w:p>
            <w:pPr>
              <w:spacing w:line="320" w:lineRule="exact"/>
              <w:jc w:val="center"/>
              <w:rPr>
                <w:color w:val="000000"/>
                <w:szCs w:val="21"/>
              </w:rPr>
            </w:pPr>
            <w:r>
              <w:rPr>
                <w:color w:val="000000"/>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449" w:type="dxa"/>
            <w:vMerge w:val="continue"/>
            <w:vAlign w:val="center"/>
          </w:tcPr>
          <w:p>
            <w:pPr>
              <w:spacing w:line="320" w:lineRule="exact"/>
              <w:jc w:val="center"/>
              <w:rPr>
                <w:color w:val="000000"/>
                <w:szCs w:val="21"/>
              </w:rPr>
            </w:pPr>
          </w:p>
        </w:tc>
        <w:tc>
          <w:tcPr>
            <w:tcW w:w="1286" w:type="dxa"/>
            <w:vAlign w:val="center"/>
          </w:tcPr>
          <w:p>
            <w:pPr>
              <w:spacing w:line="320" w:lineRule="exact"/>
              <w:jc w:val="center"/>
              <w:rPr>
                <w:color w:val="000000"/>
                <w:szCs w:val="21"/>
              </w:rPr>
            </w:pPr>
            <w:r>
              <w:rPr>
                <w:color w:val="000000"/>
                <w:szCs w:val="21"/>
              </w:rPr>
              <w:t>施工废水</w:t>
            </w:r>
          </w:p>
        </w:tc>
        <w:tc>
          <w:tcPr>
            <w:tcW w:w="709" w:type="dxa"/>
            <w:vAlign w:val="center"/>
          </w:tcPr>
          <w:p>
            <w:pPr>
              <w:spacing w:line="320" w:lineRule="exact"/>
              <w:jc w:val="center"/>
              <w:rPr>
                <w:color w:val="000000"/>
                <w:szCs w:val="21"/>
              </w:rPr>
            </w:pPr>
            <w:r>
              <w:rPr>
                <w:color w:val="000000"/>
                <w:szCs w:val="21"/>
              </w:rPr>
              <w:t>○</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▲S</w:t>
            </w:r>
          </w:p>
        </w:tc>
        <w:tc>
          <w:tcPr>
            <w:tcW w:w="684" w:type="dxa"/>
            <w:vAlign w:val="center"/>
          </w:tcPr>
          <w:p>
            <w:pPr>
              <w:spacing w:line="320" w:lineRule="exact"/>
              <w:jc w:val="center"/>
              <w:rPr>
                <w:color w:val="000000"/>
                <w:szCs w:val="21"/>
              </w:rPr>
            </w:pPr>
            <w:r>
              <w:rPr>
                <w:color w:val="000000"/>
                <w:szCs w:val="21"/>
              </w:rPr>
              <w:t>○</w:t>
            </w:r>
          </w:p>
        </w:tc>
        <w:tc>
          <w:tcPr>
            <w:tcW w:w="691"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S</w:t>
            </w:r>
          </w:p>
        </w:tc>
        <w:tc>
          <w:tcPr>
            <w:tcW w:w="1136"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S</w:t>
            </w:r>
          </w:p>
        </w:tc>
        <w:tc>
          <w:tcPr>
            <w:tcW w:w="1190" w:type="dxa"/>
            <w:vAlign w:val="center"/>
          </w:tcPr>
          <w:p>
            <w:pPr>
              <w:spacing w:line="320" w:lineRule="exact"/>
              <w:jc w:val="center"/>
              <w:rPr>
                <w:color w:val="000000"/>
                <w:szCs w:val="21"/>
              </w:rPr>
            </w:pPr>
            <w:r>
              <w:rPr>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1735" w:type="dxa"/>
            <w:gridSpan w:val="2"/>
            <w:vAlign w:val="center"/>
          </w:tcPr>
          <w:p>
            <w:pPr>
              <w:spacing w:line="320" w:lineRule="exact"/>
              <w:jc w:val="center"/>
              <w:rPr>
                <w:color w:val="000000"/>
                <w:szCs w:val="21"/>
              </w:rPr>
            </w:pPr>
            <w:r>
              <w:rPr>
                <w:color w:val="000000"/>
                <w:szCs w:val="21"/>
              </w:rPr>
              <w:t>车辆运输</w:t>
            </w:r>
          </w:p>
        </w:tc>
        <w:tc>
          <w:tcPr>
            <w:tcW w:w="709" w:type="dxa"/>
            <w:vAlign w:val="center"/>
          </w:tcPr>
          <w:p>
            <w:pPr>
              <w:spacing w:line="320" w:lineRule="exact"/>
              <w:jc w:val="center"/>
              <w:rPr>
                <w:color w:val="000000"/>
                <w:szCs w:val="21"/>
              </w:rPr>
            </w:pPr>
            <w:r>
              <w:rPr>
                <w:color w:val="000000"/>
                <w:szCs w:val="21"/>
              </w:rPr>
              <w:t>▲S</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w:t>
            </w:r>
          </w:p>
        </w:tc>
        <w:tc>
          <w:tcPr>
            <w:tcW w:w="684" w:type="dxa"/>
            <w:vAlign w:val="center"/>
          </w:tcPr>
          <w:p>
            <w:pPr>
              <w:spacing w:line="320" w:lineRule="exact"/>
              <w:jc w:val="center"/>
              <w:rPr>
                <w:color w:val="000000"/>
                <w:szCs w:val="21"/>
              </w:rPr>
            </w:pPr>
            <w:r>
              <w:rPr>
                <w:color w:val="000000"/>
                <w:szCs w:val="21"/>
              </w:rPr>
              <w:t>▲S</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color w:val="000000"/>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1735" w:type="dxa"/>
            <w:gridSpan w:val="2"/>
            <w:vAlign w:val="center"/>
          </w:tcPr>
          <w:p>
            <w:pPr>
              <w:spacing w:line="320" w:lineRule="exact"/>
              <w:jc w:val="center"/>
              <w:rPr>
                <w:color w:val="000000"/>
                <w:szCs w:val="21"/>
              </w:rPr>
            </w:pPr>
            <w:r>
              <w:rPr>
                <w:color w:val="000000"/>
                <w:szCs w:val="21"/>
              </w:rPr>
              <w:t>路管工程</w:t>
            </w:r>
          </w:p>
        </w:tc>
        <w:tc>
          <w:tcPr>
            <w:tcW w:w="709" w:type="dxa"/>
            <w:vAlign w:val="center"/>
          </w:tcPr>
          <w:p>
            <w:pPr>
              <w:spacing w:line="320" w:lineRule="exact"/>
              <w:jc w:val="center"/>
              <w:rPr>
                <w:color w:val="000000"/>
                <w:szCs w:val="21"/>
              </w:rPr>
            </w:pPr>
            <w:r>
              <w:rPr>
                <w:color w:val="000000"/>
                <w:szCs w:val="21"/>
              </w:rPr>
              <w:t>○</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w:t>
            </w:r>
          </w:p>
        </w:tc>
        <w:tc>
          <w:tcPr>
            <w:tcW w:w="684" w:type="dxa"/>
            <w:vAlign w:val="center"/>
          </w:tcPr>
          <w:p>
            <w:pPr>
              <w:spacing w:line="320" w:lineRule="exact"/>
              <w:jc w:val="center"/>
              <w:rPr>
                <w:color w:val="000000"/>
                <w:szCs w:val="21"/>
              </w:rPr>
            </w:pPr>
            <w:r>
              <w:rPr>
                <w:color w:val="000000"/>
                <w:szCs w:val="21"/>
              </w:rPr>
              <w:t>▲S</w:t>
            </w:r>
          </w:p>
        </w:tc>
        <w:tc>
          <w:tcPr>
            <w:tcW w:w="691" w:type="dxa"/>
            <w:vAlign w:val="center"/>
          </w:tcPr>
          <w:p>
            <w:pPr>
              <w:spacing w:line="320" w:lineRule="exact"/>
              <w:jc w:val="center"/>
              <w:rPr>
                <w:color w:val="000000"/>
                <w:szCs w:val="21"/>
              </w:rPr>
            </w:pPr>
            <w:r>
              <w:rPr>
                <w:color w:val="000000"/>
                <w:szCs w:val="21"/>
              </w:rPr>
              <w:t>▲S</w:t>
            </w:r>
          </w:p>
        </w:tc>
        <w:tc>
          <w:tcPr>
            <w:tcW w:w="1136" w:type="dxa"/>
            <w:vAlign w:val="center"/>
          </w:tcPr>
          <w:p>
            <w:pPr>
              <w:spacing w:line="320" w:lineRule="exact"/>
              <w:jc w:val="center"/>
              <w:rPr>
                <w:color w:val="000000"/>
                <w:szCs w:val="21"/>
              </w:rPr>
            </w:pPr>
            <w:r>
              <w:rPr>
                <w:color w:val="000000"/>
                <w:szCs w:val="21"/>
              </w:rPr>
              <w:t>▲S</w:t>
            </w:r>
          </w:p>
        </w:tc>
        <w:tc>
          <w:tcPr>
            <w:tcW w:w="1190" w:type="dxa"/>
            <w:vAlign w:val="center"/>
          </w:tcPr>
          <w:p>
            <w:pPr>
              <w:spacing w:line="320" w:lineRule="exact"/>
              <w:jc w:val="center"/>
              <w:rPr>
                <w:color w:val="000000"/>
                <w:szCs w:val="21"/>
              </w:rPr>
            </w:pPr>
            <w:r>
              <w:rPr>
                <w:color w:val="000000"/>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restart"/>
            <w:vAlign w:val="center"/>
          </w:tcPr>
          <w:p>
            <w:pPr>
              <w:spacing w:line="320" w:lineRule="exact"/>
              <w:jc w:val="center"/>
              <w:rPr>
                <w:color w:val="000000"/>
                <w:szCs w:val="21"/>
              </w:rPr>
            </w:pPr>
            <w:r>
              <w:rPr>
                <w:color w:val="000000"/>
                <w:szCs w:val="21"/>
              </w:rPr>
              <w:t>运营期</w:t>
            </w:r>
          </w:p>
        </w:tc>
        <w:tc>
          <w:tcPr>
            <w:tcW w:w="449" w:type="dxa"/>
            <w:vMerge w:val="restart"/>
            <w:vAlign w:val="center"/>
          </w:tcPr>
          <w:p>
            <w:pPr>
              <w:spacing w:line="320" w:lineRule="exact"/>
              <w:jc w:val="center"/>
              <w:rPr>
                <w:color w:val="000000"/>
                <w:szCs w:val="21"/>
              </w:rPr>
            </w:pPr>
            <w:r>
              <w:rPr>
                <w:color w:val="000000"/>
                <w:szCs w:val="21"/>
              </w:rPr>
              <w:t>场区</w:t>
            </w:r>
          </w:p>
        </w:tc>
        <w:tc>
          <w:tcPr>
            <w:tcW w:w="1286" w:type="dxa"/>
            <w:vAlign w:val="center"/>
          </w:tcPr>
          <w:p>
            <w:pPr>
              <w:spacing w:line="320" w:lineRule="exact"/>
              <w:jc w:val="center"/>
              <w:rPr>
                <w:color w:val="000000"/>
                <w:szCs w:val="21"/>
              </w:rPr>
            </w:pPr>
            <w:r>
              <w:rPr>
                <w:color w:val="000000"/>
                <w:szCs w:val="21"/>
              </w:rPr>
              <w:t>工程废水</w:t>
            </w:r>
          </w:p>
        </w:tc>
        <w:tc>
          <w:tcPr>
            <w:tcW w:w="709" w:type="dxa"/>
            <w:vAlign w:val="center"/>
          </w:tcPr>
          <w:p>
            <w:pPr>
              <w:spacing w:line="320" w:lineRule="exact"/>
              <w:jc w:val="center"/>
              <w:rPr>
                <w:color w:val="000000"/>
                <w:szCs w:val="21"/>
              </w:rPr>
            </w:pPr>
            <w:r>
              <w:rPr>
                <w:rFonts w:hint="eastAsia" w:ascii="宋体" w:hAnsi="宋体" w:cs="宋体"/>
                <w:color w:val="000000"/>
                <w:szCs w:val="21"/>
              </w:rPr>
              <w:t>◆</w:t>
            </w:r>
            <w:r>
              <w:rPr>
                <w:color w:val="000000"/>
                <w:szCs w:val="21"/>
              </w:rPr>
              <w:t>L</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684" w:type="dxa"/>
            <w:vAlign w:val="center"/>
          </w:tcPr>
          <w:p>
            <w:pPr>
              <w:spacing w:line="320" w:lineRule="exact"/>
              <w:jc w:val="center"/>
              <w:rPr>
                <w:color w:val="000000"/>
                <w:szCs w:val="21"/>
              </w:rPr>
            </w:pPr>
            <w:r>
              <w:rPr>
                <w:color w:val="000000"/>
                <w:szCs w:val="21"/>
              </w:rPr>
              <w:t>○</w:t>
            </w:r>
          </w:p>
        </w:tc>
        <w:tc>
          <w:tcPr>
            <w:tcW w:w="691"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1136"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1190" w:type="dxa"/>
            <w:vAlign w:val="center"/>
          </w:tcPr>
          <w:p>
            <w:pPr>
              <w:spacing w:line="320" w:lineRule="exact"/>
              <w:jc w:val="center"/>
              <w:rPr>
                <w:color w:val="000000"/>
                <w:szCs w:val="21"/>
              </w:rPr>
            </w:pPr>
            <w:r>
              <w:rPr>
                <w:rFonts w:hint="eastAsia" w:ascii="宋体" w:hAnsi="宋体" w:cs="宋体"/>
                <w:color w:val="000000"/>
                <w:szCs w:val="21"/>
              </w:rPr>
              <w:t>◆</w:t>
            </w:r>
            <w:r>
              <w:rPr>
                <w:color w:val="000000"/>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449" w:type="dxa"/>
            <w:vMerge w:val="continue"/>
            <w:vAlign w:val="center"/>
          </w:tcPr>
          <w:p>
            <w:pPr>
              <w:spacing w:line="320" w:lineRule="exact"/>
              <w:jc w:val="center"/>
              <w:rPr>
                <w:color w:val="000000"/>
                <w:szCs w:val="21"/>
              </w:rPr>
            </w:pPr>
          </w:p>
        </w:tc>
        <w:tc>
          <w:tcPr>
            <w:tcW w:w="1286" w:type="dxa"/>
            <w:vAlign w:val="center"/>
          </w:tcPr>
          <w:p>
            <w:pPr>
              <w:spacing w:line="320" w:lineRule="exact"/>
              <w:jc w:val="center"/>
              <w:rPr>
                <w:color w:val="000000"/>
                <w:szCs w:val="21"/>
              </w:rPr>
            </w:pPr>
            <w:r>
              <w:rPr>
                <w:color w:val="000000"/>
                <w:szCs w:val="21"/>
              </w:rPr>
              <w:t>生产恶臭</w:t>
            </w:r>
          </w:p>
        </w:tc>
        <w:tc>
          <w:tcPr>
            <w:tcW w:w="709" w:type="dxa"/>
            <w:vAlign w:val="center"/>
          </w:tcPr>
          <w:p>
            <w:pPr>
              <w:spacing w:line="320" w:lineRule="exact"/>
              <w:jc w:val="center"/>
              <w:rPr>
                <w:color w:val="000000"/>
                <w:szCs w:val="21"/>
              </w:rPr>
            </w:pPr>
            <w:r>
              <w:rPr>
                <w:color w:val="000000"/>
                <w:szCs w:val="21"/>
              </w:rPr>
              <w:t>▲L</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w:t>
            </w:r>
          </w:p>
        </w:tc>
        <w:tc>
          <w:tcPr>
            <w:tcW w:w="684" w:type="dxa"/>
            <w:vAlign w:val="center"/>
          </w:tcPr>
          <w:p>
            <w:pPr>
              <w:spacing w:line="320" w:lineRule="exact"/>
              <w:jc w:val="center"/>
              <w:rPr>
                <w:color w:val="000000"/>
                <w:szCs w:val="21"/>
              </w:rPr>
            </w:pPr>
            <w:r>
              <w:rPr>
                <w:color w:val="000000"/>
                <w:szCs w:val="21"/>
              </w:rPr>
              <w:t>○</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color w:val="000000"/>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449" w:type="dxa"/>
            <w:vMerge w:val="continue"/>
            <w:vAlign w:val="center"/>
          </w:tcPr>
          <w:p>
            <w:pPr>
              <w:spacing w:line="320" w:lineRule="exact"/>
              <w:jc w:val="center"/>
              <w:rPr>
                <w:color w:val="000000"/>
                <w:szCs w:val="21"/>
              </w:rPr>
            </w:pPr>
          </w:p>
        </w:tc>
        <w:tc>
          <w:tcPr>
            <w:tcW w:w="1286" w:type="dxa"/>
            <w:vAlign w:val="center"/>
          </w:tcPr>
          <w:p>
            <w:pPr>
              <w:spacing w:line="320" w:lineRule="exact"/>
              <w:jc w:val="center"/>
              <w:rPr>
                <w:color w:val="000000"/>
                <w:szCs w:val="21"/>
              </w:rPr>
            </w:pPr>
            <w:r>
              <w:rPr>
                <w:color w:val="000000"/>
                <w:szCs w:val="21"/>
              </w:rPr>
              <w:t>热水炉废气</w:t>
            </w:r>
          </w:p>
        </w:tc>
        <w:tc>
          <w:tcPr>
            <w:tcW w:w="709" w:type="dxa"/>
            <w:vAlign w:val="center"/>
          </w:tcPr>
          <w:p>
            <w:pPr>
              <w:spacing w:line="320" w:lineRule="exact"/>
              <w:jc w:val="center"/>
              <w:rPr>
                <w:color w:val="000000"/>
                <w:szCs w:val="21"/>
              </w:rPr>
            </w:pPr>
            <w:r>
              <w:rPr>
                <w:color w:val="000000"/>
                <w:szCs w:val="21"/>
              </w:rPr>
              <w:t>▲L</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w:t>
            </w:r>
          </w:p>
        </w:tc>
        <w:tc>
          <w:tcPr>
            <w:tcW w:w="684" w:type="dxa"/>
            <w:vAlign w:val="center"/>
          </w:tcPr>
          <w:p>
            <w:pPr>
              <w:spacing w:line="320" w:lineRule="exact"/>
              <w:jc w:val="center"/>
              <w:rPr>
                <w:color w:val="000000"/>
                <w:szCs w:val="21"/>
              </w:rPr>
            </w:pPr>
            <w:r>
              <w:rPr>
                <w:color w:val="000000"/>
                <w:szCs w:val="21"/>
              </w:rPr>
              <w:t>○</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color w:val="000000"/>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449" w:type="dxa"/>
            <w:vMerge w:val="continue"/>
            <w:vAlign w:val="center"/>
          </w:tcPr>
          <w:p>
            <w:pPr>
              <w:spacing w:line="320" w:lineRule="exact"/>
              <w:jc w:val="center"/>
              <w:rPr>
                <w:color w:val="000000"/>
                <w:szCs w:val="21"/>
              </w:rPr>
            </w:pPr>
          </w:p>
        </w:tc>
        <w:tc>
          <w:tcPr>
            <w:tcW w:w="1286" w:type="dxa"/>
            <w:vAlign w:val="center"/>
          </w:tcPr>
          <w:p>
            <w:pPr>
              <w:spacing w:line="320" w:lineRule="exact"/>
              <w:jc w:val="center"/>
              <w:rPr>
                <w:color w:val="000000"/>
                <w:szCs w:val="21"/>
              </w:rPr>
            </w:pPr>
            <w:r>
              <w:rPr>
                <w:color w:val="000000"/>
                <w:szCs w:val="21"/>
              </w:rPr>
              <w:t>生产噪声</w:t>
            </w:r>
          </w:p>
        </w:tc>
        <w:tc>
          <w:tcPr>
            <w:tcW w:w="709" w:type="dxa"/>
            <w:vAlign w:val="center"/>
          </w:tcPr>
          <w:p>
            <w:pPr>
              <w:spacing w:line="320" w:lineRule="exact"/>
              <w:jc w:val="center"/>
              <w:rPr>
                <w:color w:val="000000"/>
                <w:szCs w:val="21"/>
              </w:rPr>
            </w:pPr>
            <w:r>
              <w:rPr>
                <w:color w:val="000000"/>
                <w:szCs w:val="21"/>
              </w:rPr>
              <w:t>○</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w:t>
            </w:r>
          </w:p>
        </w:tc>
        <w:tc>
          <w:tcPr>
            <w:tcW w:w="684" w:type="dxa"/>
            <w:vAlign w:val="center"/>
          </w:tcPr>
          <w:p>
            <w:pPr>
              <w:spacing w:line="320" w:lineRule="exact"/>
              <w:jc w:val="center"/>
              <w:rPr>
                <w:color w:val="000000"/>
                <w:szCs w:val="21"/>
              </w:rPr>
            </w:pPr>
            <w:r>
              <w:rPr>
                <w:rFonts w:hint="eastAsia" w:ascii="宋体" w:hAnsi="宋体" w:cs="宋体"/>
                <w:color w:val="000000"/>
                <w:szCs w:val="21"/>
              </w:rPr>
              <w:t>◆</w:t>
            </w:r>
            <w:r>
              <w:rPr>
                <w:color w:val="000000"/>
                <w:szCs w:val="21"/>
              </w:rPr>
              <w:t>L</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color w:val="000000"/>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1735" w:type="dxa"/>
            <w:gridSpan w:val="2"/>
            <w:vAlign w:val="center"/>
          </w:tcPr>
          <w:p>
            <w:pPr>
              <w:spacing w:line="320" w:lineRule="exact"/>
              <w:jc w:val="center"/>
              <w:rPr>
                <w:color w:val="000000"/>
                <w:szCs w:val="21"/>
              </w:rPr>
            </w:pPr>
            <w:r>
              <w:rPr>
                <w:color w:val="000000"/>
                <w:szCs w:val="21"/>
              </w:rPr>
              <w:t>固废综合利用</w:t>
            </w:r>
          </w:p>
        </w:tc>
        <w:tc>
          <w:tcPr>
            <w:tcW w:w="709" w:type="dxa"/>
            <w:vAlign w:val="center"/>
          </w:tcPr>
          <w:p>
            <w:pPr>
              <w:spacing w:line="320" w:lineRule="exact"/>
              <w:jc w:val="center"/>
              <w:rPr>
                <w:color w:val="000000"/>
                <w:szCs w:val="21"/>
              </w:rPr>
            </w:pPr>
            <w:r>
              <w:rPr>
                <w:rFonts w:hint="eastAsia" w:ascii="宋体" w:hAnsi="宋体" w:cs="宋体"/>
                <w:color w:val="000000"/>
                <w:szCs w:val="21"/>
              </w:rPr>
              <w:t>◆</w:t>
            </w:r>
            <w:r>
              <w:rPr>
                <w:color w:val="000000"/>
                <w:szCs w:val="21"/>
              </w:rPr>
              <w:t>L</w:t>
            </w:r>
          </w:p>
        </w:tc>
        <w:tc>
          <w:tcPr>
            <w:tcW w:w="850"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949"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684" w:type="dxa"/>
            <w:vAlign w:val="center"/>
          </w:tcPr>
          <w:p>
            <w:pPr>
              <w:spacing w:line="320" w:lineRule="exact"/>
              <w:jc w:val="center"/>
              <w:rPr>
                <w:color w:val="000000"/>
                <w:szCs w:val="21"/>
              </w:rPr>
            </w:pPr>
            <w:r>
              <w:rPr>
                <w:color w:val="000000"/>
                <w:szCs w:val="21"/>
              </w:rPr>
              <w:t>○</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1735" w:type="dxa"/>
            <w:gridSpan w:val="2"/>
            <w:vAlign w:val="center"/>
          </w:tcPr>
          <w:p>
            <w:pPr>
              <w:spacing w:line="320" w:lineRule="exact"/>
              <w:jc w:val="center"/>
              <w:rPr>
                <w:color w:val="000000"/>
                <w:szCs w:val="21"/>
              </w:rPr>
            </w:pPr>
            <w:r>
              <w:rPr>
                <w:color w:val="000000"/>
                <w:szCs w:val="21"/>
              </w:rPr>
              <w:t>车辆运输</w:t>
            </w:r>
          </w:p>
        </w:tc>
        <w:tc>
          <w:tcPr>
            <w:tcW w:w="709" w:type="dxa"/>
            <w:vAlign w:val="center"/>
          </w:tcPr>
          <w:p>
            <w:pPr>
              <w:spacing w:line="320" w:lineRule="exact"/>
              <w:jc w:val="center"/>
              <w:rPr>
                <w:color w:val="000000"/>
                <w:szCs w:val="21"/>
              </w:rPr>
            </w:pPr>
            <w:r>
              <w:rPr>
                <w:color w:val="000000"/>
                <w:szCs w:val="21"/>
              </w:rPr>
              <w:t>▲L</w:t>
            </w:r>
          </w:p>
        </w:tc>
        <w:tc>
          <w:tcPr>
            <w:tcW w:w="850" w:type="dxa"/>
            <w:vAlign w:val="center"/>
          </w:tcPr>
          <w:p>
            <w:pPr>
              <w:spacing w:line="320" w:lineRule="exact"/>
              <w:jc w:val="center"/>
              <w:rPr>
                <w:color w:val="000000"/>
                <w:szCs w:val="21"/>
              </w:rPr>
            </w:pPr>
            <w:r>
              <w:rPr>
                <w:color w:val="000000"/>
                <w:szCs w:val="21"/>
              </w:rPr>
              <w:t>○</w:t>
            </w:r>
          </w:p>
        </w:tc>
        <w:tc>
          <w:tcPr>
            <w:tcW w:w="949" w:type="dxa"/>
            <w:vAlign w:val="center"/>
          </w:tcPr>
          <w:p>
            <w:pPr>
              <w:spacing w:line="320" w:lineRule="exact"/>
              <w:jc w:val="center"/>
              <w:rPr>
                <w:color w:val="000000"/>
                <w:szCs w:val="21"/>
              </w:rPr>
            </w:pPr>
            <w:r>
              <w:rPr>
                <w:color w:val="000000"/>
                <w:szCs w:val="21"/>
              </w:rPr>
              <w:t>○</w:t>
            </w:r>
          </w:p>
        </w:tc>
        <w:tc>
          <w:tcPr>
            <w:tcW w:w="684" w:type="dxa"/>
            <w:vAlign w:val="center"/>
          </w:tcPr>
          <w:p>
            <w:pPr>
              <w:spacing w:line="320" w:lineRule="exact"/>
              <w:jc w:val="center"/>
              <w:rPr>
                <w:color w:val="000000"/>
                <w:szCs w:val="21"/>
              </w:rPr>
            </w:pPr>
            <w:r>
              <w:rPr>
                <w:color w:val="000000"/>
                <w:szCs w:val="21"/>
              </w:rPr>
              <w:t>▲L</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color w:val="000000"/>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48" w:type="dxa"/>
            <w:vMerge w:val="continue"/>
            <w:vAlign w:val="center"/>
          </w:tcPr>
          <w:p>
            <w:pPr>
              <w:spacing w:line="320" w:lineRule="exact"/>
              <w:jc w:val="center"/>
              <w:rPr>
                <w:color w:val="000000"/>
                <w:szCs w:val="21"/>
              </w:rPr>
            </w:pPr>
          </w:p>
        </w:tc>
        <w:tc>
          <w:tcPr>
            <w:tcW w:w="1735" w:type="dxa"/>
            <w:gridSpan w:val="2"/>
            <w:vAlign w:val="center"/>
          </w:tcPr>
          <w:p>
            <w:pPr>
              <w:spacing w:line="320" w:lineRule="exact"/>
              <w:jc w:val="center"/>
              <w:rPr>
                <w:color w:val="000000"/>
                <w:szCs w:val="21"/>
              </w:rPr>
            </w:pPr>
            <w:r>
              <w:rPr>
                <w:color w:val="000000"/>
                <w:szCs w:val="21"/>
              </w:rPr>
              <w:t>施肥管网</w:t>
            </w:r>
          </w:p>
        </w:tc>
        <w:tc>
          <w:tcPr>
            <w:tcW w:w="709" w:type="dxa"/>
            <w:vAlign w:val="center"/>
          </w:tcPr>
          <w:p>
            <w:pPr>
              <w:spacing w:line="320" w:lineRule="exact"/>
              <w:jc w:val="center"/>
              <w:rPr>
                <w:color w:val="000000"/>
                <w:szCs w:val="21"/>
              </w:rPr>
            </w:pPr>
            <w:r>
              <w:rPr>
                <w:color w:val="000000"/>
                <w:szCs w:val="21"/>
              </w:rPr>
              <w:t>○</w:t>
            </w:r>
          </w:p>
        </w:tc>
        <w:tc>
          <w:tcPr>
            <w:tcW w:w="850"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949"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684" w:type="dxa"/>
            <w:vAlign w:val="center"/>
          </w:tcPr>
          <w:p>
            <w:pPr>
              <w:spacing w:line="320" w:lineRule="exact"/>
              <w:jc w:val="center"/>
              <w:rPr>
                <w:color w:val="000000"/>
                <w:szCs w:val="21"/>
              </w:rPr>
            </w:pPr>
            <w:r>
              <w:rPr>
                <w:color w:val="000000"/>
                <w:szCs w:val="21"/>
              </w:rPr>
              <w:t>○</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48" w:type="dxa"/>
            <w:vMerge w:val="continue"/>
            <w:vAlign w:val="center"/>
          </w:tcPr>
          <w:p>
            <w:pPr>
              <w:spacing w:line="320" w:lineRule="exact"/>
              <w:jc w:val="center"/>
              <w:rPr>
                <w:color w:val="000000"/>
                <w:szCs w:val="21"/>
              </w:rPr>
            </w:pPr>
          </w:p>
        </w:tc>
        <w:tc>
          <w:tcPr>
            <w:tcW w:w="1735" w:type="dxa"/>
            <w:gridSpan w:val="2"/>
            <w:vAlign w:val="center"/>
          </w:tcPr>
          <w:p>
            <w:pPr>
              <w:spacing w:line="320" w:lineRule="exact"/>
              <w:jc w:val="center"/>
              <w:rPr>
                <w:color w:val="000000"/>
                <w:szCs w:val="21"/>
              </w:rPr>
            </w:pPr>
            <w:r>
              <w:rPr>
                <w:color w:val="000000"/>
                <w:szCs w:val="21"/>
              </w:rPr>
              <w:t>土壤</w:t>
            </w:r>
          </w:p>
        </w:tc>
        <w:tc>
          <w:tcPr>
            <w:tcW w:w="709" w:type="dxa"/>
            <w:vAlign w:val="center"/>
          </w:tcPr>
          <w:p>
            <w:pPr>
              <w:spacing w:line="320" w:lineRule="exact"/>
              <w:jc w:val="center"/>
              <w:rPr>
                <w:color w:val="000000"/>
                <w:szCs w:val="21"/>
              </w:rPr>
            </w:pPr>
            <w:r>
              <w:rPr>
                <w:color w:val="000000"/>
                <w:szCs w:val="21"/>
              </w:rPr>
              <w:t>○</w:t>
            </w:r>
          </w:p>
        </w:tc>
        <w:tc>
          <w:tcPr>
            <w:tcW w:w="850"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949" w:type="dxa"/>
            <w:vAlign w:val="center"/>
          </w:tcPr>
          <w:p>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684" w:type="dxa"/>
            <w:vAlign w:val="center"/>
          </w:tcPr>
          <w:p>
            <w:pPr>
              <w:spacing w:line="320" w:lineRule="exact"/>
              <w:jc w:val="center"/>
              <w:rPr>
                <w:color w:val="000000"/>
                <w:szCs w:val="21"/>
              </w:rPr>
            </w:pPr>
            <w:r>
              <w:rPr>
                <w:color w:val="000000"/>
                <w:szCs w:val="21"/>
              </w:rPr>
              <w:t>○</w:t>
            </w:r>
          </w:p>
        </w:tc>
        <w:tc>
          <w:tcPr>
            <w:tcW w:w="691" w:type="dxa"/>
            <w:vAlign w:val="center"/>
          </w:tcPr>
          <w:p>
            <w:pPr>
              <w:spacing w:line="320" w:lineRule="exact"/>
              <w:jc w:val="center"/>
              <w:rPr>
                <w:color w:val="000000"/>
                <w:szCs w:val="21"/>
              </w:rPr>
            </w:pPr>
            <w:r>
              <w:rPr>
                <w:color w:val="000000"/>
                <w:szCs w:val="21"/>
              </w:rPr>
              <w:t>○</w:t>
            </w:r>
          </w:p>
        </w:tc>
        <w:tc>
          <w:tcPr>
            <w:tcW w:w="1136" w:type="dxa"/>
            <w:vAlign w:val="center"/>
          </w:tcPr>
          <w:p>
            <w:pPr>
              <w:spacing w:line="320" w:lineRule="exact"/>
              <w:jc w:val="center"/>
              <w:rPr>
                <w:color w:val="000000"/>
                <w:szCs w:val="21"/>
              </w:rPr>
            </w:pPr>
            <w:r>
              <w:rPr>
                <w:color w:val="000000"/>
                <w:szCs w:val="21"/>
              </w:rPr>
              <w:t>○</w:t>
            </w:r>
          </w:p>
        </w:tc>
        <w:tc>
          <w:tcPr>
            <w:tcW w:w="1190" w:type="dxa"/>
            <w:vAlign w:val="center"/>
          </w:tcPr>
          <w:p>
            <w:pPr>
              <w:spacing w:line="320" w:lineRule="exact"/>
              <w:jc w:val="center"/>
              <w:rPr>
                <w:color w:val="000000"/>
                <w:szCs w:val="21"/>
              </w:rPr>
            </w:pPr>
            <w:r>
              <w:rPr>
                <w:color w:val="000000"/>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792" w:type="dxa"/>
            <w:gridSpan w:val="10"/>
            <w:vAlign w:val="center"/>
          </w:tcPr>
          <w:p>
            <w:pPr>
              <w:spacing w:line="320" w:lineRule="exact"/>
              <w:rPr>
                <w:color w:val="000000"/>
                <w:szCs w:val="21"/>
              </w:rPr>
            </w:pPr>
            <w:r>
              <w:rPr>
                <w:rFonts w:hint="eastAsia" w:ascii="宋体" w:hAnsi="宋体" w:cs="宋体"/>
                <w:color w:val="000000"/>
                <w:szCs w:val="21"/>
              </w:rPr>
              <w:t>◆</w:t>
            </w:r>
            <w:r>
              <w:rPr>
                <w:color w:val="000000"/>
                <w:szCs w:val="21"/>
              </w:rPr>
              <w:t>有影响，▲有轻微影响，</w:t>
            </w:r>
            <w:r>
              <w:rPr>
                <w:rFonts w:ascii="Cambria Math" w:hAnsi="Cambria Math" w:cs="Cambria Math"/>
                <w:color w:val="000000"/>
                <w:szCs w:val="21"/>
              </w:rPr>
              <w:t>△</w:t>
            </w:r>
            <w:r>
              <w:rPr>
                <w:color w:val="000000"/>
                <w:szCs w:val="21"/>
              </w:rPr>
              <w:t>可能有影响，○没有影响，S短期影响，L长期影响</w:t>
            </w:r>
          </w:p>
        </w:tc>
      </w:tr>
    </w:tbl>
    <w:p>
      <w:pPr>
        <w:spacing w:line="600" w:lineRule="exact"/>
        <w:outlineLvl w:val="2"/>
        <w:rPr>
          <w:b/>
          <w:color w:val="000000"/>
          <w:sz w:val="24"/>
        </w:rPr>
      </w:pPr>
      <w:r>
        <w:rPr>
          <w:b/>
          <w:color w:val="000000"/>
          <w:sz w:val="24"/>
        </w:rPr>
        <w:t>1.8.2 评价因子筛选</w:t>
      </w:r>
    </w:p>
    <w:p>
      <w:pPr>
        <w:spacing w:line="500" w:lineRule="exact"/>
        <w:ind w:firstLine="480" w:firstLineChars="200"/>
        <w:rPr>
          <w:color w:val="000000"/>
          <w:sz w:val="24"/>
        </w:rPr>
      </w:pPr>
      <w:r>
        <w:rPr>
          <w:color w:val="000000"/>
          <w:sz w:val="24"/>
        </w:rPr>
        <w:t>根据工程特点及环境影响识别，筛选评价因素见表1-2。</w:t>
      </w:r>
    </w:p>
    <w:p>
      <w:pPr>
        <w:spacing w:line="500" w:lineRule="exact"/>
        <w:ind w:firstLine="422" w:firstLineChars="200"/>
        <w:jc w:val="center"/>
        <w:rPr>
          <w:b/>
          <w:color w:val="000000"/>
          <w:szCs w:val="21"/>
        </w:rPr>
      </w:pPr>
      <w:r>
        <w:rPr>
          <w:b/>
          <w:color w:val="000000"/>
          <w:szCs w:val="21"/>
        </w:rPr>
        <w:t>表1-2   评价因子筛选结果表</w:t>
      </w:r>
    </w:p>
    <w:tbl>
      <w:tblPr>
        <w:tblStyle w:val="44"/>
        <w:tblW w:w="87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75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1" w:type="dxa"/>
            <w:vAlign w:val="center"/>
          </w:tcPr>
          <w:p>
            <w:pPr>
              <w:spacing w:line="320" w:lineRule="exact"/>
              <w:jc w:val="center"/>
              <w:rPr>
                <w:b/>
                <w:color w:val="000000"/>
                <w:szCs w:val="21"/>
              </w:rPr>
            </w:pPr>
            <w:r>
              <w:rPr>
                <w:b/>
                <w:color w:val="000000"/>
                <w:szCs w:val="21"/>
              </w:rPr>
              <w:t>环境类别</w:t>
            </w:r>
          </w:p>
        </w:tc>
        <w:tc>
          <w:tcPr>
            <w:tcW w:w="7520" w:type="dxa"/>
            <w:vAlign w:val="center"/>
          </w:tcPr>
          <w:p>
            <w:pPr>
              <w:spacing w:line="320" w:lineRule="exact"/>
              <w:jc w:val="center"/>
              <w:rPr>
                <w:b/>
                <w:color w:val="000000"/>
                <w:szCs w:val="21"/>
              </w:rPr>
            </w:pPr>
            <w:r>
              <w:rPr>
                <w:b/>
                <w:color w:val="000000"/>
                <w:szCs w:val="21"/>
              </w:rPr>
              <w:t>评价因子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1" w:type="dxa"/>
            <w:vAlign w:val="center"/>
          </w:tcPr>
          <w:p>
            <w:pPr>
              <w:jc w:val="center"/>
              <w:rPr>
                <w:color w:val="000000"/>
              </w:rPr>
            </w:pPr>
            <w:r>
              <w:rPr>
                <w:color w:val="000000"/>
              </w:rPr>
              <w:t>大气环境</w:t>
            </w:r>
          </w:p>
        </w:tc>
        <w:tc>
          <w:tcPr>
            <w:tcW w:w="7520" w:type="dxa"/>
            <w:vAlign w:val="center"/>
          </w:tcPr>
          <w:p>
            <w:pPr>
              <w:spacing w:line="320" w:lineRule="exact"/>
              <w:jc w:val="center"/>
              <w:rPr>
                <w:color w:val="000000"/>
                <w:szCs w:val="21"/>
              </w:rPr>
            </w:pPr>
            <w:r>
              <w:rPr>
                <w:color w:val="000000"/>
              </w:rPr>
              <w:t>H</w:t>
            </w:r>
            <w:r>
              <w:rPr>
                <w:color w:val="000000"/>
                <w:vertAlign w:val="subscript"/>
              </w:rPr>
              <w:t>2</w:t>
            </w:r>
            <w:r>
              <w:rPr>
                <w:color w:val="000000"/>
              </w:rPr>
              <w:t>S、NH</w:t>
            </w:r>
            <w:r>
              <w:rPr>
                <w:color w:val="000000"/>
                <w:vertAlign w:val="subscript"/>
              </w:rPr>
              <w:t>3</w:t>
            </w:r>
            <w:r>
              <w:rPr>
                <w:rFonts w:eastAsia="黑体"/>
                <w:color w:val="000000"/>
              </w:rPr>
              <w:t>、</w:t>
            </w:r>
            <w:r>
              <w:rPr>
                <w:color w:val="000000"/>
              </w:rPr>
              <w:t>SO</w:t>
            </w:r>
            <w:r>
              <w:rPr>
                <w:color w:val="000000"/>
                <w:vertAlign w:val="subscript"/>
              </w:rPr>
              <w:t>2</w:t>
            </w:r>
            <w:r>
              <w:rPr>
                <w:color w:val="000000"/>
              </w:rPr>
              <w:t>、NO</w:t>
            </w:r>
            <w:r>
              <w:rPr>
                <w:color w:val="000000"/>
                <w:vertAlign w:val="subscript"/>
              </w:rPr>
              <w:t>2</w:t>
            </w:r>
            <w:r>
              <w:rPr>
                <w:color w:val="000000"/>
              </w:rPr>
              <w:t>、TSP、PM</w:t>
            </w:r>
            <w:r>
              <w:rPr>
                <w:color w:val="000000"/>
                <w:vertAlign w:val="subscript"/>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1" w:type="dxa"/>
            <w:vAlign w:val="center"/>
          </w:tcPr>
          <w:p>
            <w:pPr>
              <w:jc w:val="center"/>
              <w:rPr>
                <w:color w:val="000000"/>
              </w:rPr>
            </w:pPr>
            <w:r>
              <w:rPr>
                <w:color w:val="000000"/>
              </w:rPr>
              <w:t>地表水环境</w:t>
            </w:r>
          </w:p>
        </w:tc>
        <w:tc>
          <w:tcPr>
            <w:tcW w:w="7520" w:type="dxa"/>
            <w:vAlign w:val="center"/>
          </w:tcPr>
          <w:p>
            <w:pPr>
              <w:spacing w:line="320" w:lineRule="exact"/>
              <w:jc w:val="center"/>
              <w:rPr>
                <w:color w:val="000000"/>
                <w:szCs w:val="21"/>
              </w:rPr>
            </w:pPr>
            <w:r>
              <w:rPr>
                <w:color w:val="000000"/>
              </w:rPr>
              <w:t>pH、COD、SS、BOD</w:t>
            </w:r>
            <w:r>
              <w:rPr>
                <w:color w:val="000000"/>
                <w:vertAlign w:val="subscript"/>
              </w:rPr>
              <w:t>5</w:t>
            </w:r>
            <w:r>
              <w:rPr>
                <w:color w:val="000000"/>
              </w:rPr>
              <w:t>、氨氮、总磷、粪大肠菌群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1" w:type="dxa"/>
            <w:vAlign w:val="center"/>
          </w:tcPr>
          <w:p>
            <w:pPr>
              <w:jc w:val="center"/>
              <w:rPr>
                <w:color w:val="000000"/>
              </w:rPr>
            </w:pPr>
            <w:r>
              <w:rPr>
                <w:color w:val="000000"/>
              </w:rPr>
              <w:t>地下水环境</w:t>
            </w:r>
          </w:p>
        </w:tc>
        <w:tc>
          <w:tcPr>
            <w:tcW w:w="7520" w:type="dxa"/>
            <w:vAlign w:val="center"/>
          </w:tcPr>
          <w:p>
            <w:pPr>
              <w:spacing w:line="320" w:lineRule="exact"/>
              <w:jc w:val="center"/>
              <w:rPr>
                <w:color w:val="000000"/>
              </w:rPr>
            </w:pPr>
            <w:r>
              <w:rPr>
                <w:color w:val="000000"/>
              </w:rPr>
              <w:t>pH、总硬度、高锰酸盐指数、硝酸盐氮、溶解性总固体、总大肠菌群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1" w:type="dxa"/>
            <w:vAlign w:val="center"/>
          </w:tcPr>
          <w:p>
            <w:pPr>
              <w:jc w:val="center"/>
              <w:rPr>
                <w:color w:val="000000"/>
              </w:rPr>
            </w:pPr>
            <w:r>
              <w:rPr>
                <w:color w:val="000000"/>
              </w:rPr>
              <w:t>固体废物</w:t>
            </w:r>
          </w:p>
        </w:tc>
        <w:tc>
          <w:tcPr>
            <w:tcW w:w="7520" w:type="dxa"/>
            <w:vAlign w:val="center"/>
          </w:tcPr>
          <w:p>
            <w:pPr>
              <w:spacing w:line="320" w:lineRule="exact"/>
              <w:jc w:val="center"/>
              <w:rPr>
                <w:color w:val="000000"/>
                <w:szCs w:val="21"/>
              </w:rPr>
            </w:pPr>
            <w:r>
              <w:rPr>
                <w:color w:val="000000"/>
              </w:rPr>
              <w:t>猪粪、污泥（沼渣）、病死猪、生活垃圾、医疗废物等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1" w:type="dxa"/>
            <w:vAlign w:val="center"/>
          </w:tcPr>
          <w:p>
            <w:pPr>
              <w:jc w:val="center"/>
              <w:rPr>
                <w:color w:val="000000"/>
              </w:rPr>
            </w:pPr>
            <w:r>
              <w:rPr>
                <w:color w:val="000000"/>
              </w:rPr>
              <w:t>声环境</w:t>
            </w:r>
          </w:p>
        </w:tc>
        <w:tc>
          <w:tcPr>
            <w:tcW w:w="7520" w:type="dxa"/>
            <w:vAlign w:val="center"/>
          </w:tcPr>
          <w:p>
            <w:pPr>
              <w:spacing w:line="320" w:lineRule="exact"/>
              <w:jc w:val="center"/>
              <w:rPr>
                <w:color w:val="000000"/>
              </w:rPr>
            </w:pPr>
            <w:r>
              <w:rPr>
                <w:color w:val="000000"/>
              </w:rPr>
              <w:t>等效连续A声级（Lep）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71" w:type="dxa"/>
            <w:vAlign w:val="center"/>
          </w:tcPr>
          <w:p>
            <w:pPr>
              <w:jc w:val="center"/>
              <w:rPr>
                <w:color w:val="000000"/>
              </w:rPr>
            </w:pPr>
            <w:r>
              <w:rPr>
                <w:color w:val="000000"/>
              </w:rPr>
              <w:t>土壤</w:t>
            </w:r>
          </w:p>
        </w:tc>
        <w:tc>
          <w:tcPr>
            <w:tcW w:w="7520" w:type="dxa"/>
            <w:vAlign w:val="center"/>
          </w:tcPr>
          <w:p>
            <w:pPr>
              <w:spacing w:line="320" w:lineRule="exact"/>
              <w:jc w:val="center"/>
              <w:rPr>
                <w:color w:val="000000"/>
              </w:rPr>
            </w:pPr>
            <w:r>
              <w:rPr>
                <w:color w:val="000000"/>
              </w:rPr>
              <w:t>pH、镉、汞、砷、铜、铅、铬、锌、镍</w:t>
            </w:r>
          </w:p>
        </w:tc>
      </w:tr>
    </w:tbl>
    <w:p>
      <w:pPr>
        <w:pStyle w:val="4"/>
        <w:spacing w:before="156" w:after="156"/>
        <w:rPr>
          <w:rFonts w:hAnsi="Times New Roman"/>
          <w:color w:val="000000"/>
        </w:rPr>
      </w:pPr>
      <w:bookmarkStart w:id="30" w:name="_Toc3019519"/>
      <w:bookmarkStart w:id="31" w:name="_Toc375206153"/>
      <w:r>
        <w:rPr>
          <w:rFonts w:hAnsi="Times New Roman"/>
          <w:color w:val="000000"/>
        </w:rPr>
        <w:t>1.9 评价标准</w:t>
      </w:r>
      <w:bookmarkEnd w:id="30"/>
      <w:bookmarkEnd w:id="31"/>
    </w:p>
    <w:p>
      <w:pPr>
        <w:spacing w:line="500" w:lineRule="exact"/>
        <w:ind w:firstLine="480" w:firstLineChars="200"/>
        <w:rPr>
          <w:color w:val="000000" w:themeColor="text1"/>
          <w:sz w:val="24"/>
        </w:rPr>
      </w:pPr>
      <w:r>
        <w:rPr>
          <w:color w:val="000000" w:themeColor="text1"/>
          <w:sz w:val="24"/>
        </w:rPr>
        <w:t>根据平舆县环境保护局出具的《平舆牧原农牧有限公司平舆二十场生猪养殖项目环境影响评价执行标准的函》，项目执行环境质量标准和污染物排放标准如下。</w:t>
      </w:r>
    </w:p>
    <w:p>
      <w:pPr>
        <w:spacing w:line="600" w:lineRule="exact"/>
        <w:outlineLvl w:val="2"/>
        <w:rPr>
          <w:color w:val="000000"/>
          <w:sz w:val="24"/>
        </w:rPr>
      </w:pPr>
      <w:r>
        <w:rPr>
          <w:b/>
          <w:color w:val="000000"/>
          <w:sz w:val="24"/>
        </w:rPr>
        <w:t>1.9.1环境质量标准</w:t>
      </w:r>
    </w:p>
    <w:p>
      <w:pPr>
        <w:spacing w:line="500" w:lineRule="exact"/>
        <w:ind w:firstLine="480"/>
        <w:rPr>
          <w:sz w:val="24"/>
        </w:rPr>
      </w:pPr>
      <w:r>
        <w:rPr>
          <w:color w:val="000000"/>
          <w:sz w:val="24"/>
        </w:rPr>
        <w:t>环境空气执行《环境空气质量标准》（GB3095-2012）；其中恶臭气体（H</w:t>
      </w:r>
      <w:r>
        <w:rPr>
          <w:color w:val="000000"/>
          <w:sz w:val="24"/>
          <w:vertAlign w:val="subscript"/>
        </w:rPr>
        <w:t>2</w:t>
      </w:r>
      <w:r>
        <w:rPr>
          <w:color w:val="000000"/>
          <w:sz w:val="24"/>
        </w:rPr>
        <w:t>S、NH</w:t>
      </w:r>
      <w:r>
        <w:rPr>
          <w:color w:val="000000"/>
          <w:sz w:val="24"/>
          <w:vertAlign w:val="subscript"/>
        </w:rPr>
        <w:t>3</w:t>
      </w:r>
      <w:r>
        <w:rPr>
          <w:color w:val="000000"/>
          <w:sz w:val="24"/>
        </w:rPr>
        <w:t>）</w:t>
      </w:r>
      <w:r>
        <w:rPr>
          <w:sz w:val="24"/>
        </w:rPr>
        <w:t>执行《环境影响评价技术导则 大气环境（HJ2.2-2018）》中附录D中有害物质的最高允许浓度；</w:t>
      </w:r>
    </w:p>
    <w:p>
      <w:pPr>
        <w:spacing w:line="500" w:lineRule="exact"/>
        <w:ind w:firstLine="480"/>
        <w:rPr>
          <w:color w:val="000000"/>
          <w:sz w:val="24"/>
        </w:rPr>
      </w:pPr>
      <w:r>
        <w:rPr>
          <w:color w:val="000000"/>
          <w:sz w:val="24"/>
        </w:rPr>
        <w:t>地表水环境执行《地表水环境质量标准》（GB3838-2002）</w:t>
      </w:r>
      <w:r>
        <w:rPr>
          <w:rFonts w:hint="eastAsia" w:ascii="宋体" w:hAnsi="宋体" w:cs="宋体"/>
          <w:color w:val="000000"/>
          <w:sz w:val="24"/>
        </w:rPr>
        <w:t>Ⅲ</w:t>
      </w:r>
      <w:r>
        <w:rPr>
          <w:color w:val="000000"/>
          <w:sz w:val="24"/>
        </w:rPr>
        <w:t>类标准；</w:t>
      </w:r>
    </w:p>
    <w:p>
      <w:pPr>
        <w:spacing w:line="500" w:lineRule="exact"/>
        <w:ind w:firstLine="480"/>
        <w:rPr>
          <w:color w:val="000000"/>
          <w:sz w:val="24"/>
        </w:rPr>
      </w:pPr>
      <w:r>
        <w:rPr>
          <w:color w:val="000000"/>
          <w:sz w:val="24"/>
        </w:rPr>
        <w:t>地下水环境执行《地下水质量标准》（GB/T14848-2017）</w:t>
      </w:r>
      <w:r>
        <w:rPr>
          <w:rFonts w:hint="eastAsia" w:ascii="宋体" w:hAnsi="宋体" w:cs="宋体"/>
          <w:color w:val="000000"/>
          <w:sz w:val="24"/>
        </w:rPr>
        <w:t>Ⅲ</w:t>
      </w:r>
      <w:r>
        <w:rPr>
          <w:color w:val="000000"/>
          <w:sz w:val="24"/>
        </w:rPr>
        <w:t>类标准；</w:t>
      </w:r>
    </w:p>
    <w:p>
      <w:pPr>
        <w:spacing w:line="500" w:lineRule="exact"/>
        <w:ind w:firstLine="480"/>
        <w:rPr>
          <w:color w:val="000000"/>
          <w:sz w:val="24"/>
        </w:rPr>
      </w:pPr>
      <w:r>
        <w:rPr>
          <w:color w:val="000000"/>
          <w:sz w:val="24"/>
        </w:rPr>
        <w:t>声环境质量执行《声环境质量标准》（GB3096-2008）2类标准；</w:t>
      </w:r>
    </w:p>
    <w:p>
      <w:pPr>
        <w:spacing w:line="520" w:lineRule="exact"/>
        <w:ind w:firstLine="480"/>
        <w:rPr>
          <w:color w:val="000000"/>
          <w:sz w:val="24"/>
        </w:rPr>
      </w:pPr>
      <w:r>
        <w:rPr>
          <w:color w:val="000000"/>
          <w:sz w:val="24"/>
        </w:rPr>
        <w:t>土壤环境执行</w:t>
      </w:r>
      <w:r>
        <w:rPr>
          <w:sz w:val="24"/>
        </w:rPr>
        <w:t>《土壤环境质量农用地土壤污染风险管控标准》（GB15618-2018）二级标准；</w:t>
      </w:r>
    </w:p>
    <w:p>
      <w:pPr>
        <w:spacing w:line="500" w:lineRule="exact"/>
        <w:ind w:firstLine="480"/>
        <w:rPr>
          <w:bCs/>
          <w:color w:val="000000"/>
          <w:sz w:val="24"/>
        </w:rPr>
      </w:pPr>
      <w:r>
        <w:rPr>
          <w:color w:val="000000"/>
          <w:sz w:val="24"/>
        </w:rPr>
        <w:t>各环境要素执行标准主要指标的标准值详见表1-3。</w:t>
      </w:r>
    </w:p>
    <w:p>
      <w:pPr>
        <w:spacing w:line="500" w:lineRule="exact"/>
        <w:jc w:val="center"/>
        <w:rPr>
          <w:b/>
          <w:color w:val="000000"/>
          <w:szCs w:val="21"/>
        </w:rPr>
      </w:pPr>
      <w:r>
        <w:rPr>
          <w:b/>
          <w:color w:val="000000"/>
          <w:szCs w:val="21"/>
        </w:rPr>
        <w:t xml:space="preserve">表1-3 </w:t>
      </w:r>
      <w:r>
        <w:rPr>
          <w:b/>
          <w:color w:val="000000"/>
          <w:kern w:val="28"/>
          <w:szCs w:val="21"/>
        </w:rPr>
        <w:t>环境质量标准一览表</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404"/>
        <w:gridCol w:w="1559"/>
        <w:gridCol w:w="1043"/>
        <w:gridCol w:w="878"/>
        <w:gridCol w:w="61"/>
        <w:gridCol w:w="9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101" w:type="dxa"/>
            <w:vMerge w:val="restart"/>
            <w:vAlign w:val="center"/>
          </w:tcPr>
          <w:p>
            <w:pPr>
              <w:jc w:val="center"/>
              <w:rPr>
                <w:b/>
                <w:color w:val="000000"/>
              </w:rPr>
            </w:pPr>
            <w:r>
              <w:rPr>
                <w:b/>
                <w:color w:val="000000"/>
              </w:rPr>
              <w:t>环境要素</w:t>
            </w:r>
          </w:p>
        </w:tc>
        <w:tc>
          <w:tcPr>
            <w:tcW w:w="3404" w:type="dxa"/>
            <w:vMerge w:val="restart"/>
            <w:vAlign w:val="center"/>
          </w:tcPr>
          <w:p>
            <w:pPr>
              <w:jc w:val="center"/>
              <w:rPr>
                <w:b/>
                <w:color w:val="000000"/>
              </w:rPr>
            </w:pPr>
            <w:r>
              <w:rPr>
                <w:b/>
                <w:color w:val="000000"/>
              </w:rPr>
              <w:t>标准名称及级（类）别</w:t>
            </w:r>
          </w:p>
        </w:tc>
        <w:tc>
          <w:tcPr>
            <w:tcW w:w="1559" w:type="dxa"/>
            <w:vMerge w:val="restart"/>
            <w:vAlign w:val="center"/>
          </w:tcPr>
          <w:p>
            <w:pPr>
              <w:jc w:val="center"/>
              <w:rPr>
                <w:b/>
                <w:color w:val="000000"/>
              </w:rPr>
            </w:pPr>
            <w:r>
              <w:rPr>
                <w:b/>
                <w:color w:val="000000"/>
              </w:rPr>
              <w:t>项目</w:t>
            </w:r>
          </w:p>
        </w:tc>
        <w:tc>
          <w:tcPr>
            <w:tcW w:w="2882" w:type="dxa"/>
            <w:gridSpan w:val="4"/>
            <w:vAlign w:val="center"/>
          </w:tcPr>
          <w:p>
            <w:pPr>
              <w:jc w:val="center"/>
              <w:rPr>
                <w:b/>
                <w:color w:val="000000"/>
              </w:rPr>
            </w:pPr>
            <w:r>
              <w:rPr>
                <w:b/>
                <w:color w:val="000000"/>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101" w:type="dxa"/>
            <w:vMerge w:val="continue"/>
            <w:vAlign w:val="center"/>
          </w:tcPr>
          <w:p>
            <w:pPr>
              <w:jc w:val="center"/>
              <w:rPr>
                <w:b/>
                <w:color w:val="000000"/>
              </w:rPr>
            </w:pPr>
          </w:p>
        </w:tc>
        <w:tc>
          <w:tcPr>
            <w:tcW w:w="3404" w:type="dxa"/>
            <w:vMerge w:val="continue"/>
            <w:vAlign w:val="center"/>
          </w:tcPr>
          <w:p>
            <w:pPr>
              <w:jc w:val="center"/>
              <w:rPr>
                <w:b/>
                <w:color w:val="000000"/>
              </w:rPr>
            </w:pPr>
          </w:p>
        </w:tc>
        <w:tc>
          <w:tcPr>
            <w:tcW w:w="1559" w:type="dxa"/>
            <w:vMerge w:val="continue"/>
            <w:vAlign w:val="center"/>
          </w:tcPr>
          <w:p>
            <w:pPr>
              <w:jc w:val="center"/>
              <w:rPr>
                <w:b/>
                <w:color w:val="000000"/>
              </w:rPr>
            </w:pPr>
          </w:p>
        </w:tc>
        <w:tc>
          <w:tcPr>
            <w:tcW w:w="1043" w:type="dxa"/>
            <w:vAlign w:val="center"/>
          </w:tcPr>
          <w:p>
            <w:pPr>
              <w:jc w:val="center"/>
              <w:rPr>
                <w:b/>
                <w:color w:val="000000"/>
              </w:rPr>
            </w:pPr>
            <w:r>
              <w:rPr>
                <w:b/>
                <w:color w:val="000000"/>
              </w:rPr>
              <w:t>单位</w:t>
            </w:r>
          </w:p>
        </w:tc>
        <w:tc>
          <w:tcPr>
            <w:tcW w:w="1839" w:type="dxa"/>
            <w:gridSpan w:val="3"/>
            <w:vAlign w:val="center"/>
          </w:tcPr>
          <w:p>
            <w:pPr>
              <w:jc w:val="center"/>
              <w:rPr>
                <w:b/>
                <w:color w:val="000000"/>
              </w:rPr>
            </w:pPr>
            <w:r>
              <w:rPr>
                <w:b/>
                <w:color w:val="000000"/>
              </w:rPr>
              <w:t>数值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restart"/>
            <w:vAlign w:val="center"/>
          </w:tcPr>
          <w:p>
            <w:pPr>
              <w:jc w:val="center"/>
              <w:rPr>
                <w:color w:val="000000"/>
              </w:rPr>
            </w:pPr>
            <w:r>
              <w:rPr>
                <w:color w:val="000000"/>
              </w:rPr>
              <w:t>环境空气</w:t>
            </w:r>
          </w:p>
        </w:tc>
        <w:tc>
          <w:tcPr>
            <w:tcW w:w="3404" w:type="dxa"/>
            <w:vMerge w:val="restart"/>
            <w:vAlign w:val="center"/>
          </w:tcPr>
          <w:p>
            <w:pPr>
              <w:jc w:val="center"/>
              <w:rPr>
                <w:color w:val="000000"/>
              </w:rPr>
            </w:pPr>
            <w:r>
              <w:rPr>
                <w:color w:val="000000"/>
              </w:rPr>
              <w:t>《环境空气质量标准》（GB3095-2012）</w:t>
            </w:r>
          </w:p>
        </w:tc>
        <w:tc>
          <w:tcPr>
            <w:tcW w:w="1559" w:type="dxa"/>
            <w:vMerge w:val="restart"/>
            <w:vAlign w:val="center"/>
          </w:tcPr>
          <w:p>
            <w:pPr>
              <w:jc w:val="center"/>
              <w:rPr>
                <w:color w:val="000000"/>
              </w:rPr>
            </w:pPr>
            <w:r>
              <w:rPr>
                <w:color w:val="000000"/>
              </w:rPr>
              <w:t>SO</w:t>
            </w:r>
            <w:r>
              <w:rPr>
                <w:color w:val="000000"/>
                <w:vertAlign w:val="subscript"/>
              </w:rPr>
              <w:t>2</w:t>
            </w:r>
          </w:p>
        </w:tc>
        <w:tc>
          <w:tcPr>
            <w:tcW w:w="1043" w:type="dxa"/>
            <w:vMerge w:val="restart"/>
            <w:vAlign w:val="center"/>
          </w:tcPr>
          <w:p>
            <w:pPr>
              <w:jc w:val="center"/>
              <w:rPr>
                <w:color w:val="000000"/>
              </w:rPr>
            </w:pPr>
            <w:r>
              <w:rPr>
                <w:color w:val="000000"/>
              </w:rPr>
              <w:t>µg/m</w:t>
            </w:r>
            <w:r>
              <w:rPr>
                <w:color w:val="000000"/>
                <w:vertAlign w:val="superscript"/>
              </w:rPr>
              <w:t>3</w:t>
            </w:r>
          </w:p>
        </w:tc>
        <w:tc>
          <w:tcPr>
            <w:tcW w:w="1839" w:type="dxa"/>
            <w:gridSpan w:val="3"/>
            <w:vAlign w:val="center"/>
          </w:tcPr>
          <w:p>
            <w:pPr>
              <w:jc w:val="center"/>
              <w:rPr>
                <w:color w:val="000000"/>
              </w:rPr>
            </w:pPr>
            <w:r>
              <w:rPr>
                <w:color w:val="000000"/>
              </w:rPr>
              <w:t>年平均：60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Merge w:val="continue"/>
            <w:vAlign w:val="center"/>
          </w:tcPr>
          <w:p>
            <w:pPr>
              <w:jc w:val="center"/>
              <w:rPr>
                <w:color w:val="000000"/>
              </w:rPr>
            </w:pPr>
          </w:p>
        </w:tc>
        <w:tc>
          <w:tcPr>
            <w:tcW w:w="1043" w:type="dxa"/>
            <w:vMerge w:val="continue"/>
            <w:vAlign w:val="center"/>
          </w:tcPr>
          <w:p>
            <w:pPr>
              <w:jc w:val="center"/>
              <w:rPr>
                <w:color w:val="000000"/>
              </w:rPr>
            </w:pPr>
          </w:p>
        </w:tc>
        <w:tc>
          <w:tcPr>
            <w:tcW w:w="1839" w:type="dxa"/>
            <w:gridSpan w:val="3"/>
            <w:vAlign w:val="center"/>
          </w:tcPr>
          <w:p>
            <w:pPr>
              <w:jc w:val="center"/>
              <w:rPr>
                <w:color w:val="000000"/>
              </w:rPr>
            </w:pPr>
            <w:r>
              <w:rPr>
                <w:color w:val="000000"/>
              </w:rPr>
              <w:t>日平均：150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Merge w:val="continue"/>
            <w:vAlign w:val="center"/>
          </w:tcPr>
          <w:p>
            <w:pPr>
              <w:jc w:val="center"/>
              <w:rPr>
                <w:color w:val="000000"/>
              </w:rPr>
            </w:pPr>
          </w:p>
        </w:tc>
        <w:tc>
          <w:tcPr>
            <w:tcW w:w="1043" w:type="dxa"/>
            <w:vMerge w:val="continue"/>
            <w:vAlign w:val="center"/>
          </w:tcPr>
          <w:p>
            <w:pPr>
              <w:jc w:val="center"/>
              <w:rPr>
                <w:color w:val="000000"/>
              </w:rPr>
            </w:pPr>
          </w:p>
        </w:tc>
        <w:tc>
          <w:tcPr>
            <w:tcW w:w="1839" w:type="dxa"/>
            <w:gridSpan w:val="3"/>
            <w:vAlign w:val="center"/>
          </w:tcPr>
          <w:p>
            <w:pPr>
              <w:jc w:val="center"/>
              <w:rPr>
                <w:color w:val="000000"/>
              </w:rPr>
            </w:pPr>
            <w:r>
              <w:rPr>
                <w:color w:val="000000"/>
              </w:rPr>
              <w:t>1小时平均：500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Merge w:val="restart"/>
            <w:vAlign w:val="center"/>
          </w:tcPr>
          <w:p>
            <w:pPr>
              <w:jc w:val="center"/>
              <w:rPr>
                <w:color w:val="000000"/>
              </w:rPr>
            </w:pPr>
            <w:r>
              <w:rPr>
                <w:color w:val="000000"/>
              </w:rPr>
              <w:t>NO</w:t>
            </w:r>
            <w:r>
              <w:rPr>
                <w:color w:val="000000"/>
                <w:vertAlign w:val="subscript"/>
              </w:rPr>
              <w:t>2</w:t>
            </w:r>
          </w:p>
        </w:tc>
        <w:tc>
          <w:tcPr>
            <w:tcW w:w="1043" w:type="dxa"/>
            <w:vMerge w:val="restart"/>
            <w:vAlign w:val="center"/>
          </w:tcPr>
          <w:p>
            <w:pPr>
              <w:jc w:val="center"/>
              <w:rPr>
                <w:color w:val="000000"/>
              </w:rPr>
            </w:pPr>
            <w:r>
              <w:rPr>
                <w:color w:val="000000"/>
              </w:rPr>
              <w:t>µg/m</w:t>
            </w:r>
            <w:r>
              <w:rPr>
                <w:color w:val="000000"/>
                <w:vertAlign w:val="superscript"/>
              </w:rPr>
              <w:t>3</w:t>
            </w:r>
          </w:p>
        </w:tc>
        <w:tc>
          <w:tcPr>
            <w:tcW w:w="1839" w:type="dxa"/>
            <w:gridSpan w:val="3"/>
            <w:vAlign w:val="center"/>
          </w:tcPr>
          <w:p>
            <w:pPr>
              <w:jc w:val="center"/>
              <w:rPr>
                <w:color w:val="000000"/>
              </w:rPr>
            </w:pPr>
            <w:r>
              <w:rPr>
                <w:color w:val="000000"/>
              </w:rPr>
              <w:t>年平均：40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Merge w:val="continue"/>
            <w:vAlign w:val="center"/>
          </w:tcPr>
          <w:p>
            <w:pPr>
              <w:jc w:val="center"/>
              <w:rPr>
                <w:color w:val="000000"/>
              </w:rPr>
            </w:pPr>
          </w:p>
        </w:tc>
        <w:tc>
          <w:tcPr>
            <w:tcW w:w="1043" w:type="dxa"/>
            <w:vMerge w:val="continue"/>
            <w:vAlign w:val="center"/>
          </w:tcPr>
          <w:p>
            <w:pPr>
              <w:jc w:val="center"/>
              <w:rPr>
                <w:color w:val="000000"/>
              </w:rPr>
            </w:pPr>
          </w:p>
        </w:tc>
        <w:tc>
          <w:tcPr>
            <w:tcW w:w="1839" w:type="dxa"/>
            <w:gridSpan w:val="3"/>
            <w:vAlign w:val="center"/>
          </w:tcPr>
          <w:p>
            <w:pPr>
              <w:jc w:val="center"/>
              <w:rPr>
                <w:color w:val="000000"/>
              </w:rPr>
            </w:pPr>
            <w:r>
              <w:rPr>
                <w:color w:val="000000"/>
              </w:rPr>
              <w:t>日平均：80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Merge w:val="continue"/>
            <w:vAlign w:val="center"/>
          </w:tcPr>
          <w:p>
            <w:pPr>
              <w:jc w:val="center"/>
              <w:rPr>
                <w:color w:val="000000"/>
              </w:rPr>
            </w:pPr>
          </w:p>
        </w:tc>
        <w:tc>
          <w:tcPr>
            <w:tcW w:w="1043" w:type="dxa"/>
            <w:vMerge w:val="continue"/>
            <w:vAlign w:val="center"/>
          </w:tcPr>
          <w:p>
            <w:pPr>
              <w:jc w:val="center"/>
              <w:rPr>
                <w:color w:val="000000"/>
              </w:rPr>
            </w:pPr>
          </w:p>
        </w:tc>
        <w:tc>
          <w:tcPr>
            <w:tcW w:w="1839" w:type="dxa"/>
            <w:gridSpan w:val="3"/>
            <w:vAlign w:val="center"/>
          </w:tcPr>
          <w:p>
            <w:pPr>
              <w:jc w:val="center"/>
              <w:rPr>
                <w:color w:val="000000"/>
              </w:rPr>
            </w:pPr>
            <w:r>
              <w:rPr>
                <w:color w:val="000000"/>
              </w:rPr>
              <w:t>1小时平均：200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Merge w:val="restart"/>
            <w:vAlign w:val="center"/>
          </w:tcPr>
          <w:p>
            <w:pPr>
              <w:jc w:val="center"/>
              <w:rPr>
                <w:color w:val="000000"/>
              </w:rPr>
            </w:pPr>
            <w:r>
              <w:rPr>
                <w:color w:val="000000"/>
              </w:rPr>
              <w:t>TSP</w:t>
            </w:r>
          </w:p>
        </w:tc>
        <w:tc>
          <w:tcPr>
            <w:tcW w:w="1043" w:type="dxa"/>
            <w:vMerge w:val="restart"/>
            <w:vAlign w:val="center"/>
          </w:tcPr>
          <w:p>
            <w:pPr>
              <w:jc w:val="center"/>
              <w:rPr>
                <w:color w:val="000000"/>
              </w:rPr>
            </w:pPr>
            <w:r>
              <w:rPr>
                <w:color w:val="000000"/>
              </w:rPr>
              <w:t>µg/m</w:t>
            </w:r>
            <w:r>
              <w:rPr>
                <w:color w:val="000000"/>
                <w:vertAlign w:val="superscript"/>
              </w:rPr>
              <w:t>3</w:t>
            </w:r>
          </w:p>
        </w:tc>
        <w:tc>
          <w:tcPr>
            <w:tcW w:w="1839" w:type="dxa"/>
            <w:gridSpan w:val="3"/>
            <w:vAlign w:val="center"/>
          </w:tcPr>
          <w:p>
            <w:pPr>
              <w:jc w:val="center"/>
              <w:rPr>
                <w:color w:val="000000"/>
              </w:rPr>
            </w:pPr>
            <w:r>
              <w:rPr>
                <w:color w:val="000000"/>
              </w:rPr>
              <w:t>年平均：200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Merge w:val="continue"/>
            <w:vAlign w:val="center"/>
          </w:tcPr>
          <w:p>
            <w:pPr>
              <w:jc w:val="center"/>
              <w:rPr>
                <w:color w:val="000000"/>
              </w:rPr>
            </w:pPr>
          </w:p>
        </w:tc>
        <w:tc>
          <w:tcPr>
            <w:tcW w:w="1043" w:type="dxa"/>
            <w:vMerge w:val="continue"/>
            <w:vAlign w:val="center"/>
          </w:tcPr>
          <w:p>
            <w:pPr>
              <w:jc w:val="center"/>
              <w:rPr>
                <w:color w:val="000000"/>
              </w:rPr>
            </w:pPr>
          </w:p>
        </w:tc>
        <w:tc>
          <w:tcPr>
            <w:tcW w:w="1839" w:type="dxa"/>
            <w:gridSpan w:val="3"/>
            <w:vAlign w:val="center"/>
          </w:tcPr>
          <w:p>
            <w:pPr>
              <w:jc w:val="center"/>
              <w:rPr>
                <w:color w:val="000000"/>
              </w:rPr>
            </w:pPr>
            <w:r>
              <w:rPr>
                <w:color w:val="000000"/>
              </w:rPr>
              <w:t>日平均：300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Merge w:val="restart"/>
            <w:vAlign w:val="center"/>
          </w:tcPr>
          <w:p>
            <w:pPr>
              <w:jc w:val="center"/>
              <w:rPr>
                <w:color w:val="000000"/>
              </w:rPr>
            </w:pPr>
            <w:r>
              <w:rPr>
                <w:color w:val="000000"/>
              </w:rPr>
              <w:t>PM</w:t>
            </w:r>
            <w:r>
              <w:rPr>
                <w:color w:val="000000"/>
                <w:vertAlign w:val="subscript"/>
              </w:rPr>
              <w:t>2.5</w:t>
            </w:r>
          </w:p>
        </w:tc>
        <w:tc>
          <w:tcPr>
            <w:tcW w:w="1043" w:type="dxa"/>
            <w:vMerge w:val="restart"/>
            <w:vAlign w:val="center"/>
          </w:tcPr>
          <w:p>
            <w:pPr>
              <w:jc w:val="center"/>
              <w:rPr>
                <w:color w:val="000000"/>
              </w:rPr>
            </w:pPr>
            <w:r>
              <w:rPr>
                <w:color w:val="000000"/>
              </w:rPr>
              <w:t>µg/m</w:t>
            </w:r>
            <w:r>
              <w:rPr>
                <w:color w:val="000000"/>
                <w:vertAlign w:val="superscript"/>
              </w:rPr>
              <w:t>3</w:t>
            </w:r>
          </w:p>
        </w:tc>
        <w:tc>
          <w:tcPr>
            <w:tcW w:w="1839" w:type="dxa"/>
            <w:gridSpan w:val="3"/>
            <w:vAlign w:val="center"/>
          </w:tcPr>
          <w:p>
            <w:pPr>
              <w:jc w:val="center"/>
              <w:rPr>
                <w:color w:val="000000"/>
              </w:rPr>
            </w:pPr>
            <w:r>
              <w:rPr>
                <w:color w:val="000000"/>
              </w:rPr>
              <w:t>年平均：35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Merge w:val="continue"/>
            <w:vAlign w:val="center"/>
          </w:tcPr>
          <w:p>
            <w:pPr>
              <w:jc w:val="center"/>
              <w:rPr>
                <w:color w:val="000000"/>
              </w:rPr>
            </w:pPr>
          </w:p>
        </w:tc>
        <w:tc>
          <w:tcPr>
            <w:tcW w:w="1043" w:type="dxa"/>
            <w:vMerge w:val="continue"/>
            <w:vAlign w:val="center"/>
          </w:tcPr>
          <w:p>
            <w:pPr>
              <w:jc w:val="center"/>
              <w:rPr>
                <w:color w:val="000000"/>
              </w:rPr>
            </w:pPr>
          </w:p>
        </w:tc>
        <w:tc>
          <w:tcPr>
            <w:tcW w:w="1839" w:type="dxa"/>
            <w:gridSpan w:val="3"/>
            <w:vAlign w:val="center"/>
          </w:tcPr>
          <w:p>
            <w:pPr>
              <w:jc w:val="center"/>
              <w:rPr>
                <w:color w:val="000000"/>
              </w:rPr>
            </w:pPr>
            <w:r>
              <w:rPr>
                <w:color w:val="000000"/>
              </w:rPr>
              <w:t>日平均：75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Merge w:val="restart"/>
            <w:vAlign w:val="center"/>
          </w:tcPr>
          <w:p>
            <w:pPr>
              <w:jc w:val="center"/>
              <w:rPr>
                <w:color w:val="000000"/>
                <w:vertAlign w:val="subscript"/>
              </w:rPr>
            </w:pPr>
            <w:r>
              <w:rPr>
                <w:color w:val="000000"/>
              </w:rPr>
              <w:t>PM</w:t>
            </w:r>
            <w:r>
              <w:rPr>
                <w:color w:val="000000"/>
                <w:vertAlign w:val="subscript"/>
              </w:rPr>
              <w:t>10</w:t>
            </w:r>
          </w:p>
        </w:tc>
        <w:tc>
          <w:tcPr>
            <w:tcW w:w="1043" w:type="dxa"/>
            <w:vMerge w:val="restart"/>
            <w:vAlign w:val="center"/>
          </w:tcPr>
          <w:p>
            <w:pPr>
              <w:jc w:val="center"/>
              <w:rPr>
                <w:color w:val="000000"/>
              </w:rPr>
            </w:pPr>
            <w:r>
              <w:rPr>
                <w:color w:val="000000"/>
              </w:rPr>
              <w:t>µg/m</w:t>
            </w:r>
            <w:r>
              <w:rPr>
                <w:color w:val="000000"/>
                <w:vertAlign w:val="superscript"/>
              </w:rPr>
              <w:t>3</w:t>
            </w:r>
          </w:p>
        </w:tc>
        <w:tc>
          <w:tcPr>
            <w:tcW w:w="1839" w:type="dxa"/>
            <w:gridSpan w:val="3"/>
            <w:vAlign w:val="center"/>
          </w:tcPr>
          <w:p>
            <w:pPr>
              <w:jc w:val="center"/>
              <w:rPr>
                <w:color w:val="000000"/>
              </w:rPr>
            </w:pPr>
            <w:r>
              <w:rPr>
                <w:color w:val="000000"/>
              </w:rPr>
              <w:t>年平均：70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Merge w:val="continue"/>
            <w:vAlign w:val="center"/>
          </w:tcPr>
          <w:p>
            <w:pPr>
              <w:jc w:val="center"/>
              <w:rPr>
                <w:color w:val="000000"/>
              </w:rPr>
            </w:pPr>
          </w:p>
        </w:tc>
        <w:tc>
          <w:tcPr>
            <w:tcW w:w="1043" w:type="dxa"/>
            <w:vMerge w:val="continue"/>
            <w:vAlign w:val="center"/>
          </w:tcPr>
          <w:p>
            <w:pPr>
              <w:jc w:val="center"/>
              <w:rPr>
                <w:color w:val="000000"/>
              </w:rPr>
            </w:pPr>
          </w:p>
        </w:tc>
        <w:tc>
          <w:tcPr>
            <w:tcW w:w="1839" w:type="dxa"/>
            <w:gridSpan w:val="3"/>
            <w:vAlign w:val="center"/>
          </w:tcPr>
          <w:p>
            <w:pPr>
              <w:jc w:val="center"/>
              <w:rPr>
                <w:color w:val="000000"/>
              </w:rPr>
            </w:pPr>
            <w:r>
              <w:rPr>
                <w:color w:val="000000"/>
              </w:rPr>
              <w:t>日平均：150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restart"/>
            <w:vAlign w:val="center"/>
          </w:tcPr>
          <w:p>
            <w:pPr>
              <w:jc w:val="center"/>
              <w:rPr>
                <w:color w:val="000000"/>
              </w:rPr>
            </w:pPr>
            <w:r>
              <w:rPr>
                <w:color w:val="000000"/>
              </w:rPr>
              <w:t>《环境影响评价技术导则 大气环境（HJ2.2-2018）》中附录D</w:t>
            </w:r>
          </w:p>
        </w:tc>
        <w:tc>
          <w:tcPr>
            <w:tcW w:w="1559" w:type="dxa"/>
            <w:vAlign w:val="center"/>
          </w:tcPr>
          <w:p>
            <w:pPr>
              <w:jc w:val="center"/>
              <w:rPr>
                <w:color w:val="000000"/>
              </w:rPr>
            </w:pPr>
            <w:r>
              <w:rPr>
                <w:color w:val="000000"/>
              </w:rPr>
              <w:t>H</w:t>
            </w:r>
            <w:r>
              <w:rPr>
                <w:color w:val="000000"/>
                <w:vertAlign w:val="subscript"/>
              </w:rPr>
              <w:t>2</w:t>
            </w:r>
            <w:r>
              <w:rPr>
                <w:color w:val="000000"/>
              </w:rPr>
              <w:t>S</w:t>
            </w:r>
          </w:p>
        </w:tc>
        <w:tc>
          <w:tcPr>
            <w:tcW w:w="1043" w:type="dxa"/>
            <w:vAlign w:val="center"/>
          </w:tcPr>
          <w:p>
            <w:pPr>
              <w:jc w:val="center"/>
              <w:rPr>
                <w:color w:val="000000"/>
              </w:rPr>
            </w:pPr>
            <w:r>
              <w:rPr>
                <w:color w:val="000000"/>
              </w:rPr>
              <w:t>mg/m</w:t>
            </w:r>
            <w:r>
              <w:rPr>
                <w:color w:val="000000"/>
                <w:vertAlign w:val="superscript"/>
              </w:rPr>
              <w:t>3</w:t>
            </w:r>
          </w:p>
        </w:tc>
        <w:tc>
          <w:tcPr>
            <w:tcW w:w="1839" w:type="dxa"/>
            <w:gridSpan w:val="3"/>
            <w:vAlign w:val="center"/>
          </w:tcPr>
          <w:p>
            <w:pPr>
              <w:jc w:val="center"/>
              <w:rPr>
                <w:color w:val="000000"/>
              </w:rPr>
            </w:pPr>
            <w:r>
              <w:rPr>
                <w:color w:val="000000"/>
              </w:rPr>
              <w:t>一次值：0.01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Align w:val="center"/>
          </w:tcPr>
          <w:p>
            <w:pPr>
              <w:jc w:val="center"/>
              <w:rPr>
                <w:color w:val="000000"/>
              </w:rPr>
            </w:pPr>
            <w:r>
              <w:rPr>
                <w:color w:val="000000"/>
              </w:rPr>
              <w:t>NH</w:t>
            </w:r>
            <w:r>
              <w:rPr>
                <w:color w:val="000000"/>
                <w:vertAlign w:val="subscript"/>
              </w:rPr>
              <w:t>3</w:t>
            </w:r>
          </w:p>
        </w:tc>
        <w:tc>
          <w:tcPr>
            <w:tcW w:w="1043" w:type="dxa"/>
            <w:vAlign w:val="center"/>
          </w:tcPr>
          <w:p>
            <w:pPr>
              <w:jc w:val="center"/>
              <w:rPr>
                <w:color w:val="000000"/>
              </w:rPr>
            </w:pPr>
            <w:r>
              <w:rPr>
                <w:color w:val="000000"/>
              </w:rPr>
              <w:t>mg/m</w:t>
            </w:r>
            <w:r>
              <w:rPr>
                <w:color w:val="000000"/>
                <w:vertAlign w:val="superscript"/>
              </w:rPr>
              <w:t>3</w:t>
            </w:r>
          </w:p>
        </w:tc>
        <w:tc>
          <w:tcPr>
            <w:tcW w:w="1839" w:type="dxa"/>
            <w:gridSpan w:val="3"/>
            <w:vAlign w:val="center"/>
          </w:tcPr>
          <w:p>
            <w:pPr>
              <w:jc w:val="center"/>
              <w:rPr>
                <w:color w:val="000000"/>
              </w:rPr>
            </w:pPr>
            <w:r>
              <w:rPr>
                <w:color w:val="000000"/>
              </w:rPr>
              <w:t>一次值：0.20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restart"/>
            <w:vAlign w:val="center"/>
          </w:tcPr>
          <w:p>
            <w:pPr>
              <w:jc w:val="center"/>
              <w:rPr>
                <w:color w:val="000000"/>
              </w:rPr>
            </w:pPr>
            <w:r>
              <w:rPr>
                <w:color w:val="000000"/>
              </w:rPr>
              <w:t>声环境</w:t>
            </w:r>
          </w:p>
        </w:tc>
        <w:tc>
          <w:tcPr>
            <w:tcW w:w="3404" w:type="dxa"/>
            <w:vMerge w:val="restart"/>
            <w:vAlign w:val="center"/>
          </w:tcPr>
          <w:p>
            <w:pPr>
              <w:jc w:val="center"/>
              <w:rPr>
                <w:color w:val="000000"/>
              </w:rPr>
            </w:pPr>
            <w:r>
              <w:rPr>
                <w:color w:val="000000"/>
              </w:rPr>
              <w:t>《声环境质量标准》（GB3096-2008）2类标准</w:t>
            </w:r>
          </w:p>
        </w:tc>
        <w:tc>
          <w:tcPr>
            <w:tcW w:w="1559" w:type="dxa"/>
            <w:vMerge w:val="restart"/>
            <w:vAlign w:val="center"/>
          </w:tcPr>
          <w:p>
            <w:pPr>
              <w:jc w:val="center"/>
              <w:rPr>
                <w:color w:val="000000"/>
                <w:vertAlign w:val="subscript"/>
              </w:rPr>
            </w:pPr>
            <w:r>
              <w:rPr>
                <w:color w:val="000000"/>
              </w:rPr>
              <w:t>等效声级L</w:t>
            </w:r>
            <w:r>
              <w:rPr>
                <w:color w:val="000000"/>
                <w:vertAlign w:val="subscript"/>
              </w:rPr>
              <w:t>Aeq</w:t>
            </w:r>
          </w:p>
        </w:tc>
        <w:tc>
          <w:tcPr>
            <w:tcW w:w="1043" w:type="dxa"/>
            <w:vMerge w:val="restart"/>
            <w:vAlign w:val="center"/>
          </w:tcPr>
          <w:p>
            <w:pPr>
              <w:jc w:val="center"/>
              <w:rPr>
                <w:color w:val="000000"/>
              </w:rPr>
            </w:pPr>
            <w:r>
              <w:rPr>
                <w:color w:val="000000"/>
              </w:rPr>
              <w:t>dB（A）</w:t>
            </w:r>
          </w:p>
        </w:tc>
        <w:tc>
          <w:tcPr>
            <w:tcW w:w="878" w:type="dxa"/>
            <w:vAlign w:val="center"/>
          </w:tcPr>
          <w:p>
            <w:pPr>
              <w:jc w:val="center"/>
              <w:rPr>
                <w:color w:val="000000"/>
              </w:rPr>
            </w:pPr>
            <w:r>
              <w:rPr>
                <w:color w:val="000000"/>
              </w:rPr>
              <w:t>昼</w:t>
            </w:r>
          </w:p>
        </w:tc>
        <w:tc>
          <w:tcPr>
            <w:tcW w:w="961" w:type="dxa"/>
            <w:gridSpan w:val="2"/>
            <w:vAlign w:val="center"/>
          </w:tcPr>
          <w:p>
            <w:pPr>
              <w:jc w:val="center"/>
              <w:rPr>
                <w:color w:val="000000"/>
              </w:rPr>
            </w:pPr>
            <w:r>
              <w:rPr>
                <w:color w:val="000000"/>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Merge w:val="continue"/>
            <w:vAlign w:val="center"/>
          </w:tcPr>
          <w:p>
            <w:pPr>
              <w:jc w:val="center"/>
              <w:rPr>
                <w:color w:val="000000"/>
              </w:rPr>
            </w:pPr>
          </w:p>
        </w:tc>
        <w:tc>
          <w:tcPr>
            <w:tcW w:w="1043" w:type="dxa"/>
            <w:vMerge w:val="continue"/>
            <w:vAlign w:val="center"/>
          </w:tcPr>
          <w:p>
            <w:pPr>
              <w:jc w:val="center"/>
              <w:rPr>
                <w:color w:val="000000"/>
              </w:rPr>
            </w:pPr>
          </w:p>
        </w:tc>
        <w:tc>
          <w:tcPr>
            <w:tcW w:w="878" w:type="dxa"/>
            <w:vAlign w:val="center"/>
          </w:tcPr>
          <w:p>
            <w:pPr>
              <w:jc w:val="center"/>
              <w:rPr>
                <w:color w:val="000000"/>
              </w:rPr>
            </w:pPr>
            <w:r>
              <w:rPr>
                <w:color w:val="000000"/>
              </w:rPr>
              <w:t>夜</w:t>
            </w:r>
          </w:p>
        </w:tc>
        <w:tc>
          <w:tcPr>
            <w:tcW w:w="961" w:type="dxa"/>
            <w:gridSpan w:val="2"/>
            <w:vAlign w:val="center"/>
          </w:tcPr>
          <w:p>
            <w:pPr>
              <w:jc w:val="center"/>
              <w:rPr>
                <w:color w:val="000000"/>
              </w:rPr>
            </w:pPr>
            <w:r>
              <w:rPr>
                <w:color w:val="000000"/>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restart"/>
            <w:vAlign w:val="center"/>
          </w:tcPr>
          <w:p>
            <w:pPr>
              <w:jc w:val="center"/>
              <w:rPr>
                <w:b/>
                <w:bCs/>
                <w:color w:val="000000"/>
                <w:u w:val="single"/>
              </w:rPr>
            </w:pPr>
            <w:r>
              <w:rPr>
                <w:b/>
                <w:bCs/>
                <w:color w:val="000000"/>
                <w:u w:val="single"/>
              </w:rPr>
              <w:t>地表水</w:t>
            </w:r>
          </w:p>
          <w:p>
            <w:pPr>
              <w:jc w:val="center"/>
              <w:rPr>
                <w:b/>
                <w:bCs/>
                <w:color w:val="000000"/>
                <w:u w:val="single"/>
              </w:rPr>
            </w:pPr>
            <w:r>
              <w:rPr>
                <w:b/>
                <w:bCs/>
                <w:color w:val="000000"/>
                <w:u w:val="single"/>
              </w:rPr>
              <w:t>环境</w:t>
            </w:r>
          </w:p>
        </w:tc>
        <w:tc>
          <w:tcPr>
            <w:tcW w:w="3404" w:type="dxa"/>
            <w:vMerge w:val="restart"/>
            <w:vAlign w:val="center"/>
          </w:tcPr>
          <w:p>
            <w:pPr>
              <w:spacing w:line="320" w:lineRule="exact"/>
              <w:jc w:val="center"/>
              <w:rPr>
                <w:b/>
                <w:bCs/>
                <w:color w:val="000000"/>
                <w:u w:val="single"/>
              </w:rPr>
            </w:pPr>
            <w:r>
              <w:rPr>
                <w:rFonts w:ascii="Times New Roman" w:hAnsi="Times New Roman"/>
                <w:b/>
                <w:bCs/>
                <w:sz w:val="21"/>
                <w:u w:val="single"/>
              </w:rPr>
              <w:t>《地表水环境质量标准》（GB3838-2002）</w:t>
            </w:r>
            <w:r>
              <w:rPr>
                <w:rFonts w:ascii="Times New Roman" w:hAnsi="Times New Roman"/>
                <w:b/>
                <w:bCs/>
                <w:sz w:val="21"/>
                <w:u w:val="single"/>
              </w:rPr>
              <w:fldChar w:fldCharType="begin"/>
            </w:r>
            <w:r>
              <w:rPr>
                <w:rFonts w:ascii="Times New Roman" w:hAnsi="Times New Roman"/>
                <w:b/>
                <w:bCs/>
                <w:sz w:val="21"/>
                <w:u w:val="single"/>
              </w:rPr>
              <w:instrText xml:space="preserve"> </w:instrText>
            </w:r>
            <w:r>
              <w:rPr>
                <w:rFonts w:hint="eastAsia" w:ascii="Times New Roman" w:hAnsi="Times New Roman"/>
                <w:b/>
                <w:bCs/>
                <w:sz w:val="21"/>
                <w:u w:val="single"/>
              </w:rPr>
              <w:instrText xml:space="preserve">= 3 \* ROMAN</w:instrText>
            </w:r>
            <w:r>
              <w:rPr>
                <w:rFonts w:ascii="Times New Roman" w:hAnsi="Times New Roman"/>
                <w:b/>
                <w:bCs/>
                <w:sz w:val="21"/>
                <w:u w:val="single"/>
              </w:rPr>
              <w:instrText xml:space="preserve"> </w:instrText>
            </w:r>
            <w:r>
              <w:rPr>
                <w:rFonts w:ascii="Times New Roman" w:hAnsi="Times New Roman"/>
                <w:b/>
                <w:bCs/>
                <w:sz w:val="21"/>
                <w:u w:val="single"/>
              </w:rPr>
              <w:fldChar w:fldCharType="separate"/>
            </w:r>
            <w:r>
              <w:rPr>
                <w:rFonts w:ascii="Times New Roman" w:hAnsi="Times New Roman"/>
                <w:b/>
                <w:bCs/>
                <w:sz w:val="21"/>
                <w:u w:val="single"/>
              </w:rPr>
              <w:t>III</w:t>
            </w:r>
            <w:r>
              <w:rPr>
                <w:rFonts w:ascii="Times New Roman" w:hAnsi="Times New Roman"/>
                <w:b/>
                <w:bCs/>
                <w:sz w:val="21"/>
                <w:u w:val="single"/>
              </w:rPr>
              <w:fldChar w:fldCharType="end"/>
            </w:r>
            <w:r>
              <w:rPr>
                <w:rFonts w:ascii="Times New Roman" w:hAnsi="Times New Roman"/>
                <w:b/>
                <w:bCs/>
                <w:sz w:val="21"/>
                <w:u w:val="single"/>
              </w:rPr>
              <w:t>类</w:t>
            </w:r>
          </w:p>
        </w:tc>
        <w:tc>
          <w:tcPr>
            <w:tcW w:w="1559" w:type="dxa"/>
            <w:vAlign w:val="center"/>
          </w:tcPr>
          <w:p>
            <w:pPr>
              <w:spacing w:line="320" w:lineRule="exact"/>
              <w:jc w:val="center"/>
              <w:rPr>
                <w:b/>
                <w:bCs/>
                <w:color w:val="000000"/>
                <w:u w:val="single"/>
              </w:rPr>
            </w:pPr>
            <w:r>
              <w:rPr>
                <w:rFonts w:ascii="Times New Roman" w:hAnsi="Times New Roman"/>
                <w:b/>
                <w:bCs/>
                <w:sz w:val="21"/>
                <w:u w:val="single"/>
              </w:rPr>
              <w:t>pH</w:t>
            </w:r>
          </w:p>
        </w:tc>
        <w:tc>
          <w:tcPr>
            <w:tcW w:w="1043" w:type="dxa"/>
            <w:vAlign w:val="center"/>
          </w:tcPr>
          <w:p>
            <w:pPr>
              <w:spacing w:line="320" w:lineRule="exact"/>
              <w:jc w:val="center"/>
              <w:rPr>
                <w:b/>
                <w:bCs/>
                <w:color w:val="000000"/>
                <w:u w:val="single"/>
              </w:rPr>
            </w:pPr>
            <w:r>
              <w:rPr>
                <w:rFonts w:ascii="Times New Roman" w:hAnsi="Times New Roman"/>
                <w:b/>
                <w:bCs/>
                <w:sz w:val="21"/>
                <w:u w:val="single"/>
              </w:rPr>
              <w:t>/</w:t>
            </w:r>
          </w:p>
        </w:tc>
        <w:tc>
          <w:tcPr>
            <w:tcW w:w="1839" w:type="dxa"/>
            <w:gridSpan w:val="3"/>
            <w:vAlign w:val="center"/>
          </w:tcPr>
          <w:p>
            <w:pPr>
              <w:spacing w:line="320" w:lineRule="exact"/>
              <w:jc w:val="center"/>
              <w:rPr>
                <w:b/>
                <w:bCs/>
                <w:color w:val="000000"/>
                <w:u w:val="single"/>
              </w:rPr>
            </w:pPr>
            <w:r>
              <w:rPr>
                <w:rFonts w:ascii="Times New Roman" w:hAnsi="Times New Roman"/>
                <w:b/>
                <w:bCs/>
                <w:sz w:val="21"/>
                <w:u w:val="single"/>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b/>
                <w:bCs/>
                <w:color w:val="000000"/>
                <w:u w:val="single"/>
              </w:rPr>
            </w:pPr>
          </w:p>
        </w:tc>
        <w:tc>
          <w:tcPr>
            <w:tcW w:w="3404" w:type="dxa"/>
            <w:vMerge w:val="continue"/>
            <w:vAlign w:val="center"/>
          </w:tcPr>
          <w:p>
            <w:pPr>
              <w:spacing w:line="320" w:lineRule="exact"/>
              <w:jc w:val="center"/>
              <w:rPr>
                <w:b/>
                <w:bCs/>
                <w:color w:val="000000"/>
                <w:u w:val="single"/>
              </w:rPr>
            </w:pPr>
          </w:p>
        </w:tc>
        <w:tc>
          <w:tcPr>
            <w:tcW w:w="1559" w:type="dxa"/>
            <w:vAlign w:val="center"/>
          </w:tcPr>
          <w:p>
            <w:pPr>
              <w:spacing w:line="320" w:lineRule="exact"/>
              <w:jc w:val="center"/>
              <w:rPr>
                <w:b/>
                <w:bCs/>
                <w:color w:val="000000"/>
                <w:u w:val="single"/>
                <w:vertAlign w:val="subscript"/>
              </w:rPr>
            </w:pPr>
            <w:r>
              <w:rPr>
                <w:rFonts w:ascii="Times New Roman" w:hAnsi="Times New Roman"/>
                <w:b/>
                <w:bCs/>
                <w:sz w:val="21"/>
                <w:u w:val="single"/>
              </w:rPr>
              <w:t>COD</w:t>
            </w:r>
          </w:p>
        </w:tc>
        <w:tc>
          <w:tcPr>
            <w:tcW w:w="1043" w:type="dxa"/>
            <w:vAlign w:val="center"/>
          </w:tcPr>
          <w:p>
            <w:pPr>
              <w:spacing w:line="320" w:lineRule="exact"/>
              <w:jc w:val="center"/>
              <w:rPr>
                <w:b/>
                <w:bCs/>
                <w:color w:val="000000"/>
                <w:u w:val="single"/>
              </w:rPr>
            </w:pPr>
            <w:r>
              <w:rPr>
                <w:rFonts w:ascii="Times New Roman" w:hAnsi="Times New Roman"/>
                <w:b/>
                <w:bCs/>
                <w:sz w:val="21"/>
                <w:u w:val="single"/>
              </w:rPr>
              <w:t>mg/L</w:t>
            </w:r>
          </w:p>
        </w:tc>
        <w:tc>
          <w:tcPr>
            <w:tcW w:w="1839" w:type="dxa"/>
            <w:gridSpan w:val="3"/>
            <w:vAlign w:val="center"/>
          </w:tcPr>
          <w:p>
            <w:pPr>
              <w:spacing w:line="320" w:lineRule="exact"/>
              <w:jc w:val="center"/>
              <w:rPr>
                <w:b/>
                <w:bCs/>
                <w:color w:val="000000"/>
                <w:u w:val="single"/>
              </w:rPr>
            </w:pPr>
            <w:r>
              <w:rPr>
                <w:rFonts w:hint="eastAsia" w:ascii="Times New Roman" w:hAnsi="Times New Roman"/>
                <w:b/>
                <w:bCs/>
                <w:sz w:val="21"/>
                <w:u w:val="singl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b/>
                <w:bCs/>
                <w:color w:val="000000"/>
                <w:u w:val="single"/>
              </w:rPr>
            </w:pPr>
          </w:p>
        </w:tc>
        <w:tc>
          <w:tcPr>
            <w:tcW w:w="3404" w:type="dxa"/>
            <w:vMerge w:val="continue"/>
            <w:vAlign w:val="center"/>
          </w:tcPr>
          <w:p>
            <w:pPr>
              <w:spacing w:line="320" w:lineRule="exact"/>
              <w:jc w:val="center"/>
              <w:rPr>
                <w:b/>
                <w:bCs/>
                <w:color w:val="000000"/>
                <w:u w:val="single"/>
              </w:rPr>
            </w:pPr>
          </w:p>
        </w:tc>
        <w:tc>
          <w:tcPr>
            <w:tcW w:w="1559" w:type="dxa"/>
            <w:vAlign w:val="center"/>
          </w:tcPr>
          <w:p>
            <w:pPr>
              <w:spacing w:line="320" w:lineRule="exact"/>
              <w:jc w:val="center"/>
              <w:rPr>
                <w:b/>
                <w:bCs/>
                <w:color w:val="000000"/>
                <w:u w:val="single"/>
              </w:rPr>
            </w:pPr>
            <w:r>
              <w:rPr>
                <w:rFonts w:ascii="Times New Roman" w:hAnsi="Times New Roman"/>
                <w:b/>
                <w:bCs/>
                <w:sz w:val="21"/>
                <w:u w:val="single"/>
              </w:rPr>
              <w:t>BOD</w:t>
            </w:r>
            <w:r>
              <w:rPr>
                <w:rFonts w:ascii="Times New Roman" w:hAnsi="Times New Roman"/>
                <w:b/>
                <w:bCs/>
                <w:sz w:val="21"/>
                <w:u w:val="single"/>
                <w:vertAlign w:val="subscript"/>
              </w:rPr>
              <w:t>5</w:t>
            </w:r>
          </w:p>
        </w:tc>
        <w:tc>
          <w:tcPr>
            <w:tcW w:w="1043" w:type="dxa"/>
            <w:vAlign w:val="center"/>
          </w:tcPr>
          <w:p>
            <w:pPr>
              <w:spacing w:line="320" w:lineRule="exact"/>
              <w:jc w:val="center"/>
              <w:rPr>
                <w:b/>
                <w:bCs/>
                <w:color w:val="000000"/>
                <w:u w:val="single"/>
              </w:rPr>
            </w:pPr>
            <w:r>
              <w:rPr>
                <w:rFonts w:ascii="Times New Roman" w:hAnsi="Times New Roman"/>
                <w:b/>
                <w:bCs/>
                <w:sz w:val="21"/>
                <w:u w:val="single"/>
              </w:rPr>
              <w:t>mg/L</w:t>
            </w:r>
          </w:p>
        </w:tc>
        <w:tc>
          <w:tcPr>
            <w:tcW w:w="1839" w:type="dxa"/>
            <w:gridSpan w:val="3"/>
            <w:vAlign w:val="center"/>
          </w:tcPr>
          <w:p>
            <w:pPr>
              <w:spacing w:line="320" w:lineRule="exact"/>
              <w:jc w:val="center"/>
              <w:rPr>
                <w:b/>
                <w:bCs/>
                <w:color w:val="000000"/>
                <w:u w:val="single"/>
              </w:rPr>
            </w:pPr>
            <w:r>
              <w:rPr>
                <w:rFonts w:hint="eastAsia" w:ascii="Times New Roman" w:hAnsi="Times New Roman"/>
                <w:b/>
                <w:bCs/>
                <w:sz w:val="21"/>
                <w:u w:val="singl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b/>
                <w:bCs/>
                <w:color w:val="000000"/>
                <w:u w:val="single"/>
              </w:rPr>
            </w:pPr>
          </w:p>
        </w:tc>
        <w:tc>
          <w:tcPr>
            <w:tcW w:w="3404" w:type="dxa"/>
            <w:vMerge w:val="continue"/>
            <w:vAlign w:val="center"/>
          </w:tcPr>
          <w:p>
            <w:pPr>
              <w:spacing w:line="320" w:lineRule="exact"/>
              <w:jc w:val="center"/>
              <w:rPr>
                <w:b/>
                <w:bCs/>
                <w:color w:val="000000"/>
                <w:u w:val="single"/>
              </w:rPr>
            </w:pPr>
          </w:p>
        </w:tc>
        <w:tc>
          <w:tcPr>
            <w:tcW w:w="1559" w:type="dxa"/>
            <w:vAlign w:val="center"/>
          </w:tcPr>
          <w:p>
            <w:pPr>
              <w:spacing w:line="320" w:lineRule="exact"/>
              <w:jc w:val="center"/>
              <w:rPr>
                <w:b/>
                <w:bCs/>
                <w:color w:val="000000"/>
                <w:u w:val="single"/>
              </w:rPr>
            </w:pPr>
            <w:r>
              <w:rPr>
                <w:rFonts w:ascii="Times New Roman" w:hAnsi="Times New Roman"/>
                <w:b/>
                <w:bCs/>
                <w:sz w:val="21"/>
                <w:u w:val="single"/>
              </w:rPr>
              <w:t>氨氮</w:t>
            </w:r>
          </w:p>
        </w:tc>
        <w:tc>
          <w:tcPr>
            <w:tcW w:w="1043" w:type="dxa"/>
            <w:vAlign w:val="center"/>
          </w:tcPr>
          <w:p>
            <w:pPr>
              <w:spacing w:line="320" w:lineRule="exact"/>
              <w:jc w:val="center"/>
              <w:rPr>
                <w:b/>
                <w:bCs/>
                <w:color w:val="000000"/>
                <w:u w:val="single"/>
              </w:rPr>
            </w:pPr>
            <w:r>
              <w:rPr>
                <w:rFonts w:ascii="Times New Roman" w:hAnsi="Times New Roman"/>
                <w:b/>
                <w:bCs/>
                <w:sz w:val="21"/>
                <w:u w:val="single"/>
              </w:rPr>
              <w:t>mg/L</w:t>
            </w:r>
          </w:p>
        </w:tc>
        <w:tc>
          <w:tcPr>
            <w:tcW w:w="1839" w:type="dxa"/>
            <w:gridSpan w:val="3"/>
            <w:vAlign w:val="center"/>
          </w:tcPr>
          <w:p>
            <w:pPr>
              <w:spacing w:line="320" w:lineRule="exact"/>
              <w:jc w:val="center"/>
              <w:rPr>
                <w:b/>
                <w:bCs/>
                <w:color w:val="000000"/>
                <w:u w:val="single"/>
              </w:rPr>
            </w:pPr>
            <w:r>
              <w:rPr>
                <w:rFonts w:ascii="Times New Roman" w:hAnsi="Times New Roman"/>
                <w:b/>
                <w:bCs/>
                <w:sz w:val="21"/>
                <w:u w:val="single"/>
              </w:rPr>
              <w:t>1.</w:t>
            </w:r>
            <w:r>
              <w:rPr>
                <w:rFonts w:hint="eastAsia" w:ascii="Times New Roman" w:hAnsi="Times New Roman"/>
                <w:b/>
                <w:bCs/>
                <w:sz w:val="21"/>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b/>
                <w:bCs/>
                <w:color w:val="000000"/>
                <w:u w:val="single"/>
              </w:rPr>
            </w:pPr>
          </w:p>
        </w:tc>
        <w:tc>
          <w:tcPr>
            <w:tcW w:w="3404" w:type="dxa"/>
            <w:vMerge w:val="continue"/>
            <w:vAlign w:val="center"/>
          </w:tcPr>
          <w:p>
            <w:pPr>
              <w:spacing w:line="320" w:lineRule="exact"/>
              <w:jc w:val="center"/>
              <w:rPr>
                <w:b/>
                <w:bCs/>
                <w:color w:val="000000"/>
                <w:u w:val="single"/>
              </w:rPr>
            </w:pPr>
          </w:p>
        </w:tc>
        <w:tc>
          <w:tcPr>
            <w:tcW w:w="1559" w:type="dxa"/>
            <w:vAlign w:val="center"/>
          </w:tcPr>
          <w:p>
            <w:pPr>
              <w:spacing w:line="320" w:lineRule="exact"/>
              <w:jc w:val="center"/>
              <w:rPr>
                <w:b/>
                <w:bCs/>
                <w:color w:val="000000"/>
                <w:u w:val="single"/>
              </w:rPr>
            </w:pPr>
            <w:r>
              <w:rPr>
                <w:rFonts w:hint="eastAsia" w:ascii="Times New Roman" w:hAnsi="Times New Roman"/>
                <w:b/>
                <w:bCs/>
                <w:sz w:val="21"/>
                <w:u w:val="single"/>
              </w:rPr>
              <w:t>总氮</w:t>
            </w:r>
          </w:p>
        </w:tc>
        <w:tc>
          <w:tcPr>
            <w:tcW w:w="1043" w:type="dxa"/>
            <w:vAlign w:val="center"/>
          </w:tcPr>
          <w:p>
            <w:pPr>
              <w:spacing w:line="320" w:lineRule="exact"/>
              <w:jc w:val="center"/>
              <w:rPr>
                <w:b/>
                <w:bCs/>
                <w:color w:val="000000"/>
                <w:u w:val="single"/>
              </w:rPr>
            </w:pPr>
            <w:r>
              <w:rPr>
                <w:rFonts w:ascii="Times New Roman" w:hAnsi="Times New Roman"/>
                <w:b/>
                <w:bCs/>
                <w:sz w:val="21"/>
                <w:u w:val="single"/>
              </w:rPr>
              <w:t>mg/L</w:t>
            </w:r>
          </w:p>
        </w:tc>
        <w:tc>
          <w:tcPr>
            <w:tcW w:w="1839" w:type="dxa"/>
            <w:gridSpan w:val="3"/>
            <w:vAlign w:val="center"/>
          </w:tcPr>
          <w:p>
            <w:pPr>
              <w:spacing w:line="320" w:lineRule="exact"/>
              <w:jc w:val="center"/>
              <w:rPr>
                <w:b/>
                <w:bCs/>
                <w:color w:val="000000"/>
                <w:u w:val="single"/>
              </w:rPr>
            </w:pPr>
            <w:r>
              <w:rPr>
                <w:rFonts w:hint="eastAsia" w:ascii="Times New Roman" w:hAnsi="Times New Roman"/>
                <w:b/>
                <w:bCs/>
                <w:sz w:val="21"/>
                <w:u w:val="singl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b/>
                <w:bCs/>
                <w:color w:val="000000"/>
                <w:u w:val="single"/>
              </w:rPr>
            </w:pPr>
          </w:p>
        </w:tc>
        <w:tc>
          <w:tcPr>
            <w:tcW w:w="3404" w:type="dxa"/>
            <w:vMerge w:val="continue"/>
            <w:vAlign w:val="center"/>
          </w:tcPr>
          <w:p>
            <w:pPr>
              <w:spacing w:line="320" w:lineRule="exact"/>
              <w:jc w:val="center"/>
              <w:rPr>
                <w:b/>
                <w:bCs/>
                <w:color w:val="000000"/>
                <w:u w:val="single"/>
              </w:rPr>
            </w:pPr>
          </w:p>
        </w:tc>
        <w:tc>
          <w:tcPr>
            <w:tcW w:w="1559" w:type="dxa"/>
            <w:vAlign w:val="center"/>
          </w:tcPr>
          <w:p>
            <w:pPr>
              <w:spacing w:line="320" w:lineRule="exact"/>
              <w:jc w:val="center"/>
              <w:rPr>
                <w:rFonts w:hint="eastAsia" w:ascii="Times New Roman" w:hAnsi="Times New Roman"/>
                <w:b/>
                <w:bCs/>
                <w:sz w:val="21"/>
                <w:u w:val="single"/>
              </w:rPr>
            </w:pPr>
            <w:r>
              <w:rPr>
                <w:rFonts w:ascii="Times New Roman" w:hAnsi="Times New Roman"/>
                <w:b/>
                <w:bCs/>
                <w:sz w:val="21"/>
                <w:u w:val="single"/>
              </w:rPr>
              <w:t>总磷</w:t>
            </w:r>
          </w:p>
        </w:tc>
        <w:tc>
          <w:tcPr>
            <w:tcW w:w="1043" w:type="dxa"/>
            <w:vAlign w:val="center"/>
          </w:tcPr>
          <w:p>
            <w:pPr>
              <w:spacing w:line="320" w:lineRule="exact"/>
              <w:jc w:val="center"/>
              <w:rPr>
                <w:rFonts w:ascii="Times New Roman" w:hAnsi="Times New Roman"/>
                <w:b/>
                <w:bCs/>
                <w:sz w:val="21"/>
                <w:u w:val="single"/>
              </w:rPr>
            </w:pPr>
            <w:r>
              <w:rPr>
                <w:rFonts w:ascii="Times New Roman" w:hAnsi="Times New Roman"/>
                <w:b/>
                <w:bCs/>
                <w:sz w:val="21"/>
                <w:u w:val="single"/>
              </w:rPr>
              <w:t>mg/L</w:t>
            </w:r>
          </w:p>
        </w:tc>
        <w:tc>
          <w:tcPr>
            <w:tcW w:w="1839" w:type="dxa"/>
            <w:gridSpan w:val="3"/>
            <w:vAlign w:val="center"/>
          </w:tcPr>
          <w:p>
            <w:pPr>
              <w:spacing w:line="320" w:lineRule="exact"/>
              <w:jc w:val="center"/>
              <w:rPr>
                <w:rFonts w:hint="eastAsia" w:ascii="Times New Roman" w:hAnsi="Times New Roman"/>
                <w:b/>
                <w:bCs/>
                <w:sz w:val="21"/>
                <w:u w:val="single"/>
              </w:rPr>
            </w:pPr>
            <w:r>
              <w:rPr>
                <w:rFonts w:ascii="Times New Roman" w:hAnsi="Times New Roman"/>
                <w:b/>
                <w:bCs/>
                <w:sz w:val="21"/>
                <w:u w:val="single"/>
              </w:rPr>
              <w:t>0.</w:t>
            </w:r>
            <w:r>
              <w:rPr>
                <w:rFonts w:hint="eastAsia" w:ascii="Times New Roman" w:hAnsi="Times New Roman"/>
                <w:b/>
                <w:bCs/>
                <w:sz w:val="21"/>
                <w:u w:val="single"/>
              </w:rPr>
              <w:t>2</w:t>
            </w:r>
            <w:r>
              <w:rPr>
                <w:rFonts w:ascii="Times New Roman" w:hAnsi="Times New Roman"/>
                <w:b/>
                <w:bCs/>
                <w:sz w:val="21"/>
                <w:u w:val="single"/>
              </w:rPr>
              <w:t>（湖、库0.</w:t>
            </w:r>
            <w:r>
              <w:rPr>
                <w:rFonts w:hint="eastAsia" w:ascii="Times New Roman" w:hAnsi="Times New Roman"/>
                <w:b/>
                <w:bCs/>
                <w:sz w:val="21"/>
                <w:u w:val="single"/>
              </w:rPr>
              <w:t>05</w:t>
            </w:r>
            <w:r>
              <w:rPr>
                <w:rFonts w:ascii="Times New Roman" w:hAnsi="Times New Roman"/>
                <w:b/>
                <w:bCs/>
                <w:sz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b/>
                <w:bCs/>
                <w:color w:val="000000"/>
                <w:u w:val="single"/>
              </w:rPr>
            </w:pPr>
          </w:p>
        </w:tc>
        <w:tc>
          <w:tcPr>
            <w:tcW w:w="3404" w:type="dxa"/>
            <w:vMerge w:val="continue"/>
            <w:vAlign w:val="center"/>
          </w:tcPr>
          <w:p>
            <w:pPr>
              <w:spacing w:line="320" w:lineRule="exact"/>
              <w:jc w:val="center"/>
              <w:rPr>
                <w:b/>
                <w:bCs/>
                <w:color w:val="000000"/>
                <w:u w:val="single"/>
              </w:rPr>
            </w:pPr>
          </w:p>
        </w:tc>
        <w:tc>
          <w:tcPr>
            <w:tcW w:w="1559" w:type="dxa"/>
            <w:vAlign w:val="center"/>
          </w:tcPr>
          <w:p>
            <w:pPr>
              <w:spacing w:line="320" w:lineRule="exact"/>
              <w:jc w:val="center"/>
              <w:rPr>
                <w:b/>
                <w:bCs/>
                <w:color w:val="000000"/>
                <w:u w:val="single"/>
              </w:rPr>
            </w:pPr>
            <w:r>
              <w:rPr>
                <w:rFonts w:ascii="Times New Roman" w:hAnsi="Times New Roman"/>
                <w:b/>
                <w:bCs/>
                <w:sz w:val="21"/>
                <w:u w:val="single"/>
              </w:rPr>
              <w:t>粪大肠菌群</w:t>
            </w:r>
          </w:p>
        </w:tc>
        <w:tc>
          <w:tcPr>
            <w:tcW w:w="1043" w:type="dxa"/>
            <w:vAlign w:val="center"/>
          </w:tcPr>
          <w:p>
            <w:pPr>
              <w:spacing w:line="320" w:lineRule="exact"/>
              <w:jc w:val="center"/>
              <w:rPr>
                <w:b/>
                <w:bCs/>
                <w:color w:val="000000"/>
                <w:u w:val="single"/>
              </w:rPr>
            </w:pPr>
            <w:r>
              <w:rPr>
                <w:rFonts w:ascii="Times New Roman" w:hAnsi="Times New Roman"/>
                <w:b/>
                <w:bCs/>
                <w:sz w:val="21"/>
                <w:u w:val="single"/>
              </w:rPr>
              <w:t>个/L</w:t>
            </w:r>
          </w:p>
        </w:tc>
        <w:tc>
          <w:tcPr>
            <w:tcW w:w="1839" w:type="dxa"/>
            <w:gridSpan w:val="3"/>
            <w:vAlign w:val="center"/>
          </w:tcPr>
          <w:p>
            <w:pPr>
              <w:spacing w:line="320" w:lineRule="exact"/>
              <w:jc w:val="center"/>
              <w:rPr>
                <w:rFonts w:hint="default" w:eastAsia="宋体"/>
                <w:b/>
                <w:bCs/>
                <w:color w:val="000000"/>
                <w:u w:val="single"/>
                <w:lang w:val="en-US" w:eastAsia="zh-CN"/>
              </w:rPr>
            </w:pPr>
            <w:r>
              <w:rPr>
                <w:rFonts w:hint="eastAsia" w:ascii="Times New Roman" w:hAnsi="Times New Roman"/>
                <w:b/>
                <w:bCs/>
                <w:sz w:val="21"/>
                <w:u w:val="single"/>
              </w:rPr>
              <w:t>1</w:t>
            </w:r>
            <w:r>
              <w:rPr>
                <w:rFonts w:ascii="Times New Roman" w:hAnsi="Times New Roman"/>
                <w:b/>
                <w:bCs/>
                <w:sz w:val="21"/>
                <w:u w:val="single"/>
              </w:rPr>
              <w:t>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restart"/>
            <w:vAlign w:val="center"/>
          </w:tcPr>
          <w:p>
            <w:pPr>
              <w:jc w:val="center"/>
              <w:rPr>
                <w:color w:val="000000"/>
              </w:rPr>
            </w:pPr>
            <w:r>
              <w:rPr>
                <w:color w:val="000000"/>
              </w:rPr>
              <w:t>地下水</w:t>
            </w:r>
          </w:p>
          <w:p>
            <w:pPr>
              <w:jc w:val="center"/>
              <w:rPr>
                <w:color w:val="000000"/>
              </w:rPr>
            </w:pPr>
            <w:r>
              <w:rPr>
                <w:color w:val="000000"/>
              </w:rPr>
              <w:t>环境</w:t>
            </w:r>
          </w:p>
        </w:tc>
        <w:tc>
          <w:tcPr>
            <w:tcW w:w="3404" w:type="dxa"/>
            <w:vMerge w:val="restart"/>
            <w:vAlign w:val="center"/>
          </w:tcPr>
          <w:p>
            <w:pPr>
              <w:jc w:val="center"/>
              <w:rPr>
                <w:color w:val="000000"/>
              </w:rPr>
            </w:pPr>
            <w:r>
              <w:rPr>
                <w:szCs w:val="21"/>
              </w:rPr>
              <w:t>《地下水质量标准》（GB/T14848-2017）</w:t>
            </w:r>
            <w:r>
              <w:rPr>
                <w:rFonts w:hint="eastAsia" w:ascii="宋体" w:hAnsi="宋体" w:cs="宋体"/>
                <w:szCs w:val="21"/>
              </w:rPr>
              <w:t>Ⅲ</w:t>
            </w:r>
            <w:r>
              <w:rPr>
                <w:szCs w:val="21"/>
              </w:rPr>
              <w:t>类</w:t>
            </w:r>
          </w:p>
        </w:tc>
        <w:tc>
          <w:tcPr>
            <w:tcW w:w="1559" w:type="dxa"/>
            <w:vAlign w:val="center"/>
          </w:tcPr>
          <w:p>
            <w:pPr>
              <w:jc w:val="center"/>
              <w:rPr>
                <w:color w:val="000000"/>
              </w:rPr>
            </w:pPr>
            <w:r>
              <w:rPr>
                <w:color w:val="000000"/>
              </w:rPr>
              <w:t>pH</w:t>
            </w:r>
          </w:p>
        </w:tc>
        <w:tc>
          <w:tcPr>
            <w:tcW w:w="1043" w:type="dxa"/>
            <w:vAlign w:val="center"/>
          </w:tcPr>
          <w:p>
            <w:pPr>
              <w:jc w:val="center"/>
              <w:rPr>
                <w:color w:val="000000"/>
              </w:rPr>
            </w:pPr>
            <w:r>
              <w:rPr>
                <w:color w:val="000000"/>
              </w:rPr>
              <w:t>/</w:t>
            </w:r>
          </w:p>
        </w:tc>
        <w:tc>
          <w:tcPr>
            <w:tcW w:w="1839" w:type="dxa"/>
            <w:gridSpan w:val="3"/>
            <w:vAlign w:val="center"/>
          </w:tcPr>
          <w:p>
            <w:pPr>
              <w:jc w:val="center"/>
              <w:rPr>
                <w:color w:val="000000"/>
              </w:rPr>
            </w:pPr>
            <w:r>
              <w:rPr>
                <w:color w:val="000000"/>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Align w:val="center"/>
          </w:tcPr>
          <w:p>
            <w:pPr>
              <w:jc w:val="center"/>
              <w:rPr>
                <w:color w:val="000000"/>
              </w:rPr>
            </w:pPr>
            <w:r>
              <w:rPr>
                <w:color w:val="000000"/>
              </w:rPr>
              <w:t>总硬度</w:t>
            </w:r>
          </w:p>
        </w:tc>
        <w:tc>
          <w:tcPr>
            <w:tcW w:w="1043" w:type="dxa"/>
            <w:vAlign w:val="center"/>
          </w:tcPr>
          <w:p>
            <w:pPr>
              <w:jc w:val="center"/>
              <w:rPr>
                <w:color w:val="000000"/>
              </w:rPr>
            </w:pPr>
            <w:r>
              <w:rPr>
                <w:color w:val="000000"/>
              </w:rPr>
              <w:t>mg/L</w:t>
            </w:r>
          </w:p>
        </w:tc>
        <w:tc>
          <w:tcPr>
            <w:tcW w:w="1839" w:type="dxa"/>
            <w:gridSpan w:val="3"/>
            <w:vAlign w:val="center"/>
          </w:tcPr>
          <w:p>
            <w:pPr>
              <w:jc w:val="center"/>
              <w:rPr>
                <w:color w:val="000000"/>
              </w:rPr>
            </w:pPr>
            <w:r>
              <w:rPr>
                <w:color w:val="000000"/>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Align w:val="center"/>
          </w:tcPr>
          <w:p>
            <w:pPr>
              <w:jc w:val="center"/>
              <w:rPr>
                <w:color w:val="000000"/>
              </w:rPr>
            </w:pPr>
            <w:r>
              <w:rPr>
                <w:color w:val="000000"/>
              </w:rPr>
              <w:t>氨氮</w:t>
            </w:r>
          </w:p>
        </w:tc>
        <w:tc>
          <w:tcPr>
            <w:tcW w:w="1043" w:type="dxa"/>
            <w:vAlign w:val="center"/>
          </w:tcPr>
          <w:p>
            <w:pPr>
              <w:jc w:val="center"/>
              <w:rPr>
                <w:color w:val="000000"/>
              </w:rPr>
            </w:pPr>
            <w:r>
              <w:rPr>
                <w:color w:val="000000"/>
              </w:rPr>
              <w:t>mg/L</w:t>
            </w:r>
          </w:p>
        </w:tc>
        <w:tc>
          <w:tcPr>
            <w:tcW w:w="1839" w:type="dxa"/>
            <w:gridSpan w:val="3"/>
            <w:vAlign w:val="center"/>
          </w:tcPr>
          <w:p>
            <w:pPr>
              <w:jc w:val="center"/>
              <w:rPr>
                <w:color w:val="000000"/>
              </w:rPr>
            </w:pPr>
            <w:r>
              <w:rPr>
                <w:color w:val="000000"/>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Align w:val="center"/>
          </w:tcPr>
          <w:p>
            <w:pPr>
              <w:jc w:val="center"/>
              <w:rPr>
                <w:color w:val="000000"/>
              </w:rPr>
            </w:pPr>
            <w:r>
              <w:rPr>
                <w:color w:val="000000"/>
              </w:rPr>
              <w:t>硝酸盐氮</w:t>
            </w:r>
          </w:p>
        </w:tc>
        <w:tc>
          <w:tcPr>
            <w:tcW w:w="1043" w:type="dxa"/>
            <w:vAlign w:val="center"/>
          </w:tcPr>
          <w:p>
            <w:pPr>
              <w:jc w:val="center"/>
              <w:rPr>
                <w:color w:val="000000"/>
              </w:rPr>
            </w:pPr>
            <w:r>
              <w:rPr>
                <w:color w:val="000000"/>
              </w:rPr>
              <w:t>mg/L</w:t>
            </w:r>
          </w:p>
        </w:tc>
        <w:tc>
          <w:tcPr>
            <w:tcW w:w="1839" w:type="dxa"/>
            <w:gridSpan w:val="3"/>
            <w:vAlign w:val="center"/>
          </w:tcPr>
          <w:p>
            <w:pPr>
              <w:jc w:val="center"/>
              <w:rPr>
                <w:color w:val="000000"/>
              </w:rPr>
            </w:pPr>
            <w:r>
              <w:rPr>
                <w:color w:val="000000"/>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Align w:val="center"/>
          </w:tcPr>
          <w:p>
            <w:pPr>
              <w:jc w:val="center"/>
              <w:rPr>
                <w:color w:val="000000"/>
              </w:rPr>
            </w:pPr>
            <w:r>
              <w:rPr>
                <w:color w:val="000000"/>
              </w:rPr>
              <w:t>溶解性总固体</w:t>
            </w:r>
          </w:p>
        </w:tc>
        <w:tc>
          <w:tcPr>
            <w:tcW w:w="1043" w:type="dxa"/>
            <w:vAlign w:val="center"/>
          </w:tcPr>
          <w:p>
            <w:pPr>
              <w:jc w:val="center"/>
              <w:rPr>
                <w:color w:val="000000"/>
              </w:rPr>
            </w:pPr>
            <w:r>
              <w:rPr>
                <w:color w:val="000000"/>
              </w:rPr>
              <w:t>mg/L</w:t>
            </w:r>
          </w:p>
        </w:tc>
        <w:tc>
          <w:tcPr>
            <w:tcW w:w="1839" w:type="dxa"/>
            <w:gridSpan w:val="3"/>
            <w:vAlign w:val="center"/>
          </w:tcPr>
          <w:p>
            <w:pPr>
              <w:jc w:val="center"/>
              <w:rPr>
                <w:color w:val="000000"/>
              </w:rPr>
            </w:pPr>
            <w:r>
              <w:rPr>
                <w:color w:val="000000"/>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Align w:val="center"/>
          </w:tcPr>
          <w:p>
            <w:pPr>
              <w:jc w:val="center"/>
              <w:rPr>
                <w:color w:val="000000"/>
              </w:rPr>
            </w:pPr>
            <w:r>
              <w:rPr>
                <w:color w:val="000000"/>
              </w:rPr>
              <w:t>总大肠菌群</w:t>
            </w:r>
          </w:p>
        </w:tc>
        <w:tc>
          <w:tcPr>
            <w:tcW w:w="1043" w:type="dxa"/>
            <w:vAlign w:val="center"/>
          </w:tcPr>
          <w:p>
            <w:pPr>
              <w:jc w:val="center"/>
              <w:rPr>
                <w:color w:val="000000"/>
              </w:rPr>
            </w:pPr>
            <w:r>
              <w:rPr>
                <w:color w:val="000000"/>
              </w:rPr>
              <w:t>个/L</w:t>
            </w:r>
          </w:p>
        </w:tc>
        <w:tc>
          <w:tcPr>
            <w:tcW w:w="1839" w:type="dxa"/>
            <w:gridSpan w:val="3"/>
            <w:vAlign w:val="center"/>
          </w:tcPr>
          <w:p>
            <w:pPr>
              <w:jc w:val="center"/>
              <w:rPr>
                <w:color w:val="000000"/>
              </w:rPr>
            </w:pPr>
            <w:r>
              <w:rPr>
                <w:color w:val="000000"/>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101" w:type="dxa"/>
            <w:vMerge w:val="restart"/>
            <w:vAlign w:val="center"/>
          </w:tcPr>
          <w:p>
            <w:pPr>
              <w:jc w:val="center"/>
              <w:rPr>
                <w:color w:val="000000"/>
              </w:rPr>
            </w:pPr>
            <w:r>
              <w:rPr>
                <w:color w:val="000000"/>
              </w:rPr>
              <w:t>土壤环境</w:t>
            </w:r>
          </w:p>
        </w:tc>
        <w:tc>
          <w:tcPr>
            <w:tcW w:w="3404" w:type="dxa"/>
            <w:vMerge w:val="restart"/>
            <w:vAlign w:val="center"/>
          </w:tcPr>
          <w:p>
            <w:pPr>
              <w:jc w:val="center"/>
              <w:rPr>
                <w:color w:val="000000"/>
              </w:rPr>
            </w:pPr>
            <w:r>
              <w:rPr>
                <w:szCs w:val="21"/>
              </w:rPr>
              <w:t>《土壤环境质量农用地土壤污染风险管控标准》（GB15618-2018）</w:t>
            </w:r>
          </w:p>
        </w:tc>
        <w:tc>
          <w:tcPr>
            <w:tcW w:w="1559" w:type="dxa"/>
            <w:vAlign w:val="center"/>
          </w:tcPr>
          <w:p>
            <w:pPr>
              <w:jc w:val="center"/>
              <w:rPr>
                <w:color w:val="000000"/>
              </w:rPr>
            </w:pPr>
            <w:r>
              <w:rPr>
                <w:color w:val="000000"/>
              </w:rPr>
              <w:t>pH</w:t>
            </w:r>
          </w:p>
        </w:tc>
        <w:tc>
          <w:tcPr>
            <w:tcW w:w="1043" w:type="dxa"/>
            <w:vAlign w:val="center"/>
          </w:tcPr>
          <w:p>
            <w:pPr>
              <w:jc w:val="center"/>
              <w:rPr>
                <w:color w:val="000000"/>
              </w:rPr>
            </w:pPr>
            <w:r>
              <w:rPr>
                <w:color w:val="000000"/>
              </w:rPr>
              <w:t>/</w:t>
            </w:r>
          </w:p>
        </w:tc>
        <w:tc>
          <w:tcPr>
            <w:tcW w:w="939" w:type="dxa"/>
            <w:gridSpan w:val="2"/>
            <w:vAlign w:val="center"/>
          </w:tcPr>
          <w:p>
            <w:pPr>
              <w:jc w:val="center"/>
              <w:rPr>
                <w:color w:val="000000"/>
              </w:rPr>
            </w:pPr>
            <w:r>
              <w:rPr>
                <w:color w:val="000000"/>
              </w:rPr>
              <w:t>6.5~7.5</w:t>
            </w:r>
          </w:p>
        </w:tc>
        <w:tc>
          <w:tcPr>
            <w:tcW w:w="900" w:type="dxa"/>
            <w:vAlign w:val="center"/>
          </w:tcPr>
          <w:p>
            <w:pPr>
              <w:jc w:val="center"/>
              <w:rPr>
                <w:color w:val="000000"/>
              </w:rPr>
            </w:pPr>
            <w:r>
              <w:rPr>
                <w:color w:val="000000"/>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Align w:val="center"/>
          </w:tcPr>
          <w:p>
            <w:pPr>
              <w:jc w:val="center"/>
              <w:rPr>
                <w:color w:val="000000"/>
              </w:rPr>
            </w:pPr>
            <w:r>
              <w:rPr>
                <w:color w:val="000000"/>
              </w:rPr>
              <w:t>镉</w:t>
            </w:r>
          </w:p>
        </w:tc>
        <w:tc>
          <w:tcPr>
            <w:tcW w:w="1043" w:type="dxa"/>
            <w:vAlign w:val="center"/>
          </w:tcPr>
          <w:p>
            <w:pPr>
              <w:jc w:val="center"/>
              <w:rPr>
                <w:color w:val="000000"/>
              </w:rPr>
            </w:pPr>
            <w:r>
              <w:rPr>
                <w:color w:val="000000"/>
              </w:rPr>
              <w:t>mg/kg</w:t>
            </w:r>
          </w:p>
        </w:tc>
        <w:tc>
          <w:tcPr>
            <w:tcW w:w="939" w:type="dxa"/>
            <w:gridSpan w:val="2"/>
            <w:vAlign w:val="center"/>
          </w:tcPr>
          <w:p>
            <w:pPr>
              <w:jc w:val="center"/>
              <w:rPr>
                <w:color w:val="000000"/>
              </w:rPr>
            </w:pPr>
            <w:r>
              <w:rPr>
                <w:color w:val="000000"/>
              </w:rPr>
              <w:t>0.30</w:t>
            </w:r>
          </w:p>
        </w:tc>
        <w:tc>
          <w:tcPr>
            <w:tcW w:w="900" w:type="dxa"/>
            <w:vAlign w:val="center"/>
          </w:tcPr>
          <w:p>
            <w:pPr>
              <w:jc w:val="center"/>
              <w:rPr>
                <w:color w:val="000000"/>
              </w:rPr>
            </w:pPr>
            <w:r>
              <w:rPr>
                <w:color w:val="000000"/>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Align w:val="center"/>
          </w:tcPr>
          <w:p>
            <w:pPr>
              <w:jc w:val="center"/>
              <w:rPr>
                <w:color w:val="000000"/>
              </w:rPr>
            </w:pPr>
            <w:r>
              <w:rPr>
                <w:color w:val="000000"/>
              </w:rPr>
              <w:t>汞</w:t>
            </w:r>
          </w:p>
        </w:tc>
        <w:tc>
          <w:tcPr>
            <w:tcW w:w="1043" w:type="dxa"/>
            <w:vAlign w:val="center"/>
          </w:tcPr>
          <w:p>
            <w:pPr>
              <w:jc w:val="center"/>
              <w:rPr>
                <w:color w:val="000000"/>
              </w:rPr>
            </w:pPr>
            <w:r>
              <w:rPr>
                <w:color w:val="000000"/>
              </w:rPr>
              <w:t>mg/kg</w:t>
            </w:r>
          </w:p>
        </w:tc>
        <w:tc>
          <w:tcPr>
            <w:tcW w:w="939" w:type="dxa"/>
            <w:gridSpan w:val="2"/>
            <w:vAlign w:val="center"/>
          </w:tcPr>
          <w:p>
            <w:pPr>
              <w:jc w:val="center"/>
              <w:rPr>
                <w:color w:val="000000"/>
              </w:rPr>
            </w:pPr>
            <w:r>
              <w:rPr>
                <w:color w:val="000000"/>
              </w:rPr>
              <w:t>2.4</w:t>
            </w:r>
          </w:p>
        </w:tc>
        <w:tc>
          <w:tcPr>
            <w:tcW w:w="900" w:type="dxa"/>
            <w:vAlign w:val="center"/>
          </w:tcPr>
          <w:p>
            <w:pPr>
              <w:jc w:val="center"/>
              <w:rPr>
                <w:color w:val="000000"/>
              </w:rPr>
            </w:pPr>
            <w:r>
              <w:rPr>
                <w:color w:val="000000"/>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Align w:val="center"/>
          </w:tcPr>
          <w:p>
            <w:pPr>
              <w:jc w:val="center"/>
              <w:rPr>
                <w:color w:val="000000"/>
              </w:rPr>
            </w:pPr>
            <w:r>
              <w:rPr>
                <w:color w:val="000000"/>
              </w:rPr>
              <w:t xml:space="preserve">砷 </w:t>
            </w:r>
          </w:p>
        </w:tc>
        <w:tc>
          <w:tcPr>
            <w:tcW w:w="1043" w:type="dxa"/>
            <w:vAlign w:val="center"/>
          </w:tcPr>
          <w:p>
            <w:pPr>
              <w:jc w:val="center"/>
              <w:rPr>
                <w:color w:val="000000"/>
              </w:rPr>
            </w:pPr>
            <w:r>
              <w:rPr>
                <w:color w:val="000000"/>
              </w:rPr>
              <w:t>mg/kg</w:t>
            </w:r>
          </w:p>
        </w:tc>
        <w:tc>
          <w:tcPr>
            <w:tcW w:w="939" w:type="dxa"/>
            <w:gridSpan w:val="2"/>
            <w:vAlign w:val="center"/>
          </w:tcPr>
          <w:p>
            <w:pPr>
              <w:jc w:val="center"/>
              <w:rPr>
                <w:color w:val="000000"/>
              </w:rPr>
            </w:pPr>
            <w:r>
              <w:rPr>
                <w:color w:val="000000"/>
              </w:rPr>
              <w:t>30</w:t>
            </w:r>
          </w:p>
        </w:tc>
        <w:tc>
          <w:tcPr>
            <w:tcW w:w="900" w:type="dxa"/>
            <w:vAlign w:val="center"/>
          </w:tcPr>
          <w:p>
            <w:pPr>
              <w:jc w:val="center"/>
              <w:rPr>
                <w:color w:val="000000"/>
              </w:rPr>
            </w:pPr>
            <w:r>
              <w:rPr>
                <w:color w:val="000000"/>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Align w:val="center"/>
          </w:tcPr>
          <w:p>
            <w:pPr>
              <w:jc w:val="center"/>
              <w:rPr>
                <w:color w:val="000000"/>
              </w:rPr>
            </w:pPr>
            <w:r>
              <w:rPr>
                <w:color w:val="000000"/>
              </w:rPr>
              <w:t>铜</w:t>
            </w:r>
          </w:p>
        </w:tc>
        <w:tc>
          <w:tcPr>
            <w:tcW w:w="1043" w:type="dxa"/>
            <w:vAlign w:val="center"/>
          </w:tcPr>
          <w:p>
            <w:pPr>
              <w:jc w:val="center"/>
              <w:rPr>
                <w:color w:val="000000"/>
              </w:rPr>
            </w:pPr>
            <w:r>
              <w:rPr>
                <w:color w:val="000000"/>
              </w:rPr>
              <w:t>mg/kg</w:t>
            </w:r>
          </w:p>
        </w:tc>
        <w:tc>
          <w:tcPr>
            <w:tcW w:w="939" w:type="dxa"/>
            <w:gridSpan w:val="2"/>
            <w:vAlign w:val="center"/>
          </w:tcPr>
          <w:p>
            <w:pPr>
              <w:jc w:val="center"/>
              <w:rPr>
                <w:color w:val="000000"/>
              </w:rPr>
            </w:pPr>
            <w:r>
              <w:rPr>
                <w:color w:val="000000"/>
              </w:rPr>
              <w:t>100</w:t>
            </w:r>
          </w:p>
        </w:tc>
        <w:tc>
          <w:tcPr>
            <w:tcW w:w="900" w:type="dxa"/>
            <w:vAlign w:val="center"/>
          </w:tcPr>
          <w:p>
            <w:pPr>
              <w:jc w:val="center"/>
              <w:rPr>
                <w:color w:val="000000"/>
              </w:rPr>
            </w:pPr>
            <w:r>
              <w:rPr>
                <w:color w:val="000000"/>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Align w:val="center"/>
          </w:tcPr>
          <w:p>
            <w:pPr>
              <w:jc w:val="center"/>
              <w:rPr>
                <w:color w:val="000000"/>
              </w:rPr>
            </w:pPr>
            <w:r>
              <w:rPr>
                <w:color w:val="000000"/>
              </w:rPr>
              <w:t>铅</w:t>
            </w:r>
          </w:p>
        </w:tc>
        <w:tc>
          <w:tcPr>
            <w:tcW w:w="1043" w:type="dxa"/>
            <w:vAlign w:val="center"/>
          </w:tcPr>
          <w:p>
            <w:pPr>
              <w:jc w:val="center"/>
              <w:rPr>
                <w:color w:val="000000"/>
              </w:rPr>
            </w:pPr>
            <w:r>
              <w:rPr>
                <w:color w:val="000000"/>
              </w:rPr>
              <w:t>mg/kg</w:t>
            </w:r>
          </w:p>
        </w:tc>
        <w:tc>
          <w:tcPr>
            <w:tcW w:w="939" w:type="dxa"/>
            <w:gridSpan w:val="2"/>
            <w:vAlign w:val="center"/>
          </w:tcPr>
          <w:p>
            <w:pPr>
              <w:jc w:val="center"/>
              <w:rPr>
                <w:color w:val="000000"/>
              </w:rPr>
            </w:pPr>
            <w:r>
              <w:rPr>
                <w:color w:val="000000"/>
              </w:rPr>
              <w:t>120</w:t>
            </w:r>
          </w:p>
        </w:tc>
        <w:tc>
          <w:tcPr>
            <w:tcW w:w="900" w:type="dxa"/>
            <w:vAlign w:val="center"/>
          </w:tcPr>
          <w:p>
            <w:pPr>
              <w:jc w:val="center"/>
              <w:rPr>
                <w:color w:val="000000"/>
              </w:rPr>
            </w:pPr>
            <w:r>
              <w:rPr>
                <w:color w:val="000000"/>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Align w:val="center"/>
          </w:tcPr>
          <w:p>
            <w:pPr>
              <w:jc w:val="center"/>
              <w:rPr>
                <w:color w:val="000000"/>
              </w:rPr>
            </w:pPr>
            <w:r>
              <w:rPr>
                <w:color w:val="000000"/>
              </w:rPr>
              <w:t xml:space="preserve">铬 </w:t>
            </w:r>
          </w:p>
        </w:tc>
        <w:tc>
          <w:tcPr>
            <w:tcW w:w="1043" w:type="dxa"/>
            <w:vAlign w:val="center"/>
          </w:tcPr>
          <w:p>
            <w:pPr>
              <w:jc w:val="center"/>
              <w:rPr>
                <w:color w:val="000000"/>
              </w:rPr>
            </w:pPr>
            <w:r>
              <w:rPr>
                <w:color w:val="000000"/>
              </w:rPr>
              <w:t>mg/kg</w:t>
            </w:r>
          </w:p>
        </w:tc>
        <w:tc>
          <w:tcPr>
            <w:tcW w:w="939" w:type="dxa"/>
            <w:gridSpan w:val="2"/>
            <w:vAlign w:val="center"/>
          </w:tcPr>
          <w:p>
            <w:pPr>
              <w:jc w:val="center"/>
              <w:rPr>
                <w:color w:val="000000"/>
              </w:rPr>
            </w:pPr>
            <w:r>
              <w:rPr>
                <w:color w:val="000000"/>
              </w:rPr>
              <w:t>200</w:t>
            </w:r>
          </w:p>
        </w:tc>
        <w:tc>
          <w:tcPr>
            <w:tcW w:w="900" w:type="dxa"/>
            <w:vAlign w:val="center"/>
          </w:tcPr>
          <w:p>
            <w:pPr>
              <w:jc w:val="center"/>
              <w:rPr>
                <w:color w:val="000000"/>
              </w:rPr>
            </w:pPr>
            <w:r>
              <w:rPr>
                <w:color w:val="000000"/>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Align w:val="center"/>
          </w:tcPr>
          <w:p>
            <w:pPr>
              <w:jc w:val="center"/>
              <w:rPr>
                <w:color w:val="000000"/>
              </w:rPr>
            </w:pPr>
            <w:r>
              <w:rPr>
                <w:color w:val="000000"/>
              </w:rPr>
              <w:t>锌</w:t>
            </w:r>
          </w:p>
        </w:tc>
        <w:tc>
          <w:tcPr>
            <w:tcW w:w="1043" w:type="dxa"/>
            <w:vAlign w:val="center"/>
          </w:tcPr>
          <w:p>
            <w:pPr>
              <w:jc w:val="center"/>
              <w:rPr>
                <w:color w:val="000000"/>
              </w:rPr>
            </w:pPr>
            <w:r>
              <w:rPr>
                <w:color w:val="000000"/>
              </w:rPr>
              <w:t>mg/kg</w:t>
            </w:r>
          </w:p>
        </w:tc>
        <w:tc>
          <w:tcPr>
            <w:tcW w:w="939" w:type="dxa"/>
            <w:gridSpan w:val="2"/>
            <w:vAlign w:val="center"/>
          </w:tcPr>
          <w:p>
            <w:pPr>
              <w:jc w:val="center"/>
              <w:rPr>
                <w:color w:val="000000"/>
              </w:rPr>
            </w:pPr>
            <w:r>
              <w:rPr>
                <w:color w:val="000000"/>
              </w:rPr>
              <w:t>250</w:t>
            </w:r>
          </w:p>
        </w:tc>
        <w:tc>
          <w:tcPr>
            <w:tcW w:w="900" w:type="dxa"/>
            <w:vAlign w:val="center"/>
          </w:tcPr>
          <w:p>
            <w:pPr>
              <w:jc w:val="center"/>
              <w:rPr>
                <w:color w:val="000000"/>
              </w:rPr>
            </w:pPr>
            <w:r>
              <w:rPr>
                <w:color w:val="000000"/>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01" w:type="dxa"/>
            <w:vMerge w:val="continue"/>
            <w:vAlign w:val="center"/>
          </w:tcPr>
          <w:p>
            <w:pPr>
              <w:jc w:val="center"/>
              <w:rPr>
                <w:color w:val="000000"/>
              </w:rPr>
            </w:pPr>
          </w:p>
        </w:tc>
        <w:tc>
          <w:tcPr>
            <w:tcW w:w="3404" w:type="dxa"/>
            <w:vMerge w:val="continue"/>
            <w:vAlign w:val="center"/>
          </w:tcPr>
          <w:p>
            <w:pPr>
              <w:jc w:val="center"/>
              <w:rPr>
                <w:color w:val="000000"/>
              </w:rPr>
            </w:pPr>
          </w:p>
        </w:tc>
        <w:tc>
          <w:tcPr>
            <w:tcW w:w="1559" w:type="dxa"/>
            <w:vAlign w:val="center"/>
          </w:tcPr>
          <w:p>
            <w:pPr>
              <w:jc w:val="center"/>
              <w:rPr>
                <w:color w:val="000000"/>
              </w:rPr>
            </w:pPr>
            <w:r>
              <w:rPr>
                <w:color w:val="000000"/>
              </w:rPr>
              <w:t>镍</w:t>
            </w:r>
          </w:p>
        </w:tc>
        <w:tc>
          <w:tcPr>
            <w:tcW w:w="1043" w:type="dxa"/>
            <w:vAlign w:val="center"/>
          </w:tcPr>
          <w:p>
            <w:pPr>
              <w:jc w:val="center"/>
              <w:rPr>
                <w:color w:val="000000"/>
              </w:rPr>
            </w:pPr>
            <w:r>
              <w:rPr>
                <w:color w:val="000000"/>
              </w:rPr>
              <w:t>mg/kg</w:t>
            </w:r>
          </w:p>
        </w:tc>
        <w:tc>
          <w:tcPr>
            <w:tcW w:w="939" w:type="dxa"/>
            <w:gridSpan w:val="2"/>
            <w:vAlign w:val="center"/>
          </w:tcPr>
          <w:p>
            <w:pPr>
              <w:jc w:val="center"/>
              <w:rPr>
                <w:color w:val="000000"/>
              </w:rPr>
            </w:pPr>
            <w:r>
              <w:rPr>
                <w:color w:val="000000"/>
              </w:rPr>
              <w:t>100</w:t>
            </w:r>
          </w:p>
        </w:tc>
        <w:tc>
          <w:tcPr>
            <w:tcW w:w="900" w:type="dxa"/>
            <w:vAlign w:val="center"/>
          </w:tcPr>
          <w:p>
            <w:pPr>
              <w:jc w:val="center"/>
              <w:rPr>
                <w:color w:val="000000"/>
              </w:rPr>
            </w:pPr>
            <w:r>
              <w:rPr>
                <w:color w:val="000000"/>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环境现状评价</w:t>
            </w:r>
          </w:p>
        </w:tc>
        <w:tc>
          <w:tcPr>
            <w:tcW w:w="340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《畜禽养殖产地环境评价规范》（HJ568-2010）中表2畜禽饮用水水质评价指标限值</w:t>
            </w: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pH</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p>
        </w:tc>
        <w:tc>
          <w:tcPr>
            <w:tcW w:w="34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总硬度（以CaCO</w:t>
            </w:r>
            <w:r>
              <w:rPr>
                <w:rFonts w:hint="default" w:ascii="Times New Roman" w:hAnsi="Times New Roman" w:cs="Times New Roman"/>
                <w:b/>
                <w:bCs/>
                <w:color w:val="000000"/>
                <w:sz w:val="21"/>
                <w:szCs w:val="21"/>
                <w:u w:val="single"/>
                <w:vertAlign w:val="subscript"/>
              </w:rPr>
              <w:t>3</w:t>
            </w:r>
            <w:r>
              <w:rPr>
                <w:rFonts w:hint="default" w:ascii="Times New Roman" w:hAnsi="Times New Roman" w:cs="Times New Roman"/>
                <w:b/>
                <w:bCs/>
                <w:color w:val="000000"/>
                <w:sz w:val="21"/>
                <w:szCs w:val="21"/>
                <w:u w:val="single"/>
              </w:rPr>
              <w:t>）</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mg/L</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p>
        </w:tc>
        <w:tc>
          <w:tcPr>
            <w:tcW w:w="34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总大肠菌群</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mg/L</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100（成年）/3（幼年）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p>
        </w:tc>
        <w:tc>
          <w:tcPr>
            <w:tcW w:w="34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溶解性总固体</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mg/L</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4000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p>
        </w:tc>
        <w:tc>
          <w:tcPr>
            <w:tcW w:w="34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硝酸盐(以N计)</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mg/L</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sz w:val="21"/>
                <w:szCs w:val="21"/>
                <w:u w:val="single"/>
              </w:rPr>
            </w:pPr>
            <w:r>
              <w:rPr>
                <w:rFonts w:hint="default" w:ascii="Times New Roman" w:hAnsi="Times New Roman" w:cs="Times New Roman"/>
                <w:b/>
                <w:bCs/>
                <w:color w:val="000000"/>
                <w:sz w:val="21"/>
                <w:szCs w:val="21"/>
                <w:u w:val="singl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rPr>
            </w:pPr>
          </w:p>
        </w:tc>
        <w:tc>
          <w:tcPr>
            <w:tcW w:w="340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《畜禽养殖产地环境评价规范》（HJ568-2010）中表4土壤环境质量评价指标限值</w:t>
            </w: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镉</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mg/kg</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rPr>
            </w:pPr>
          </w:p>
        </w:tc>
        <w:tc>
          <w:tcPr>
            <w:tcW w:w="34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汞</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mg/kg</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rPr>
            </w:pPr>
          </w:p>
        </w:tc>
        <w:tc>
          <w:tcPr>
            <w:tcW w:w="34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砷</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mg/kg</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rPr>
            </w:pPr>
          </w:p>
        </w:tc>
        <w:tc>
          <w:tcPr>
            <w:tcW w:w="34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铜</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mg/kg</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rPr>
            </w:pPr>
          </w:p>
        </w:tc>
        <w:tc>
          <w:tcPr>
            <w:tcW w:w="34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铅</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mg/kg</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rPr>
            </w:pPr>
          </w:p>
        </w:tc>
        <w:tc>
          <w:tcPr>
            <w:tcW w:w="34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铬</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mg/kg</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rPr>
            </w:pPr>
          </w:p>
        </w:tc>
        <w:tc>
          <w:tcPr>
            <w:tcW w:w="34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锌</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mg/kg</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rPr>
            </w:pPr>
          </w:p>
        </w:tc>
        <w:tc>
          <w:tcPr>
            <w:tcW w:w="34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镍</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mg/kg</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rPr>
            </w:pPr>
          </w:p>
        </w:tc>
        <w:tc>
          <w:tcPr>
            <w:tcW w:w="340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《畜禽养殖产地环境评价规范》（HJ568-2010）中表5环境空气质量评价指标限值（1日平均）</w:t>
            </w: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NH</w:t>
            </w:r>
            <w:r>
              <w:rPr>
                <w:rFonts w:hint="default" w:ascii="Times New Roman" w:hAnsi="Times New Roman" w:cs="Times New Roman"/>
                <w:b/>
                <w:color w:val="000000"/>
                <w:sz w:val="21"/>
                <w:szCs w:val="21"/>
                <w:u w:val="single"/>
                <w:vertAlign w:val="subscript"/>
              </w:rPr>
              <w:t>3</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mg/m</w:t>
            </w:r>
            <w:r>
              <w:rPr>
                <w:rFonts w:hint="default" w:ascii="Times New Roman" w:hAnsi="Times New Roman" w:cs="Times New Roman"/>
                <w:b/>
                <w:color w:val="000000"/>
                <w:sz w:val="21"/>
                <w:szCs w:val="21"/>
                <w:u w:val="single"/>
                <w:vertAlign w:val="superscript"/>
              </w:rPr>
              <w:t>3</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rPr>
            </w:pPr>
          </w:p>
        </w:tc>
        <w:tc>
          <w:tcPr>
            <w:tcW w:w="34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H</w:t>
            </w:r>
            <w:r>
              <w:rPr>
                <w:rFonts w:hint="default" w:ascii="Times New Roman" w:hAnsi="Times New Roman" w:cs="Times New Roman"/>
                <w:b/>
                <w:color w:val="000000"/>
                <w:sz w:val="21"/>
                <w:szCs w:val="21"/>
                <w:u w:val="single"/>
                <w:vertAlign w:val="subscript"/>
              </w:rPr>
              <w:t>2</w:t>
            </w:r>
            <w:r>
              <w:rPr>
                <w:rFonts w:hint="default" w:ascii="Times New Roman" w:hAnsi="Times New Roman" w:cs="Times New Roman"/>
                <w:b/>
                <w:color w:val="000000"/>
                <w:sz w:val="21"/>
                <w:szCs w:val="21"/>
                <w:u w:val="single"/>
              </w:rPr>
              <w:t>S</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mg/m</w:t>
            </w:r>
            <w:r>
              <w:rPr>
                <w:rFonts w:hint="default" w:ascii="Times New Roman" w:hAnsi="Times New Roman" w:cs="Times New Roman"/>
                <w:b/>
                <w:color w:val="000000"/>
                <w:sz w:val="21"/>
                <w:szCs w:val="21"/>
                <w:u w:val="single"/>
                <w:vertAlign w:val="superscript"/>
              </w:rPr>
              <w:t>3</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rPr>
            </w:pPr>
          </w:p>
        </w:tc>
        <w:tc>
          <w:tcPr>
            <w:tcW w:w="34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PM</w:t>
            </w:r>
            <w:r>
              <w:rPr>
                <w:rFonts w:hint="default" w:ascii="Times New Roman" w:hAnsi="Times New Roman" w:cs="Times New Roman"/>
                <w:b/>
                <w:color w:val="000000"/>
                <w:sz w:val="21"/>
                <w:szCs w:val="21"/>
                <w:u w:val="single"/>
                <w:vertAlign w:val="subscript"/>
              </w:rPr>
              <w:t>10</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mg/m</w:t>
            </w:r>
            <w:r>
              <w:rPr>
                <w:rFonts w:hint="default" w:ascii="Times New Roman" w:hAnsi="Times New Roman" w:cs="Times New Roman"/>
                <w:b/>
                <w:color w:val="000000"/>
                <w:sz w:val="21"/>
                <w:szCs w:val="21"/>
                <w:u w:val="single"/>
                <w:vertAlign w:val="superscript"/>
              </w:rPr>
              <w:t>3</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rPr>
            </w:pPr>
          </w:p>
        </w:tc>
        <w:tc>
          <w:tcPr>
            <w:tcW w:w="340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《畜禽养殖产地环境评价规范》（HJ568-2010）中表6声环境质量评价指标限值</w:t>
            </w: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昼间</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dB（A）</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sz w:val="21"/>
                <w:szCs w:val="21"/>
              </w:rPr>
            </w:pPr>
          </w:p>
        </w:tc>
        <w:tc>
          <w:tcPr>
            <w:tcW w:w="34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p>
        </w:tc>
        <w:tc>
          <w:tcPr>
            <w:tcW w:w="1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夜间</w:t>
            </w:r>
          </w:p>
        </w:tc>
        <w:tc>
          <w:tcPr>
            <w:tcW w:w="1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dB（A）</w:t>
            </w:r>
          </w:p>
        </w:tc>
        <w:tc>
          <w:tcPr>
            <w:tcW w:w="183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u w:val="single"/>
              </w:rPr>
            </w:pPr>
            <w:r>
              <w:rPr>
                <w:rFonts w:hint="default" w:ascii="Times New Roman" w:hAnsi="Times New Roman" w:cs="Times New Roman"/>
                <w:b/>
                <w:color w:val="000000"/>
                <w:sz w:val="21"/>
                <w:szCs w:val="21"/>
                <w:u w:val="single"/>
              </w:rPr>
              <w:t>50</w:t>
            </w:r>
          </w:p>
        </w:tc>
      </w:tr>
    </w:tbl>
    <w:p>
      <w:pPr>
        <w:spacing w:line="500" w:lineRule="exact"/>
        <w:outlineLvl w:val="2"/>
        <w:rPr>
          <w:color w:val="000000"/>
          <w:sz w:val="24"/>
        </w:rPr>
      </w:pPr>
      <w:r>
        <w:rPr>
          <w:b/>
          <w:color w:val="000000"/>
          <w:sz w:val="24"/>
        </w:rPr>
        <w:t>1.9.2 污染物排放标准</w:t>
      </w:r>
    </w:p>
    <w:p>
      <w:pPr>
        <w:spacing w:line="500" w:lineRule="exact"/>
        <w:ind w:firstLine="480" w:firstLineChars="200"/>
        <w:rPr>
          <w:color w:val="000000"/>
          <w:sz w:val="24"/>
        </w:rPr>
      </w:pPr>
      <w:r>
        <w:rPr>
          <w:color w:val="000000"/>
          <w:sz w:val="24"/>
        </w:rPr>
        <w:t>本项目废水全部资源化利用，不设废水排污口，废水执行“零排放”。</w:t>
      </w:r>
    </w:p>
    <w:p>
      <w:pPr>
        <w:spacing w:line="500" w:lineRule="exact"/>
        <w:ind w:firstLine="480" w:firstLineChars="200"/>
        <w:rPr>
          <w:color w:val="000000"/>
          <w:sz w:val="24"/>
        </w:rPr>
      </w:pPr>
      <w:r>
        <w:rPr>
          <w:color w:val="000000"/>
          <w:sz w:val="24"/>
        </w:rPr>
        <w:t>本项目大气污染因子（NH</w:t>
      </w:r>
      <w:r>
        <w:rPr>
          <w:color w:val="000000"/>
          <w:sz w:val="24"/>
          <w:vertAlign w:val="subscript"/>
        </w:rPr>
        <w:t>3</w:t>
      </w:r>
      <w:r>
        <w:rPr>
          <w:color w:val="000000"/>
          <w:sz w:val="24"/>
        </w:rPr>
        <w:t>、H</w:t>
      </w:r>
      <w:r>
        <w:rPr>
          <w:color w:val="000000"/>
          <w:sz w:val="24"/>
          <w:vertAlign w:val="subscript"/>
        </w:rPr>
        <w:t>2</w:t>
      </w:r>
      <w:r>
        <w:rPr>
          <w:color w:val="000000"/>
          <w:sz w:val="24"/>
        </w:rPr>
        <w:t>S）执行《恶臭污染物排放标准》（GB14554-93）中表1标准，臭气排放浓度执行《畜禽养殖业污染物排放标准》（GB18596-2001）表7集约化畜禽养殖业恶臭污染物排放标准，</w:t>
      </w:r>
      <w:r>
        <w:rPr>
          <w:sz w:val="24"/>
        </w:rPr>
        <w:t>沼气燃烧废气河南省2019年度锅炉综合整治方案中规定的排放限值，食堂油烟执行河南省《餐饮业油烟污染物放标准》(DB41/1604-2018)。</w:t>
      </w:r>
    </w:p>
    <w:p>
      <w:pPr>
        <w:spacing w:line="500" w:lineRule="exact"/>
        <w:ind w:firstLine="480" w:firstLineChars="200"/>
        <w:rPr>
          <w:color w:val="000000"/>
          <w:sz w:val="24"/>
        </w:rPr>
      </w:pPr>
      <w:r>
        <w:rPr>
          <w:color w:val="000000"/>
          <w:sz w:val="24"/>
        </w:rPr>
        <w:t>施工期噪声执行《建筑施工场界环境噪声排放标准》（GB12523-2011），运营期场界噪声采用《工业企业厂界环境噪声排放标准》（GB12348-2008）中2类标准。</w:t>
      </w:r>
    </w:p>
    <w:p>
      <w:pPr>
        <w:spacing w:line="500" w:lineRule="exact"/>
        <w:ind w:firstLine="480" w:firstLineChars="200"/>
        <w:rPr>
          <w:b/>
          <w:bCs/>
          <w:color w:val="000000"/>
          <w:szCs w:val="21"/>
        </w:rPr>
      </w:pPr>
      <w:r>
        <w:rPr>
          <w:color w:val="000000"/>
          <w:sz w:val="24"/>
        </w:rPr>
        <w:t>粪便排放执行《畜禽养殖业污染物排放标准》（GB18596-2001）表6畜禽养殖业废渣无害化环境标准，危险废物执行《危险废物贮存污染物控制标准》（GB18597-2001），其他一般固废执行《一般工业固体废物贮存处置场污染控制标准》（GB18599-2001）。</w:t>
      </w:r>
    </w:p>
    <w:p>
      <w:pPr>
        <w:spacing w:line="500" w:lineRule="exact"/>
        <w:ind w:firstLine="422" w:firstLineChars="200"/>
        <w:jc w:val="center"/>
        <w:rPr>
          <w:b/>
          <w:bCs/>
          <w:color w:val="000000"/>
          <w:szCs w:val="21"/>
          <w:u w:val="single"/>
        </w:rPr>
      </w:pPr>
      <w:r>
        <w:rPr>
          <w:b/>
          <w:bCs/>
          <w:color w:val="000000"/>
          <w:szCs w:val="21"/>
        </w:rPr>
        <w:t>表1-4   污染物排放标准一览表</w:t>
      </w:r>
    </w:p>
    <w:tbl>
      <w:tblPr>
        <w:tblStyle w:val="44"/>
        <w:tblW w:w="89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6"/>
        <w:gridCol w:w="3260"/>
        <w:gridCol w:w="1705"/>
        <w:gridCol w:w="1080"/>
        <w:gridCol w:w="544"/>
        <w:gridCol w:w="546"/>
        <w:gridCol w:w="11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atLeast"/>
          <w:tblHeader/>
        </w:trPr>
        <w:tc>
          <w:tcPr>
            <w:tcW w:w="676" w:type="dxa"/>
            <w:vAlign w:val="center"/>
          </w:tcPr>
          <w:p>
            <w:pPr>
              <w:jc w:val="center"/>
              <w:rPr>
                <w:b/>
                <w:color w:val="000000"/>
              </w:rPr>
            </w:pPr>
            <w:r>
              <w:rPr>
                <w:b/>
                <w:color w:val="000000"/>
              </w:rPr>
              <w:t>污染</w:t>
            </w:r>
          </w:p>
          <w:p>
            <w:pPr>
              <w:jc w:val="center"/>
              <w:rPr>
                <w:b/>
                <w:color w:val="000000"/>
              </w:rPr>
            </w:pPr>
            <w:r>
              <w:rPr>
                <w:b/>
                <w:color w:val="000000"/>
              </w:rPr>
              <w:t>类型</w:t>
            </w:r>
          </w:p>
        </w:tc>
        <w:tc>
          <w:tcPr>
            <w:tcW w:w="3260" w:type="dxa"/>
            <w:vAlign w:val="center"/>
          </w:tcPr>
          <w:p>
            <w:pPr>
              <w:jc w:val="center"/>
              <w:rPr>
                <w:b/>
                <w:color w:val="000000"/>
              </w:rPr>
            </w:pPr>
            <w:r>
              <w:rPr>
                <w:b/>
                <w:color w:val="000000"/>
              </w:rPr>
              <w:t>标准名称</w:t>
            </w:r>
          </w:p>
        </w:tc>
        <w:tc>
          <w:tcPr>
            <w:tcW w:w="1705" w:type="dxa"/>
            <w:vAlign w:val="center"/>
          </w:tcPr>
          <w:p>
            <w:pPr>
              <w:jc w:val="center"/>
              <w:rPr>
                <w:b/>
                <w:color w:val="000000"/>
              </w:rPr>
            </w:pPr>
            <w:r>
              <w:rPr>
                <w:b/>
                <w:color w:val="000000"/>
              </w:rPr>
              <w:t>污染因子</w:t>
            </w:r>
          </w:p>
        </w:tc>
        <w:tc>
          <w:tcPr>
            <w:tcW w:w="3314" w:type="dxa"/>
            <w:gridSpan w:val="4"/>
            <w:vAlign w:val="center"/>
          </w:tcPr>
          <w:p>
            <w:pPr>
              <w:jc w:val="center"/>
              <w:rPr>
                <w:b/>
                <w:color w:val="000000"/>
              </w:rPr>
            </w:pPr>
            <w:r>
              <w:rPr>
                <w:b/>
                <w:color w:val="000000"/>
              </w:rPr>
              <w:t>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76" w:type="dxa"/>
            <w:vMerge w:val="restart"/>
            <w:vAlign w:val="center"/>
          </w:tcPr>
          <w:p>
            <w:pPr>
              <w:jc w:val="center"/>
              <w:rPr>
                <w:color w:val="000000"/>
              </w:rPr>
            </w:pPr>
            <w:r>
              <w:rPr>
                <w:color w:val="000000"/>
              </w:rPr>
              <w:t>废气</w:t>
            </w:r>
          </w:p>
        </w:tc>
        <w:tc>
          <w:tcPr>
            <w:tcW w:w="3260" w:type="dxa"/>
            <w:vMerge w:val="restart"/>
            <w:vAlign w:val="center"/>
          </w:tcPr>
          <w:p>
            <w:pPr>
              <w:jc w:val="center"/>
              <w:rPr>
                <w:color w:val="000000"/>
              </w:rPr>
            </w:pPr>
            <w:r>
              <w:rPr>
                <w:color w:val="000000"/>
              </w:rPr>
              <w:t>《恶臭污染物排放标准》（GB14554-93）二级新建</w:t>
            </w:r>
          </w:p>
        </w:tc>
        <w:tc>
          <w:tcPr>
            <w:tcW w:w="1705" w:type="dxa"/>
            <w:vAlign w:val="center"/>
          </w:tcPr>
          <w:p>
            <w:pPr>
              <w:jc w:val="center"/>
              <w:rPr>
                <w:color w:val="000000"/>
              </w:rPr>
            </w:pPr>
            <w:r>
              <w:rPr>
                <w:color w:val="000000"/>
              </w:rPr>
              <w:t>NH</w:t>
            </w:r>
            <w:r>
              <w:rPr>
                <w:color w:val="000000"/>
                <w:vertAlign w:val="subscript"/>
              </w:rPr>
              <w:t>3</w:t>
            </w:r>
          </w:p>
        </w:tc>
        <w:tc>
          <w:tcPr>
            <w:tcW w:w="1624" w:type="dxa"/>
            <w:gridSpan w:val="2"/>
            <w:vMerge w:val="restart"/>
            <w:vAlign w:val="center"/>
          </w:tcPr>
          <w:p>
            <w:pPr>
              <w:jc w:val="center"/>
              <w:rPr>
                <w:color w:val="000000"/>
              </w:rPr>
            </w:pPr>
            <w:r>
              <w:rPr>
                <w:color w:val="000000"/>
              </w:rPr>
              <w:t>厂界标准值</w:t>
            </w:r>
          </w:p>
        </w:tc>
        <w:tc>
          <w:tcPr>
            <w:tcW w:w="1690" w:type="dxa"/>
            <w:gridSpan w:val="2"/>
            <w:vAlign w:val="center"/>
          </w:tcPr>
          <w:p>
            <w:pPr>
              <w:jc w:val="center"/>
              <w:rPr>
                <w:color w:val="000000"/>
              </w:rPr>
            </w:pPr>
            <w:r>
              <w:rPr>
                <w:color w:val="000000"/>
              </w:rPr>
              <w:t>1.5 mg/m</w:t>
            </w:r>
            <w:r>
              <w:rPr>
                <w:color w:val="00000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676" w:type="dxa"/>
            <w:vMerge w:val="continue"/>
            <w:vAlign w:val="center"/>
          </w:tcPr>
          <w:p>
            <w:pPr>
              <w:jc w:val="center"/>
              <w:rPr>
                <w:color w:val="000000"/>
              </w:rPr>
            </w:pPr>
          </w:p>
        </w:tc>
        <w:tc>
          <w:tcPr>
            <w:tcW w:w="3260" w:type="dxa"/>
            <w:vMerge w:val="continue"/>
            <w:vAlign w:val="center"/>
          </w:tcPr>
          <w:p>
            <w:pPr>
              <w:jc w:val="center"/>
              <w:rPr>
                <w:color w:val="000000"/>
              </w:rPr>
            </w:pPr>
          </w:p>
        </w:tc>
        <w:tc>
          <w:tcPr>
            <w:tcW w:w="1705" w:type="dxa"/>
            <w:vAlign w:val="center"/>
          </w:tcPr>
          <w:p>
            <w:pPr>
              <w:jc w:val="center"/>
              <w:rPr>
                <w:color w:val="000000"/>
              </w:rPr>
            </w:pPr>
            <w:r>
              <w:rPr>
                <w:color w:val="000000"/>
              </w:rPr>
              <w:t>H</w:t>
            </w:r>
            <w:r>
              <w:rPr>
                <w:color w:val="000000"/>
                <w:vertAlign w:val="subscript"/>
              </w:rPr>
              <w:t>2</w:t>
            </w:r>
            <w:r>
              <w:rPr>
                <w:color w:val="000000"/>
              </w:rPr>
              <w:t>S</w:t>
            </w:r>
          </w:p>
        </w:tc>
        <w:tc>
          <w:tcPr>
            <w:tcW w:w="1624" w:type="dxa"/>
            <w:gridSpan w:val="2"/>
            <w:vMerge w:val="continue"/>
            <w:vAlign w:val="center"/>
          </w:tcPr>
          <w:p>
            <w:pPr>
              <w:jc w:val="center"/>
              <w:rPr>
                <w:color w:val="000000"/>
              </w:rPr>
            </w:pPr>
          </w:p>
        </w:tc>
        <w:tc>
          <w:tcPr>
            <w:tcW w:w="1690" w:type="dxa"/>
            <w:gridSpan w:val="2"/>
            <w:vAlign w:val="center"/>
          </w:tcPr>
          <w:p>
            <w:pPr>
              <w:jc w:val="center"/>
              <w:rPr>
                <w:color w:val="000000"/>
              </w:rPr>
            </w:pPr>
            <w:r>
              <w:rPr>
                <w:color w:val="000000"/>
              </w:rPr>
              <w:t>0.06 mg/m</w:t>
            </w:r>
            <w:r>
              <w:rPr>
                <w:color w:val="000000"/>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676" w:type="dxa"/>
            <w:vMerge w:val="continue"/>
            <w:vAlign w:val="center"/>
          </w:tcPr>
          <w:p>
            <w:pPr>
              <w:jc w:val="center"/>
              <w:rPr>
                <w:color w:val="000000"/>
              </w:rPr>
            </w:pPr>
          </w:p>
        </w:tc>
        <w:tc>
          <w:tcPr>
            <w:tcW w:w="3260" w:type="dxa"/>
            <w:vAlign w:val="center"/>
          </w:tcPr>
          <w:p>
            <w:pPr>
              <w:jc w:val="center"/>
              <w:rPr>
                <w:color w:val="000000"/>
              </w:rPr>
            </w:pPr>
            <w:r>
              <w:rPr>
                <w:color w:val="000000"/>
              </w:rPr>
              <w:t>《畜禽养殖业污染物排放标准》（GB18596-2001）</w:t>
            </w:r>
          </w:p>
        </w:tc>
        <w:tc>
          <w:tcPr>
            <w:tcW w:w="1705" w:type="dxa"/>
            <w:vAlign w:val="center"/>
          </w:tcPr>
          <w:p>
            <w:pPr>
              <w:jc w:val="center"/>
              <w:rPr>
                <w:color w:val="000000"/>
              </w:rPr>
            </w:pPr>
            <w:r>
              <w:rPr>
                <w:color w:val="000000"/>
              </w:rPr>
              <w:t>臭气浓度</w:t>
            </w:r>
          </w:p>
          <w:p>
            <w:pPr>
              <w:jc w:val="center"/>
              <w:rPr>
                <w:color w:val="000000"/>
              </w:rPr>
            </w:pPr>
            <w:r>
              <w:rPr>
                <w:color w:val="000000"/>
              </w:rPr>
              <w:t>（无量纲）</w:t>
            </w:r>
          </w:p>
        </w:tc>
        <w:tc>
          <w:tcPr>
            <w:tcW w:w="3314" w:type="dxa"/>
            <w:gridSpan w:val="4"/>
            <w:vAlign w:val="center"/>
          </w:tcPr>
          <w:p>
            <w:pPr>
              <w:jc w:val="center"/>
              <w:rPr>
                <w:color w:val="000000"/>
              </w:rPr>
            </w:pPr>
            <w:r>
              <w:rPr>
                <w:color w:val="000000"/>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76" w:type="dxa"/>
            <w:vMerge w:val="continue"/>
            <w:vAlign w:val="center"/>
          </w:tcPr>
          <w:p>
            <w:pPr>
              <w:jc w:val="center"/>
              <w:rPr>
                <w:color w:val="000000"/>
              </w:rPr>
            </w:pPr>
          </w:p>
        </w:tc>
        <w:tc>
          <w:tcPr>
            <w:tcW w:w="3260" w:type="dxa"/>
            <w:vMerge w:val="restart"/>
            <w:vAlign w:val="center"/>
          </w:tcPr>
          <w:p>
            <w:pPr>
              <w:jc w:val="center"/>
            </w:pPr>
            <w:r>
              <w:t>河南省2019年度锅炉综合整治方案</w:t>
            </w:r>
          </w:p>
        </w:tc>
        <w:tc>
          <w:tcPr>
            <w:tcW w:w="1705" w:type="dxa"/>
            <w:vAlign w:val="center"/>
          </w:tcPr>
          <w:p>
            <w:pPr>
              <w:snapToGrid w:val="0"/>
              <w:spacing w:line="360" w:lineRule="exact"/>
              <w:jc w:val="center"/>
              <w:rPr>
                <w:szCs w:val="21"/>
              </w:rPr>
            </w:pPr>
            <w:r>
              <w:rPr>
                <w:szCs w:val="21"/>
              </w:rPr>
              <w:t>颗粒物</w:t>
            </w:r>
          </w:p>
        </w:tc>
        <w:tc>
          <w:tcPr>
            <w:tcW w:w="3314" w:type="dxa"/>
            <w:gridSpan w:val="4"/>
            <w:vAlign w:val="center"/>
          </w:tcPr>
          <w:p>
            <w:pPr>
              <w:snapToGrid w:val="0"/>
              <w:spacing w:line="360" w:lineRule="exact"/>
              <w:jc w:val="center"/>
              <w:rPr>
                <w:szCs w:val="21"/>
              </w:rPr>
            </w:pPr>
            <w:r>
              <w:rPr>
                <w:spacing w:val="-4"/>
                <w:szCs w:val="21"/>
              </w:rPr>
              <w:t>5</w:t>
            </w:r>
            <w:r>
              <w:rPr>
                <w:szCs w:val="21"/>
              </w:rPr>
              <w:t>mg/Nm</w:t>
            </w:r>
            <w:r>
              <w:rPr>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76" w:type="dxa"/>
            <w:vMerge w:val="continue"/>
            <w:vAlign w:val="center"/>
          </w:tcPr>
          <w:p>
            <w:pPr>
              <w:jc w:val="center"/>
              <w:rPr>
                <w:color w:val="000000"/>
              </w:rPr>
            </w:pPr>
          </w:p>
        </w:tc>
        <w:tc>
          <w:tcPr>
            <w:tcW w:w="3260" w:type="dxa"/>
            <w:vMerge w:val="continue"/>
            <w:vAlign w:val="center"/>
          </w:tcPr>
          <w:p>
            <w:pPr>
              <w:jc w:val="center"/>
              <w:rPr>
                <w:color w:val="000000"/>
              </w:rPr>
            </w:pPr>
          </w:p>
        </w:tc>
        <w:tc>
          <w:tcPr>
            <w:tcW w:w="1705" w:type="dxa"/>
            <w:vAlign w:val="center"/>
          </w:tcPr>
          <w:p>
            <w:pPr>
              <w:jc w:val="center"/>
              <w:rPr>
                <w:color w:val="000000"/>
              </w:rPr>
            </w:pPr>
            <w:r>
              <w:rPr>
                <w:szCs w:val="21"/>
              </w:rPr>
              <w:t>SO</w:t>
            </w:r>
            <w:r>
              <w:rPr>
                <w:szCs w:val="21"/>
                <w:vertAlign w:val="subscript"/>
              </w:rPr>
              <w:t>2</w:t>
            </w:r>
          </w:p>
        </w:tc>
        <w:tc>
          <w:tcPr>
            <w:tcW w:w="3314" w:type="dxa"/>
            <w:gridSpan w:val="4"/>
            <w:vAlign w:val="center"/>
          </w:tcPr>
          <w:p>
            <w:pPr>
              <w:jc w:val="center"/>
              <w:rPr>
                <w:color w:val="000000"/>
              </w:rPr>
            </w:pPr>
            <w:r>
              <w:rPr>
                <w:szCs w:val="21"/>
              </w:rPr>
              <w:t>10mg/Nm</w:t>
            </w:r>
            <w:r>
              <w:rPr>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76" w:type="dxa"/>
            <w:vMerge w:val="continue"/>
            <w:vAlign w:val="center"/>
          </w:tcPr>
          <w:p>
            <w:pPr>
              <w:jc w:val="center"/>
              <w:rPr>
                <w:color w:val="000000"/>
              </w:rPr>
            </w:pPr>
          </w:p>
        </w:tc>
        <w:tc>
          <w:tcPr>
            <w:tcW w:w="3260" w:type="dxa"/>
            <w:vMerge w:val="continue"/>
            <w:vAlign w:val="center"/>
          </w:tcPr>
          <w:p>
            <w:pPr>
              <w:jc w:val="center"/>
              <w:rPr>
                <w:color w:val="000000"/>
              </w:rPr>
            </w:pPr>
          </w:p>
        </w:tc>
        <w:tc>
          <w:tcPr>
            <w:tcW w:w="1705" w:type="dxa"/>
            <w:vAlign w:val="center"/>
          </w:tcPr>
          <w:p>
            <w:pPr>
              <w:jc w:val="center"/>
              <w:rPr>
                <w:color w:val="000000"/>
              </w:rPr>
            </w:pPr>
            <w:r>
              <w:rPr>
                <w:szCs w:val="21"/>
              </w:rPr>
              <w:t>NO</w:t>
            </w:r>
            <w:r>
              <w:rPr>
                <w:szCs w:val="21"/>
                <w:vertAlign w:val="subscript"/>
              </w:rPr>
              <w:t>2</w:t>
            </w:r>
          </w:p>
        </w:tc>
        <w:tc>
          <w:tcPr>
            <w:tcW w:w="3314" w:type="dxa"/>
            <w:gridSpan w:val="4"/>
            <w:vAlign w:val="center"/>
          </w:tcPr>
          <w:p>
            <w:pPr>
              <w:jc w:val="center"/>
              <w:rPr>
                <w:color w:val="000000"/>
              </w:rPr>
            </w:pPr>
            <w:r>
              <w:rPr>
                <w:spacing w:val="-4"/>
                <w:szCs w:val="21"/>
              </w:rPr>
              <w:t>30</w:t>
            </w:r>
            <w:r>
              <w:rPr>
                <w:szCs w:val="21"/>
              </w:rPr>
              <w:t>mg/Nm</w:t>
            </w:r>
            <w:r>
              <w:rPr>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676" w:type="dxa"/>
            <w:vMerge w:val="continue"/>
            <w:vAlign w:val="center"/>
          </w:tcPr>
          <w:p>
            <w:pPr>
              <w:jc w:val="center"/>
              <w:rPr>
                <w:color w:val="000000"/>
              </w:rPr>
            </w:pPr>
          </w:p>
        </w:tc>
        <w:tc>
          <w:tcPr>
            <w:tcW w:w="3260" w:type="dxa"/>
            <w:vAlign w:val="center"/>
          </w:tcPr>
          <w:p>
            <w:pPr>
              <w:jc w:val="center"/>
            </w:pPr>
            <w:r>
              <w:t>餐饮业油烟污染物排放标准（DB41/1604-2018）</w:t>
            </w:r>
          </w:p>
        </w:tc>
        <w:tc>
          <w:tcPr>
            <w:tcW w:w="1705" w:type="dxa"/>
            <w:vAlign w:val="center"/>
          </w:tcPr>
          <w:p>
            <w:pPr>
              <w:jc w:val="center"/>
            </w:pPr>
            <w:r>
              <w:t>食堂油烟</w:t>
            </w:r>
          </w:p>
        </w:tc>
        <w:tc>
          <w:tcPr>
            <w:tcW w:w="3314" w:type="dxa"/>
            <w:gridSpan w:val="4"/>
            <w:vAlign w:val="center"/>
          </w:tcPr>
          <w:p>
            <w:pPr>
              <w:jc w:val="center"/>
            </w:pPr>
            <w:r>
              <w:t>小型  1.5 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76" w:type="dxa"/>
            <w:vMerge w:val="restart"/>
            <w:vAlign w:val="center"/>
          </w:tcPr>
          <w:p>
            <w:pPr>
              <w:jc w:val="center"/>
              <w:rPr>
                <w:color w:val="000000"/>
              </w:rPr>
            </w:pPr>
            <w:r>
              <w:rPr>
                <w:color w:val="000000"/>
              </w:rPr>
              <w:t>噪声</w:t>
            </w:r>
          </w:p>
        </w:tc>
        <w:tc>
          <w:tcPr>
            <w:tcW w:w="3260" w:type="dxa"/>
            <w:vMerge w:val="restart"/>
            <w:vAlign w:val="center"/>
          </w:tcPr>
          <w:p>
            <w:pPr>
              <w:jc w:val="center"/>
              <w:rPr>
                <w:color w:val="000000"/>
              </w:rPr>
            </w:pPr>
            <w:r>
              <w:rPr>
                <w:color w:val="000000"/>
              </w:rPr>
              <w:t>《建筑施工场界环境噪声排放标准》（GB12523-2011）</w:t>
            </w:r>
          </w:p>
        </w:tc>
        <w:tc>
          <w:tcPr>
            <w:tcW w:w="1705" w:type="dxa"/>
            <w:vMerge w:val="restart"/>
            <w:vAlign w:val="center"/>
          </w:tcPr>
          <w:p>
            <w:pPr>
              <w:jc w:val="center"/>
              <w:rPr>
                <w:color w:val="000000"/>
              </w:rPr>
            </w:pPr>
            <w:r>
              <w:rPr>
                <w:color w:val="000000"/>
              </w:rPr>
              <w:t>噪声dB（A）</w:t>
            </w:r>
          </w:p>
        </w:tc>
        <w:tc>
          <w:tcPr>
            <w:tcW w:w="1080" w:type="dxa"/>
            <w:vAlign w:val="center"/>
          </w:tcPr>
          <w:p>
            <w:pPr>
              <w:jc w:val="center"/>
              <w:rPr>
                <w:color w:val="000000"/>
              </w:rPr>
            </w:pPr>
            <w:r>
              <w:rPr>
                <w:color w:val="000000"/>
              </w:rPr>
              <w:t>昼间</w:t>
            </w:r>
          </w:p>
        </w:tc>
        <w:tc>
          <w:tcPr>
            <w:tcW w:w="2234" w:type="dxa"/>
            <w:gridSpan w:val="3"/>
            <w:vAlign w:val="center"/>
          </w:tcPr>
          <w:p>
            <w:pPr>
              <w:jc w:val="center"/>
              <w:rPr>
                <w:color w:val="000000"/>
              </w:rPr>
            </w:pPr>
            <w:r>
              <w:rPr>
                <w:color w:val="000000"/>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76" w:type="dxa"/>
            <w:vMerge w:val="continue"/>
            <w:vAlign w:val="center"/>
          </w:tcPr>
          <w:p>
            <w:pPr>
              <w:jc w:val="center"/>
              <w:rPr>
                <w:color w:val="000000"/>
              </w:rPr>
            </w:pPr>
          </w:p>
        </w:tc>
        <w:tc>
          <w:tcPr>
            <w:tcW w:w="3260" w:type="dxa"/>
            <w:vMerge w:val="continue"/>
            <w:vAlign w:val="center"/>
          </w:tcPr>
          <w:p>
            <w:pPr>
              <w:jc w:val="center"/>
              <w:rPr>
                <w:color w:val="000000"/>
              </w:rPr>
            </w:pPr>
          </w:p>
        </w:tc>
        <w:tc>
          <w:tcPr>
            <w:tcW w:w="1705" w:type="dxa"/>
            <w:vMerge w:val="continue"/>
            <w:vAlign w:val="center"/>
          </w:tcPr>
          <w:p>
            <w:pPr>
              <w:jc w:val="center"/>
              <w:rPr>
                <w:color w:val="000000"/>
              </w:rPr>
            </w:pPr>
          </w:p>
        </w:tc>
        <w:tc>
          <w:tcPr>
            <w:tcW w:w="1080" w:type="dxa"/>
            <w:vAlign w:val="center"/>
          </w:tcPr>
          <w:p>
            <w:pPr>
              <w:jc w:val="center"/>
              <w:rPr>
                <w:color w:val="000000"/>
              </w:rPr>
            </w:pPr>
            <w:r>
              <w:rPr>
                <w:color w:val="000000"/>
              </w:rPr>
              <w:t>夜间</w:t>
            </w:r>
          </w:p>
        </w:tc>
        <w:tc>
          <w:tcPr>
            <w:tcW w:w="2234" w:type="dxa"/>
            <w:gridSpan w:val="3"/>
            <w:vAlign w:val="center"/>
          </w:tcPr>
          <w:p>
            <w:pPr>
              <w:jc w:val="center"/>
              <w:rPr>
                <w:color w:val="000000"/>
              </w:rPr>
            </w:pPr>
            <w:r>
              <w:rPr>
                <w:color w:val="000000"/>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76" w:type="dxa"/>
            <w:vMerge w:val="continue"/>
            <w:vAlign w:val="center"/>
          </w:tcPr>
          <w:p>
            <w:pPr>
              <w:jc w:val="center"/>
              <w:rPr>
                <w:color w:val="000000"/>
              </w:rPr>
            </w:pPr>
          </w:p>
        </w:tc>
        <w:tc>
          <w:tcPr>
            <w:tcW w:w="3260" w:type="dxa"/>
            <w:vMerge w:val="restart"/>
            <w:vAlign w:val="center"/>
          </w:tcPr>
          <w:p>
            <w:pPr>
              <w:jc w:val="center"/>
              <w:rPr>
                <w:color w:val="000000"/>
              </w:rPr>
            </w:pPr>
            <w:r>
              <w:rPr>
                <w:color w:val="000000"/>
              </w:rPr>
              <w:t>《工业企业厂界环境噪声排放标准》（GB12348-2008）</w:t>
            </w:r>
          </w:p>
        </w:tc>
        <w:tc>
          <w:tcPr>
            <w:tcW w:w="1705" w:type="dxa"/>
            <w:vMerge w:val="restart"/>
            <w:vAlign w:val="center"/>
          </w:tcPr>
          <w:p>
            <w:pPr>
              <w:jc w:val="center"/>
              <w:rPr>
                <w:color w:val="000000"/>
              </w:rPr>
            </w:pPr>
            <w:r>
              <w:rPr>
                <w:color w:val="000000"/>
              </w:rPr>
              <w:t>噪声dB（A）</w:t>
            </w:r>
          </w:p>
        </w:tc>
        <w:tc>
          <w:tcPr>
            <w:tcW w:w="1080" w:type="dxa"/>
            <w:vAlign w:val="center"/>
          </w:tcPr>
          <w:p>
            <w:pPr>
              <w:jc w:val="center"/>
              <w:rPr>
                <w:color w:val="000000"/>
              </w:rPr>
            </w:pPr>
            <w:r>
              <w:rPr>
                <w:color w:val="000000"/>
              </w:rPr>
              <w:t>功能类别</w:t>
            </w:r>
          </w:p>
        </w:tc>
        <w:tc>
          <w:tcPr>
            <w:tcW w:w="1090" w:type="dxa"/>
            <w:gridSpan w:val="2"/>
            <w:vAlign w:val="center"/>
          </w:tcPr>
          <w:p>
            <w:pPr>
              <w:jc w:val="center"/>
              <w:rPr>
                <w:color w:val="000000"/>
              </w:rPr>
            </w:pPr>
            <w:r>
              <w:rPr>
                <w:color w:val="000000"/>
              </w:rPr>
              <w:t>昼间</w:t>
            </w:r>
          </w:p>
        </w:tc>
        <w:tc>
          <w:tcPr>
            <w:tcW w:w="1144" w:type="dxa"/>
            <w:vAlign w:val="center"/>
          </w:tcPr>
          <w:p>
            <w:pPr>
              <w:jc w:val="center"/>
              <w:rPr>
                <w:color w:val="000000"/>
              </w:rPr>
            </w:pPr>
            <w:r>
              <w:rPr>
                <w:color w:val="000000"/>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6" w:type="dxa"/>
            <w:vMerge w:val="continue"/>
            <w:vAlign w:val="center"/>
          </w:tcPr>
          <w:p>
            <w:pPr>
              <w:jc w:val="center"/>
              <w:rPr>
                <w:color w:val="000000"/>
              </w:rPr>
            </w:pPr>
          </w:p>
        </w:tc>
        <w:tc>
          <w:tcPr>
            <w:tcW w:w="3260" w:type="dxa"/>
            <w:vMerge w:val="continue"/>
            <w:vAlign w:val="center"/>
          </w:tcPr>
          <w:p>
            <w:pPr>
              <w:jc w:val="center"/>
              <w:rPr>
                <w:color w:val="000000"/>
              </w:rPr>
            </w:pPr>
          </w:p>
        </w:tc>
        <w:tc>
          <w:tcPr>
            <w:tcW w:w="1705" w:type="dxa"/>
            <w:vMerge w:val="continue"/>
            <w:vAlign w:val="center"/>
          </w:tcPr>
          <w:p>
            <w:pPr>
              <w:jc w:val="center"/>
              <w:rPr>
                <w:color w:val="000000"/>
              </w:rPr>
            </w:pPr>
          </w:p>
        </w:tc>
        <w:tc>
          <w:tcPr>
            <w:tcW w:w="1080" w:type="dxa"/>
            <w:vAlign w:val="center"/>
          </w:tcPr>
          <w:p>
            <w:pPr>
              <w:jc w:val="center"/>
              <w:rPr>
                <w:color w:val="000000"/>
              </w:rPr>
            </w:pPr>
            <w:r>
              <w:rPr>
                <w:color w:val="000000"/>
              </w:rPr>
              <w:t>2类</w:t>
            </w:r>
          </w:p>
        </w:tc>
        <w:tc>
          <w:tcPr>
            <w:tcW w:w="1090" w:type="dxa"/>
            <w:gridSpan w:val="2"/>
            <w:vAlign w:val="center"/>
          </w:tcPr>
          <w:p>
            <w:pPr>
              <w:jc w:val="center"/>
              <w:rPr>
                <w:color w:val="000000"/>
              </w:rPr>
            </w:pPr>
            <w:r>
              <w:rPr>
                <w:color w:val="000000"/>
              </w:rPr>
              <w:t>60</w:t>
            </w:r>
          </w:p>
        </w:tc>
        <w:tc>
          <w:tcPr>
            <w:tcW w:w="1144" w:type="dxa"/>
            <w:vAlign w:val="center"/>
          </w:tcPr>
          <w:p>
            <w:pPr>
              <w:jc w:val="center"/>
              <w:rPr>
                <w:color w:val="000000"/>
              </w:rPr>
            </w:pPr>
            <w:r>
              <w:rPr>
                <w:color w:val="000000"/>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76" w:type="dxa"/>
            <w:vMerge w:val="restart"/>
            <w:vAlign w:val="center"/>
          </w:tcPr>
          <w:p>
            <w:pPr>
              <w:jc w:val="center"/>
              <w:rPr>
                <w:color w:val="000000"/>
              </w:rPr>
            </w:pPr>
            <w:r>
              <w:rPr>
                <w:color w:val="000000"/>
              </w:rPr>
              <w:t>固废</w:t>
            </w:r>
          </w:p>
        </w:tc>
        <w:tc>
          <w:tcPr>
            <w:tcW w:w="3260" w:type="dxa"/>
            <w:vMerge w:val="restart"/>
            <w:vAlign w:val="center"/>
          </w:tcPr>
          <w:p>
            <w:pPr>
              <w:jc w:val="center"/>
              <w:rPr>
                <w:color w:val="000000"/>
              </w:rPr>
            </w:pPr>
            <w:r>
              <w:rPr>
                <w:color w:val="000000"/>
              </w:rPr>
              <w:t>《畜禽养殖业污染物排放标准》（GB18596-2001）</w:t>
            </w:r>
          </w:p>
        </w:tc>
        <w:tc>
          <w:tcPr>
            <w:tcW w:w="1705" w:type="dxa"/>
            <w:vAlign w:val="center"/>
          </w:tcPr>
          <w:p>
            <w:pPr>
              <w:jc w:val="center"/>
              <w:rPr>
                <w:color w:val="000000"/>
              </w:rPr>
            </w:pPr>
            <w:r>
              <w:rPr>
                <w:color w:val="000000"/>
              </w:rPr>
              <w:t>蛔虫卵</w:t>
            </w:r>
          </w:p>
        </w:tc>
        <w:tc>
          <w:tcPr>
            <w:tcW w:w="3314" w:type="dxa"/>
            <w:gridSpan w:val="4"/>
            <w:vAlign w:val="center"/>
          </w:tcPr>
          <w:p>
            <w:pPr>
              <w:jc w:val="center"/>
              <w:rPr>
                <w:color w:val="000000"/>
              </w:rPr>
            </w:pPr>
            <w:r>
              <w:rPr>
                <w:color w:val="000000"/>
              </w:rPr>
              <w:t>死亡率≥95%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76" w:type="dxa"/>
            <w:vMerge w:val="continue"/>
            <w:vAlign w:val="center"/>
          </w:tcPr>
          <w:p>
            <w:pPr>
              <w:jc w:val="center"/>
              <w:rPr>
                <w:color w:val="000000"/>
              </w:rPr>
            </w:pPr>
          </w:p>
        </w:tc>
        <w:tc>
          <w:tcPr>
            <w:tcW w:w="3260" w:type="dxa"/>
            <w:vMerge w:val="continue"/>
            <w:vAlign w:val="center"/>
          </w:tcPr>
          <w:p>
            <w:pPr>
              <w:jc w:val="center"/>
              <w:rPr>
                <w:color w:val="000000"/>
              </w:rPr>
            </w:pPr>
          </w:p>
        </w:tc>
        <w:tc>
          <w:tcPr>
            <w:tcW w:w="1705" w:type="dxa"/>
            <w:vAlign w:val="center"/>
          </w:tcPr>
          <w:p>
            <w:pPr>
              <w:jc w:val="center"/>
              <w:rPr>
                <w:color w:val="000000"/>
              </w:rPr>
            </w:pPr>
            <w:r>
              <w:rPr>
                <w:color w:val="000000"/>
              </w:rPr>
              <w:t>粪大肠菌群数</w:t>
            </w:r>
          </w:p>
        </w:tc>
        <w:tc>
          <w:tcPr>
            <w:tcW w:w="3314" w:type="dxa"/>
            <w:gridSpan w:val="4"/>
            <w:vAlign w:val="center"/>
          </w:tcPr>
          <w:p>
            <w:pPr>
              <w:jc w:val="center"/>
              <w:rPr>
                <w:color w:val="000000"/>
              </w:rPr>
            </w:pPr>
            <w:r>
              <w:rPr>
                <w:color w:val="000000"/>
              </w:rPr>
              <w:t>≤10</w:t>
            </w:r>
            <w:r>
              <w:rPr>
                <w:color w:val="000000"/>
                <w:vertAlign w:val="superscript"/>
              </w:rPr>
              <w:t>5</w:t>
            </w:r>
            <w:r>
              <w:rPr>
                <w:color w:val="000000"/>
              </w:rPr>
              <w:t>个/kg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76" w:type="dxa"/>
            <w:vMerge w:val="continue"/>
            <w:vAlign w:val="center"/>
          </w:tcPr>
          <w:p>
            <w:pPr>
              <w:jc w:val="center"/>
              <w:rPr>
                <w:color w:val="000000"/>
              </w:rPr>
            </w:pPr>
          </w:p>
        </w:tc>
        <w:tc>
          <w:tcPr>
            <w:tcW w:w="8279" w:type="dxa"/>
            <w:gridSpan w:val="6"/>
            <w:vAlign w:val="center"/>
          </w:tcPr>
          <w:p>
            <w:pPr>
              <w:jc w:val="center"/>
              <w:rPr>
                <w:color w:val="000000"/>
              </w:rPr>
            </w:pPr>
            <w:r>
              <w:rPr>
                <w:color w:val="000000"/>
              </w:rPr>
              <w:t>《危险废物贮存污染物控制标准》（GB18597-2001）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676" w:type="dxa"/>
            <w:vMerge w:val="continue"/>
            <w:vAlign w:val="center"/>
          </w:tcPr>
          <w:p>
            <w:pPr>
              <w:jc w:val="center"/>
              <w:rPr>
                <w:color w:val="000000"/>
              </w:rPr>
            </w:pPr>
          </w:p>
        </w:tc>
        <w:tc>
          <w:tcPr>
            <w:tcW w:w="8279" w:type="dxa"/>
            <w:gridSpan w:val="6"/>
            <w:vAlign w:val="center"/>
          </w:tcPr>
          <w:p>
            <w:pPr>
              <w:jc w:val="center"/>
              <w:rPr>
                <w:color w:val="000000"/>
              </w:rPr>
            </w:pPr>
            <w:r>
              <w:rPr>
                <w:color w:val="000000"/>
              </w:rPr>
              <w:t>《一般工业固体废物贮存处置场污染控制标准》（GB18599-2001）</w:t>
            </w:r>
          </w:p>
        </w:tc>
      </w:tr>
    </w:tbl>
    <w:p>
      <w:pPr>
        <w:pStyle w:val="4"/>
        <w:spacing w:before="156" w:after="156"/>
        <w:rPr>
          <w:rFonts w:hAnsi="Times New Roman"/>
          <w:color w:val="000000"/>
        </w:rPr>
      </w:pPr>
      <w:bookmarkStart w:id="32" w:name="_Toc3019520"/>
      <w:r>
        <w:rPr>
          <w:rFonts w:hAnsi="Times New Roman"/>
          <w:color w:val="000000"/>
        </w:rPr>
        <w:t>1.10 评价等级及评价范围</w:t>
      </w:r>
      <w:bookmarkEnd w:id="32"/>
    </w:p>
    <w:p>
      <w:pPr>
        <w:spacing w:line="600" w:lineRule="exact"/>
        <w:outlineLvl w:val="2"/>
        <w:rPr>
          <w:color w:val="000000"/>
          <w:sz w:val="24"/>
        </w:rPr>
      </w:pPr>
      <w:r>
        <w:rPr>
          <w:b/>
          <w:color w:val="000000"/>
          <w:sz w:val="24"/>
        </w:rPr>
        <w:t>1.10.1 环境空气</w:t>
      </w:r>
    </w:p>
    <w:p>
      <w:pPr>
        <w:spacing w:line="520" w:lineRule="exact"/>
        <w:ind w:firstLine="480" w:firstLineChars="200"/>
        <w:rPr>
          <w:color w:val="FF0000"/>
          <w:sz w:val="24"/>
          <w:lang w:val="en-GB"/>
        </w:rPr>
      </w:pPr>
      <w:r>
        <w:rPr>
          <w:sz w:val="24"/>
        </w:rPr>
        <w:t>项目营运期产生的废气源主要为猪舍、粪污处理区等产生的恶臭（NH</w:t>
      </w:r>
      <w:r>
        <w:rPr>
          <w:sz w:val="24"/>
          <w:vertAlign w:val="subscript"/>
        </w:rPr>
        <w:t>3</w:t>
      </w:r>
      <w:r>
        <w:rPr>
          <w:sz w:val="24"/>
        </w:rPr>
        <w:t>、H</w:t>
      </w:r>
      <w:r>
        <w:rPr>
          <w:sz w:val="24"/>
          <w:vertAlign w:val="subscript"/>
        </w:rPr>
        <w:t>2</w:t>
      </w:r>
      <w:r>
        <w:rPr>
          <w:sz w:val="24"/>
        </w:rPr>
        <w:t>S），根据</w:t>
      </w:r>
      <w:r>
        <w:rPr>
          <w:sz w:val="24"/>
          <w:szCs w:val="28"/>
        </w:rPr>
        <w:t>《环境影响评价技术导则-大气环境》（HJ2.2-2018）</w:t>
      </w:r>
      <w:r>
        <w:rPr>
          <w:sz w:val="24"/>
        </w:rPr>
        <w:t>推荐的AERSCREEN模式计算结果，</w:t>
      </w:r>
      <w:r>
        <w:rPr>
          <w:sz w:val="24"/>
          <w:lang w:val="en-GB"/>
        </w:rPr>
        <w:t>对照《环境影响评价技术导则—大气环境》（HJ2.2-2018）（</w:t>
      </w:r>
      <w:r>
        <w:rPr>
          <w:sz w:val="24"/>
        </w:rPr>
        <w:t>2</w:t>
      </w:r>
      <w:r>
        <w:rPr>
          <w:sz w:val="24"/>
          <w:lang w:val="en-GB"/>
        </w:rPr>
        <w:t>-6）中的规定，确定大气环境影响评价为二级评价。</w:t>
      </w:r>
      <w:r>
        <w:rPr>
          <w:sz w:val="24"/>
        </w:rPr>
        <w:t>根据</w:t>
      </w:r>
      <w:r>
        <w:rPr>
          <w:sz w:val="24"/>
          <w:szCs w:val="28"/>
        </w:rPr>
        <w:t>AERSCREEN</w:t>
      </w:r>
      <w:r>
        <w:rPr>
          <w:sz w:val="24"/>
        </w:rPr>
        <w:t>模式计算得出各污染源占标率</w:t>
      </w:r>
      <w:r>
        <w:rPr>
          <w:color w:val="000000"/>
          <w:sz w:val="24"/>
        </w:rPr>
        <w:t>见表1-6，表1-7。</w:t>
      </w:r>
    </w:p>
    <w:p>
      <w:pPr>
        <w:spacing w:before="156" w:after="156" w:line="500" w:lineRule="exact"/>
        <w:ind w:firstLine="422" w:firstLineChars="200"/>
        <w:jc w:val="center"/>
        <w:rPr>
          <w:b/>
          <w:szCs w:val="21"/>
        </w:rPr>
      </w:pPr>
      <w:r>
        <w:rPr>
          <w:b/>
          <w:szCs w:val="21"/>
        </w:rPr>
        <w:t>表1-5   评价工作级别表</w:t>
      </w:r>
    </w:p>
    <w:tbl>
      <w:tblPr>
        <w:tblStyle w:val="44"/>
        <w:tblW w:w="87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27"/>
        <w:gridCol w:w="6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2427" w:type="dxa"/>
            <w:vAlign w:val="center"/>
          </w:tcPr>
          <w:p>
            <w:pPr>
              <w:spacing w:line="240" w:lineRule="exact"/>
              <w:jc w:val="center"/>
              <w:rPr>
                <w:kern w:val="0"/>
              </w:rPr>
            </w:pPr>
            <w:r>
              <w:rPr>
                <w:kern w:val="0"/>
              </w:rPr>
              <w:t>评价工作等级</w:t>
            </w:r>
          </w:p>
        </w:tc>
        <w:tc>
          <w:tcPr>
            <w:tcW w:w="6353" w:type="dxa"/>
            <w:vAlign w:val="center"/>
          </w:tcPr>
          <w:p>
            <w:pPr>
              <w:spacing w:line="240" w:lineRule="exact"/>
              <w:jc w:val="center"/>
              <w:rPr>
                <w:kern w:val="0"/>
              </w:rPr>
            </w:pPr>
            <w:r>
              <w:rPr>
                <w:kern w:val="0"/>
              </w:rPr>
              <w:t>评价工作分级判据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2427" w:type="dxa"/>
            <w:vAlign w:val="center"/>
          </w:tcPr>
          <w:p>
            <w:pPr>
              <w:spacing w:line="240" w:lineRule="exact"/>
              <w:jc w:val="center"/>
              <w:rPr>
                <w:kern w:val="0"/>
              </w:rPr>
            </w:pPr>
            <w:r>
              <w:rPr>
                <w:kern w:val="0"/>
              </w:rPr>
              <w:t>一级</w:t>
            </w:r>
          </w:p>
        </w:tc>
        <w:tc>
          <w:tcPr>
            <w:tcW w:w="6353" w:type="dxa"/>
            <w:vAlign w:val="center"/>
          </w:tcPr>
          <w:p>
            <w:pPr>
              <w:spacing w:line="240" w:lineRule="exact"/>
              <w:jc w:val="center"/>
              <w:rPr>
                <w:kern w:val="0"/>
              </w:rPr>
            </w:pPr>
            <w:r>
              <w:rPr>
                <w:kern w:val="0"/>
              </w:rPr>
              <w:t>P</w:t>
            </w:r>
            <w:r>
              <w:rPr>
                <w:kern w:val="0"/>
                <w:vertAlign w:val="subscript"/>
              </w:rPr>
              <w:t>max</w:t>
            </w:r>
            <w:r>
              <w:rPr>
                <w:kern w:val="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2427" w:type="dxa"/>
            <w:vAlign w:val="center"/>
          </w:tcPr>
          <w:p>
            <w:pPr>
              <w:spacing w:line="240" w:lineRule="exact"/>
              <w:jc w:val="center"/>
              <w:rPr>
                <w:kern w:val="0"/>
              </w:rPr>
            </w:pPr>
            <w:r>
              <w:rPr>
                <w:kern w:val="0"/>
              </w:rPr>
              <w:t>二级</w:t>
            </w:r>
          </w:p>
        </w:tc>
        <w:tc>
          <w:tcPr>
            <w:tcW w:w="6353" w:type="dxa"/>
            <w:vAlign w:val="center"/>
          </w:tcPr>
          <w:p>
            <w:pPr>
              <w:spacing w:line="240" w:lineRule="exact"/>
              <w:jc w:val="center"/>
              <w:rPr>
                <w:kern w:val="0"/>
              </w:rPr>
            </w:pPr>
            <w:r>
              <w:rPr>
                <w:kern w:val="0"/>
              </w:rPr>
              <w:t>1%≤P</w:t>
            </w:r>
            <w:r>
              <w:rPr>
                <w:kern w:val="0"/>
                <w:vertAlign w:val="subscript"/>
              </w:rPr>
              <w:t xml:space="preserve">max </w:t>
            </w:r>
            <w:r>
              <w:rPr>
                <w:kern w:val="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9" w:hRule="atLeast"/>
          <w:jc w:val="center"/>
        </w:trPr>
        <w:tc>
          <w:tcPr>
            <w:tcW w:w="2427" w:type="dxa"/>
            <w:vAlign w:val="center"/>
          </w:tcPr>
          <w:p>
            <w:pPr>
              <w:spacing w:line="240" w:lineRule="exact"/>
              <w:jc w:val="center"/>
              <w:rPr>
                <w:kern w:val="0"/>
              </w:rPr>
            </w:pPr>
            <w:r>
              <w:rPr>
                <w:kern w:val="0"/>
              </w:rPr>
              <w:t>三级</w:t>
            </w:r>
          </w:p>
        </w:tc>
        <w:tc>
          <w:tcPr>
            <w:tcW w:w="6353" w:type="dxa"/>
            <w:vAlign w:val="center"/>
          </w:tcPr>
          <w:p>
            <w:pPr>
              <w:spacing w:line="240" w:lineRule="exact"/>
              <w:jc w:val="center"/>
              <w:rPr>
                <w:kern w:val="0"/>
              </w:rPr>
            </w:pPr>
            <w:r>
              <w:rPr>
                <w:kern w:val="0"/>
              </w:rPr>
              <w:t>P</w:t>
            </w:r>
            <w:r>
              <w:rPr>
                <w:kern w:val="0"/>
                <w:vertAlign w:val="subscript"/>
              </w:rPr>
              <w:t>max</w:t>
            </w:r>
            <w:r>
              <w:rPr>
                <w:kern w:val="0"/>
              </w:rPr>
              <w:t>＜1%</w:t>
            </w:r>
          </w:p>
        </w:tc>
      </w:tr>
    </w:tbl>
    <w:p>
      <w:pPr>
        <w:spacing w:before="156" w:after="156" w:line="500" w:lineRule="exact"/>
        <w:ind w:firstLine="480" w:firstLineChars="200"/>
        <w:rPr>
          <w:sz w:val="24"/>
        </w:rPr>
      </w:pPr>
      <w:r>
        <w:rPr>
          <w:sz w:val="24"/>
        </w:rPr>
        <w:t>根据计算得出各污染源占标率见表1-6，表1-7。</w:t>
      </w:r>
    </w:p>
    <w:p>
      <w:pPr>
        <w:spacing w:line="500" w:lineRule="exact"/>
        <w:jc w:val="center"/>
        <w:rPr>
          <w:b/>
          <w:bCs/>
          <w:szCs w:val="21"/>
        </w:rPr>
      </w:pPr>
      <w:r>
        <w:rPr>
          <w:b/>
          <w:bCs/>
          <w:szCs w:val="21"/>
        </w:rPr>
        <w:t>表1-6点源估算模式参数取值一览表</w:t>
      </w:r>
    </w:p>
    <w:tbl>
      <w:tblPr>
        <w:tblStyle w:val="44"/>
        <w:tblW w:w="877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73"/>
        <w:gridCol w:w="1049"/>
        <w:gridCol w:w="751"/>
        <w:gridCol w:w="899"/>
        <w:gridCol w:w="1048"/>
        <w:gridCol w:w="1051"/>
        <w:gridCol w:w="563"/>
        <w:gridCol w:w="706"/>
        <w:gridCol w:w="677"/>
        <w:gridCol w:w="1016"/>
        <w:gridCol w:w="5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654" w:hRule="atLeast"/>
          <w:tblHeader/>
          <w:jc w:val="center"/>
        </w:trPr>
        <w:tc>
          <w:tcPr>
            <w:tcW w:w="473" w:type="dxa"/>
            <w:vMerge w:val="restart"/>
            <w:tcMar>
              <w:left w:w="28" w:type="dxa"/>
              <w:right w:w="28" w:type="dxa"/>
            </w:tcMar>
            <w:vAlign w:val="center"/>
          </w:tcPr>
          <w:p>
            <w:pPr>
              <w:jc w:val="center"/>
              <w:rPr>
                <w:rFonts w:asciiTheme="minorEastAsia" w:hAnsiTheme="minorEastAsia" w:eastAsiaTheme="minorEastAsia"/>
                <w:szCs w:val="21"/>
              </w:rPr>
            </w:pPr>
            <w:r>
              <w:rPr>
                <w:rFonts w:asciiTheme="minorEastAsia" w:hAnsiTheme="minorEastAsia" w:eastAsiaTheme="minorEastAsia"/>
                <w:szCs w:val="21"/>
              </w:rPr>
              <w:t>点源</w:t>
            </w:r>
          </w:p>
        </w:tc>
        <w:tc>
          <w:tcPr>
            <w:tcW w:w="1049" w:type="dxa"/>
            <w:tcMar>
              <w:left w:w="28" w:type="dxa"/>
              <w:right w:w="28" w:type="dxa"/>
            </w:tcMar>
            <w:vAlign w:val="center"/>
          </w:tcPr>
          <w:p>
            <w:pPr>
              <w:jc w:val="center"/>
              <w:rPr>
                <w:rFonts w:asciiTheme="minorEastAsia" w:hAnsiTheme="minorEastAsia" w:eastAsiaTheme="minorEastAsia"/>
                <w:szCs w:val="21"/>
              </w:rPr>
            </w:pPr>
            <w:r>
              <w:rPr>
                <w:rFonts w:asciiTheme="minorEastAsia" w:hAnsiTheme="minorEastAsia" w:eastAsiaTheme="minorEastAsia"/>
                <w:szCs w:val="21"/>
              </w:rPr>
              <w:t>污染源名称</w:t>
            </w:r>
          </w:p>
        </w:tc>
        <w:tc>
          <w:tcPr>
            <w:tcW w:w="751" w:type="dxa"/>
            <w:tcMar>
              <w:left w:w="28" w:type="dxa"/>
              <w:right w:w="28" w:type="dxa"/>
            </w:tcMar>
            <w:vAlign w:val="center"/>
          </w:tcPr>
          <w:p>
            <w:pPr>
              <w:jc w:val="center"/>
              <w:rPr>
                <w:rFonts w:asciiTheme="minorEastAsia" w:hAnsiTheme="minorEastAsia" w:eastAsiaTheme="minorEastAsia"/>
                <w:szCs w:val="21"/>
              </w:rPr>
            </w:pPr>
            <w:r>
              <w:rPr>
                <w:rFonts w:asciiTheme="minorEastAsia" w:hAnsiTheme="minorEastAsia" w:eastAsiaTheme="minorEastAsia"/>
                <w:szCs w:val="21"/>
              </w:rPr>
              <w:t>污染物</w:t>
            </w:r>
          </w:p>
        </w:tc>
        <w:tc>
          <w:tcPr>
            <w:tcW w:w="899" w:type="dxa"/>
            <w:tcMar>
              <w:left w:w="28" w:type="dxa"/>
              <w:right w:w="28" w:type="dxa"/>
            </w:tcMar>
            <w:vAlign w:val="center"/>
          </w:tcPr>
          <w:p>
            <w:pPr>
              <w:jc w:val="center"/>
              <w:rPr>
                <w:rFonts w:asciiTheme="minorEastAsia" w:hAnsiTheme="minorEastAsia" w:eastAsiaTheme="minorEastAsia"/>
                <w:szCs w:val="21"/>
              </w:rPr>
            </w:pPr>
            <w:r>
              <w:rPr>
                <w:color w:val="000000"/>
                <w:szCs w:val="21"/>
              </w:rPr>
              <w:t>污染物排放量(t/a)</w:t>
            </w:r>
          </w:p>
        </w:tc>
        <w:tc>
          <w:tcPr>
            <w:tcW w:w="1048"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烟囱几何高度m</w:t>
            </w:r>
          </w:p>
        </w:tc>
        <w:tc>
          <w:tcPr>
            <w:tcW w:w="1051"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烟囱出口</w:t>
            </w:r>
          </w:p>
          <w:p>
            <w:pPr>
              <w:jc w:val="center"/>
              <w:rPr>
                <w:rFonts w:asciiTheme="minorEastAsia" w:hAnsiTheme="minorEastAsia" w:eastAsiaTheme="minorEastAsia"/>
                <w:szCs w:val="21"/>
              </w:rPr>
            </w:pPr>
            <w:r>
              <w:rPr>
                <w:rFonts w:asciiTheme="minorEastAsia" w:hAnsiTheme="minorEastAsia" w:eastAsiaTheme="minorEastAsia"/>
                <w:szCs w:val="21"/>
              </w:rPr>
              <w:t>内径m</w:t>
            </w:r>
          </w:p>
        </w:tc>
        <w:tc>
          <w:tcPr>
            <w:tcW w:w="563"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烟气</w:t>
            </w:r>
          </w:p>
          <w:p>
            <w:pPr>
              <w:jc w:val="center"/>
              <w:rPr>
                <w:rFonts w:asciiTheme="minorEastAsia" w:hAnsiTheme="minorEastAsia" w:eastAsiaTheme="minorEastAsia"/>
                <w:szCs w:val="21"/>
              </w:rPr>
            </w:pPr>
            <w:r>
              <w:rPr>
                <w:rFonts w:asciiTheme="minorEastAsia" w:hAnsiTheme="minorEastAsia" w:eastAsiaTheme="minorEastAsia"/>
                <w:szCs w:val="21"/>
              </w:rPr>
              <w:t>温度</w:t>
            </w:r>
          </w:p>
          <w:p>
            <w:pPr>
              <w:jc w:val="center"/>
              <w:rPr>
                <w:rFonts w:asciiTheme="minorEastAsia" w:hAnsiTheme="minorEastAsia" w:eastAsiaTheme="minorEastAsia"/>
                <w:szCs w:val="21"/>
              </w:rPr>
            </w:pPr>
            <w:r>
              <w:rPr>
                <w:rFonts w:hint="eastAsia" w:cs="宋体" w:asciiTheme="minorEastAsia" w:hAnsiTheme="minorEastAsia" w:eastAsiaTheme="minorEastAsia"/>
                <w:szCs w:val="21"/>
              </w:rPr>
              <w:t>℃</w:t>
            </w:r>
          </w:p>
        </w:tc>
        <w:tc>
          <w:tcPr>
            <w:tcW w:w="706"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环境</w:t>
            </w:r>
          </w:p>
          <w:p>
            <w:pPr>
              <w:jc w:val="center"/>
              <w:rPr>
                <w:rFonts w:asciiTheme="minorEastAsia" w:hAnsiTheme="minorEastAsia" w:eastAsiaTheme="minorEastAsia"/>
                <w:szCs w:val="21"/>
              </w:rPr>
            </w:pPr>
            <w:r>
              <w:rPr>
                <w:rFonts w:asciiTheme="minorEastAsia" w:hAnsiTheme="minorEastAsia" w:eastAsiaTheme="minorEastAsia"/>
                <w:szCs w:val="21"/>
              </w:rPr>
              <w:t>温度</w:t>
            </w:r>
          </w:p>
          <w:p>
            <w:pPr>
              <w:jc w:val="center"/>
              <w:rPr>
                <w:rFonts w:asciiTheme="minorEastAsia" w:hAnsiTheme="minorEastAsia" w:eastAsiaTheme="minorEastAsia"/>
                <w:szCs w:val="21"/>
              </w:rPr>
            </w:pPr>
            <w:r>
              <w:rPr>
                <w:rFonts w:hint="eastAsia" w:cs="宋体" w:asciiTheme="minorEastAsia" w:hAnsiTheme="minorEastAsia" w:eastAsiaTheme="minorEastAsia"/>
                <w:szCs w:val="21"/>
              </w:rPr>
              <w:t>℃</w:t>
            </w:r>
          </w:p>
        </w:tc>
        <w:tc>
          <w:tcPr>
            <w:tcW w:w="677"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城市/乡村</w:t>
            </w:r>
          </w:p>
          <w:p>
            <w:pPr>
              <w:jc w:val="center"/>
              <w:rPr>
                <w:rFonts w:asciiTheme="minorEastAsia" w:hAnsiTheme="minorEastAsia" w:eastAsiaTheme="minorEastAsia"/>
                <w:szCs w:val="21"/>
              </w:rPr>
            </w:pPr>
            <w:r>
              <w:rPr>
                <w:rFonts w:asciiTheme="minorEastAsia" w:hAnsiTheme="minorEastAsia" w:eastAsiaTheme="minorEastAsia"/>
                <w:szCs w:val="21"/>
              </w:rPr>
              <w:t>选项</w:t>
            </w:r>
          </w:p>
        </w:tc>
        <w:tc>
          <w:tcPr>
            <w:tcW w:w="1016"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评价标准mg/m3</w:t>
            </w:r>
          </w:p>
        </w:tc>
        <w:tc>
          <w:tcPr>
            <w:tcW w:w="542"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Pmax</w:t>
            </w:r>
          </w:p>
          <w:p>
            <w:pPr>
              <w:jc w:val="center"/>
              <w:rPr>
                <w:rFonts w:asciiTheme="minorEastAsia" w:hAnsiTheme="minorEastAsia" w:eastAsiaTheme="minorEastAsia"/>
                <w:szCs w:val="21"/>
              </w:rPr>
            </w:pPr>
            <w:r>
              <w:rPr>
                <w:rFonts w:asciiTheme="minorEastAsia" w:hAnsiTheme="minorEastAsia"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4" w:hRule="atLeast"/>
          <w:jc w:val="center"/>
        </w:trPr>
        <w:tc>
          <w:tcPr>
            <w:tcW w:w="473" w:type="dxa"/>
            <w:vMerge w:val="continue"/>
            <w:tcMar>
              <w:left w:w="28" w:type="dxa"/>
              <w:right w:w="28" w:type="dxa"/>
            </w:tcMar>
            <w:vAlign w:val="center"/>
          </w:tcPr>
          <w:p>
            <w:pPr>
              <w:jc w:val="center"/>
              <w:rPr>
                <w:rFonts w:asciiTheme="minorEastAsia" w:hAnsiTheme="minorEastAsia" w:eastAsiaTheme="minorEastAsia"/>
                <w:szCs w:val="21"/>
              </w:rPr>
            </w:pPr>
          </w:p>
        </w:tc>
        <w:tc>
          <w:tcPr>
            <w:tcW w:w="1049" w:type="dxa"/>
            <w:vMerge w:val="restart"/>
            <w:vAlign w:val="center"/>
          </w:tcPr>
          <w:p>
            <w:pPr>
              <w:jc w:val="center"/>
              <w:rPr>
                <w:rFonts w:asciiTheme="minorEastAsia" w:hAnsiTheme="minorEastAsia" w:eastAsiaTheme="minorEastAsia"/>
                <w:szCs w:val="21"/>
              </w:rPr>
            </w:pPr>
            <w:r>
              <w:rPr>
                <w:rFonts w:asciiTheme="minorEastAsia" w:hAnsiTheme="minorEastAsia" w:eastAsiaTheme="minorEastAsia"/>
                <w:szCs w:val="21"/>
              </w:rPr>
              <w:t>沼气锅炉</w:t>
            </w:r>
          </w:p>
        </w:tc>
        <w:tc>
          <w:tcPr>
            <w:tcW w:w="751"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SO</w:t>
            </w:r>
            <w:r>
              <w:rPr>
                <w:rFonts w:asciiTheme="minorEastAsia" w:hAnsiTheme="minorEastAsia" w:eastAsiaTheme="minorEastAsia"/>
                <w:szCs w:val="21"/>
                <w:vertAlign w:val="subscript"/>
              </w:rPr>
              <w:t>2</w:t>
            </w:r>
          </w:p>
        </w:tc>
        <w:tc>
          <w:tcPr>
            <w:tcW w:w="899" w:type="dxa"/>
            <w:tcMar>
              <w:left w:w="28" w:type="dxa"/>
              <w:right w:w="28" w:type="dxa"/>
            </w:tcMar>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0.0018</w:t>
            </w:r>
          </w:p>
        </w:tc>
        <w:tc>
          <w:tcPr>
            <w:tcW w:w="1048" w:type="dxa"/>
            <w:vMerge w:val="restart"/>
            <w:vAlign w:val="center"/>
          </w:tcPr>
          <w:p>
            <w:pPr>
              <w:jc w:val="center"/>
              <w:rPr>
                <w:rFonts w:asciiTheme="minorEastAsia" w:hAnsiTheme="minorEastAsia" w:eastAsiaTheme="minorEastAsia"/>
                <w:szCs w:val="21"/>
              </w:rPr>
            </w:pPr>
            <w:r>
              <w:rPr>
                <w:rFonts w:asciiTheme="minorEastAsia" w:hAnsiTheme="minorEastAsia" w:eastAsiaTheme="minorEastAsia"/>
                <w:szCs w:val="21"/>
              </w:rPr>
              <w:t>8</w:t>
            </w:r>
          </w:p>
        </w:tc>
        <w:tc>
          <w:tcPr>
            <w:tcW w:w="1051" w:type="dxa"/>
            <w:vMerge w:val="restart"/>
            <w:vAlign w:val="center"/>
          </w:tcPr>
          <w:p>
            <w:pPr>
              <w:jc w:val="center"/>
              <w:rPr>
                <w:rFonts w:asciiTheme="minorEastAsia" w:hAnsiTheme="minorEastAsia" w:eastAsiaTheme="minorEastAsia"/>
                <w:szCs w:val="21"/>
              </w:rPr>
            </w:pPr>
            <w:r>
              <w:rPr>
                <w:rFonts w:asciiTheme="minorEastAsia" w:hAnsiTheme="minorEastAsia" w:eastAsiaTheme="minorEastAsia"/>
                <w:szCs w:val="21"/>
              </w:rPr>
              <w:t>0.06</w:t>
            </w:r>
          </w:p>
        </w:tc>
        <w:tc>
          <w:tcPr>
            <w:tcW w:w="563" w:type="dxa"/>
            <w:vMerge w:val="restart"/>
            <w:vAlign w:val="center"/>
          </w:tcPr>
          <w:p>
            <w:pPr>
              <w:jc w:val="center"/>
              <w:rPr>
                <w:rFonts w:asciiTheme="minorEastAsia" w:hAnsiTheme="minorEastAsia" w:eastAsiaTheme="minorEastAsia"/>
                <w:szCs w:val="21"/>
              </w:rPr>
            </w:pPr>
            <w:r>
              <w:rPr>
                <w:rFonts w:asciiTheme="minorEastAsia" w:hAnsiTheme="minorEastAsia" w:eastAsiaTheme="minorEastAsia"/>
                <w:szCs w:val="21"/>
              </w:rPr>
              <w:t>100</w:t>
            </w:r>
          </w:p>
        </w:tc>
        <w:tc>
          <w:tcPr>
            <w:tcW w:w="706" w:type="dxa"/>
            <w:vMerge w:val="restart"/>
            <w:vAlign w:val="center"/>
          </w:tcPr>
          <w:p>
            <w:pPr>
              <w:jc w:val="center"/>
              <w:rPr>
                <w:rFonts w:asciiTheme="minorEastAsia" w:hAnsiTheme="minorEastAsia" w:eastAsiaTheme="minorEastAsia"/>
                <w:szCs w:val="21"/>
              </w:rPr>
            </w:pPr>
            <w:r>
              <w:rPr>
                <w:rFonts w:asciiTheme="minorEastAsia" w:hAnsiTheme="minorEastAsia" w:eastAsiaTheme="minorEastAsia"/>
                <w:szCs w:val="21"/>
              </w:rPr>
              <w:t>20</w:t>
            </w:r>
          </w:p>
        </w:tc>
        <w:tc>
          <w:tcPr>
            <w:tcW w:w="677" w:type="dxa"/>
            <w:vMerge w:val="restart"/>
            <w:vAlign w:val="center"/>
          </w:tcPr>
          <w:p>
            <w:pPr>
              <w:jc w:val="center"/>
              <w:rPr>
                <w:rFonts w:asciiTheme="minorEastAsia" w:hAnsiTheme="minorEastAsia" w:eastAsiaTheme="minorEastAsia"/>
                <w:szCs w:val="21"/>
              </w:rPr>
            </w:pPr>
            <w:r>
              <w:rPr>
                <w:rFonts w:asciiTheme="minorEastAsia" w:hAnsiTheme="minorEastAsia" w:eastAsiaTheme="minorEastAsia"/>
                <w:szCs w:val="21"/>
              </w:rPr>
              <w:t>农村</w:t>
            </w:r>
          </w:p>
        </w:tc>
        <w:tc>
          <w:tcPr>
            <w:tcW w:w="1016"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0.5</w:t>
            </w:r>
          </w:p>
        </w:tc>
        <w:tc>
          <w:tcPr>
            <w:tcW w:w="542" w:type="dxa"/>
            <w:vAlign w:val="center"/>
          </w:tcPr>
          <w:p>
            <w:pPr>
              <w:spacing w:line="280" w:lineRule="exact"/>
              <w:jc w:val="center"/>
              <w:rPr>
                <w:rFonts w:asciiTheme="minorEastAsia" w:hAnsiTheme="minorEastAsia" w:eastAsiaTheme="minorEastAsia"/>
                <w:szCs w:val="21"/>
              </w:rPr>
            </w:pPr>
            <w:r>
              <w:rPr>
                <w:rFonts w:asciiTheme="minorEastAsia" w:hAnsiTheme="minorEastAsia" w:eastAsiaTheme="minorEastAsia"/>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4" w:hRule="atLeast"/>
          <w:jc w:val="center"/>
        </w:trPr>
        <w:tc>
          <w:tcPr>
            <w:tcW w:w="473" w:type="dxa"/>
            <w:vMerge w:val="continue"/>
            <w:tcMar>
              <w:left w:w="28" w:type="dxa"/>
              <w:right w:w="28" w:type="dxa"/>
            </w:tcMar>
            <w:vAlign w:val="center"/>
          </w:tcPr>
          <w:p>
            <w:pPr>
              <w:jc w:val="center"/>
              <w:rPr>
                <w:rFonts w:asciiTheme="minorEastAsia" w:hAnsiTheme="minorEastAsia" w:eastAsiaTheme="minorEastAsia"/>
                <w:szCs w:val="21"/>
              </w:rPr>
            </w:pPr>
          </w:p>
        </w:tc>
        <w:tc>
          <w:tcPr>
            <w:tcW w:w="1049" w:type="dxa"/>
            <w:vMerge w:val="continue"/>
            <w:vAlign w:val="center"/>
          </w:tcPr>
          <w:p>
            <w:pPr>
              <w:jc w:val="center"/>
              <w:rPr>
                <w:rFonts w:asciiTheme="minorEastAsia" w:hAnsiTheme="minorEastAsia" w:eastAsiaTheme="minorEastAsia"/>
                <w:szCs w:val="21"/>
              </w:rPr>
            </w:pPr>
          </w:p>
        </w:tc>
        <w:tc>
          <w:tcPr>
            <w:tcW w:w="751"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NO</w:t>
            </w:r>
            <w:r>
              <w:rPr>
                <w:rFonts w:asciiTheme="minorEastAsia" w:hAnsiTheme="minorEastAsia" w:eastAsiaTheme="minorEastAsia"/>
                <w:szCs w:val="21"/>
                <w:vertAlign w:val="subscript"/>
              </w:rPr>
              <w:t>2</w:t>
            </w:r>
          </w:p>
        </w:tc>
        <w:tc>
          <w:tcPr>
            <w:tcW w:w="899" w:type="dxa"/>
            <w:tcMar>
              <w:left w:w="28" w:type="dxa"/>
              <w:right w:w="28" w:type="dxa"/>
            </w:tcMar>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0.013</w:t>
            </w:r>
            <w:r>
              <w:rPr>
                <w:rFonts w:asciiTheme="minorEastAsia" w:hAnsiTheme="minorEastAsia" w:eastAsiaTheme="minorEastAsia"/>
                <w:szCs w:val="21"/>
              </w:rPr>
              <w:t>7</w:t>
            </w:r>
          </w:p>
        </w:tc>
        <w:tc>
          <w:tcPr>
            <w:tcW w:w="1048" w:type="dxa"/>
            <w:vMerge w:val="continue"/>
            <w:vAlign w:val="center"/>
          </w:tcPr>
          <w:p>
            <w:pPr>
              <w:jc w:val="center"/>
              <w:rPr>
                <w:rFonts w:asciiTheme="minorEastAsia" w:hAnsiTheme="minorEastAsia" w:eastAsiaTheme="minorEastAsia"/>
                <w:szCs w:val="21"/>
              </w:rPr>
            </w:pPr>
          </w:p>
        </w:tc>
        <w:tc>
          <w:tcPr>
            <w:tcW w:w="1051" w:type="dxa"/>
            <w:vMerge w:val="continue"/>
            <w:vAlign w:val="center"/>
          </w:tcPr>
          <w:p>
            <w:pPr>
              <w:jc w:val="center"/>
              <w:rPr>
                <w:rFonts w:asciiTheme="minorEastAsia" w:hAnsiTheme="minorEastAsia" w:eastAsiaTheme="minorEastAsia"/>
                <w:szCs w:val="21"/>
              </w:rPr>
            </w:pPr>
          </w:p>
        </w:tc>
        <w:tc>
          <w:tcPr>
            <w:tcW w:w="563" w:type="dxa"/>
            <w:vMerge w:val="continue"/>
            <w:vAlign w:val="center"/>
          </w:tcPr>
          <w:p>
            <w:pPr>
              <w:jc w:val="center"/>
              <w:rPr>
                <w:rFonts w:asciiTheme="minorEastAsia" w:hAnsiTheme="minorEastAsia" w:eastAsiaTheme="minorEastAsia"/>
                <w:szCs w:val="21"/>
              </w:rPr>
            </w:pPr>
          </w:p>
        </w:tc>
        <w:tc>
          <w:tcPr>
            <w:tcW w:w="706" w:type="dxa"/>
            <w:vMerge w:val="continue"/>
            <w:vAlign w:val="center"/>
          </w:tcPr>
          <w:p>
            <w:pPr>
              <w:jc w:val="center"/>
              <w:rPr>
                <w:rFonts w:asciiTheme="minorEastAsia" w:hAnsiTheme="minorEastAsia" w:eastAsiaTheme="minorEastAsia"/>
                <w:szCs w:val="21"/>
              </w:rPr>
            </w:pPr>
          </w:p>
        </w:tc>
        <w:tc>
          <w:tcPr>
            <w:tcW w:w="677" w:type="dxa"/>
            <w:vMerge w:val="continue"/>
            <w:vAlign w:val="center"/>
          </w:tcPr>
          <w:p>
            <w:pPr>
              <w:jc w:val="center"/>
              <w:rPr>
                <w:rFonts w:asciiTheme="minorEastAsia" w:hAnsiTheme="minorEastAsia" w:eastAsiaTheme="minorEastAsia"/>
                <w:szCs w:val="21"/>
              </w:rPr>
            </w:pPr>
          </w:p>
        </w:tc>
        <w:tc>
          <w:tcPr>
            <w:tcW w:w="1016"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2</w:t>
            </w:r>
          </w:p>
        </w:tc>
        <w:tc>
          <w:tcPr>
            <w:tcW w:w="542" w:type="dxa"/>
            <w:vAlign w:val="center"/>
          </w:tcPr>
          <w:p>
            <w:pPr>
              <w:spacing w:line="280" w:lineRule="exact"/>
              <w:jc w:val="center"/>
              <w:rPr>
                <w:rFonts w:asciiTheme="minorEastAsia" w:hAnsiTheme="minorEastAsia" w:eastAsiaTheme="minorEastAsia"/>
                <w:szCs w:val="21"/>
              </w:rPr>
            </w:pPr>
            <w:r>
              <w:rPr>
                <w:rFonts w:hint="eastAsia" w:asciiTheme="minorEastAsia" w:hAnsiTheme="minorEastAsia" w:eastAsiaTheme="minorEastAsia"/>
                <w:szCs w:val="21"/>
              </w:rPr>
              <w:t>0.39</w:t>
            </w:r>
          </w:p>
        </w:tc>
      </w:tr>
    </w:tbl>
    <w:p>
      <w:pPr>
        <w:spacing w:line="500" w:lineRule="exact"/>
        <w:jc w:val="center"/>
        <w:rPr>
          <w:b/>
          <w:sz w:val="24"/>
          <w:u w:val="single"/>
        </w:rPr>
      </w:pPr>
      <w:r>
        <w:rPr>
          <w:b/>
          <w:bCs/>
          <w:szCs w:val="21"/>
          <w:u w:val="single"/>
        </w:rPr>
        <w:t>表1-7面源估算模式参数取值一览表</w:t>
      </w:r>
    </w:p>
    <w:tbl>
      <w:tblPr>
        <w:tblStyle w:val="44"/>
        <w:tblW w:w="89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2"/>
        <w:gridCol w:w="1036"/>
        <w:gridCol w:w="700"/>
        <w:gridCol w:w="1115"/>
        <w:gridCol w:w="766"/>
        <w:gridCol w:w="723"/>
        <w:gridCol w:w="723"/>
        <w:gridCol w:w="1158"/>
        <w:gridCol w:w="1013"/>
        <w:gridCol w:w="1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52" w:type="dxa"/>
            <w:vMerge w:val="restart"/>
            <w:vAlign w:val="center"/>
          </w:tcPr>
          <w:p>
            <w:pPr>
              <w:jc w:val="center"/>
              <w:rPr>
                <w:rFonts w:asciiTheme="minorEastAsia" w:hAnsiTheme="minorEastAsia" w:eastAsiaTheme="minorEastAsia"/>
                <w:szCs w:val="21"/>
              </w:rPr>
            </w:pPr>
            <w:r>
              <w:rPr>
                <w:rFonts w:asciiTheme="minorEastAsia" w:hAnsiTheme="minorEastAsia" w:eastAsiaTheme="minorEastAsia"/>
                <w:szCs w:val="21"/>
              </w:rPr>
              <w:t>面源</w:t>
            </w:r>
          </w:p>
        </w:tc>
        <w:tc>
          <w:tcPr>
            <w:tcW w:w="1036"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无组织</w:t>
            </w:r>
          </w:p>
          <w:p>
            <w:pPr>
              <w:jc w:val="center"/>
              <w:rPr>
                <w:rFonts w:asciiTheme="minorEastAsia" w:hAnsiTheme="minorEastAsia" w:eastAsiaTheme="minorEastAsia"/>
                <w:szCs w:val="21"/>
              </w:rPr>
            </w:pPr>
            <w:r>
              <w:rPr>
                <w:rFonts w:asciiTheme="minorEastAsia" w:hAnsiTheme="minorEastAsia" w:eastAsiaTheme="minorEastAsia"/>
                <w:szCs w:val="21"/>
              </w:rPr>
              <w:t>排放源</w:t>
            </w:r>
          </w:p>
        </w:tc>
        <w:tc>
          <w:tcPr>
            <w:tcW w:w="700"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主要</w:t>
            </w:r>
          </w:p>
          <w:p>
            <w:pPr>
              <w:jc w:val="center"/>
              <w:rPr>
                <w:rFonts w:asciiTheme="minorEastAsia" w:hAnsiTheme="minorEastAsia" w:eastAsiaTheme="minorEastAsia"/>
                <w:szCs w:val="21"/>
              </w:rPr>
            </w:pPr>
            <w:r>
              <w:rPr>
                <w:rFonts w:asciiTheme="minorEastAsia" w:hAnsiTheme="minorEastAsia" w:eastAsiaTheme="minorEastAsia"/>
                <w:szCs w:val="21"/>
              </w:rPr>
              <w:t>污染物</w:t>
            </w:r>
          </w:p>
        </w:tc>
        <w:tc>
          <w:tcPr>
            <w:tcW w:w="1115"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排放强度（t/a）</w:t>
            </w:r>
          </w:p>
        </w:tc>
        <w:tc>
          <w:tcPr>
            <w:tcW w:w="766" w:type="dxa"/>
          </w:tcPr>
          <w:p>
            <w:pPr>
              <w:jc w:val="center"/>
              <w:rPr>
                <w:rFonts w:asciiTheme="minorEastAsia" w:hAnsiTheme="minorEastAsia" w:eastAsiaTheme="minorEastAsia"/>
                <w:szCs w:val="21"/>
              </w:rPr>
            </w:pPr>
            <w:r>
              <w:rPr>
                <w:rFonts w:asciiTheme="minorEastAsia" w:hAnsiTheme="minorEastAsia" w:eastAsiaTheme="minorEastAsia"/>
                <w:szCs w:val="21"/>
              </w:rPr>
              <w:t>面源长度</w:t>
            </w:r>
          </w:p>
        </w:tc>
        <w:tc>
          <w:tcPr>
            <w:tcW w:w="723" w:type="dxa"/>
          </w:tcPr>
          <w:p>
            <w:pPr>
              <w:jc w:val="center"/>
              <w:rPr>
                <w:rFonts w:asciiTheme="minorEastAsia" w:hAnsiTheme="minorEastAsia" w:eastAsiaTheme="minorEastAsia"/>
                <w:szCs w:val="21"/>
              </w:rPr>
            </w:pPr>
            <w:r>
              <w:rPr>
                <w:rFonts w:asciiTheme="minorEastAsia" w:hAnsiTheme="minorEastAsia" w:eastAsiaTheme="minorEastAsia"/>
                <w:szCs w:val="21"/>
              </w:rPr>
              <w:t>面源宽度</w:t>
            </w:r>
          </w:p>
        </w:tc>
        <w:tc>
          <w:tcPr>
            <w:tcW w:w="723" w:type="dxa"/>
          </w:tcPr>
          <w:p>
            <w:pPr>
              <w:jc w:val="center"/>
              <w:rPr>
                <w:rFonts w:asciiTheme="minorEastAsia" w:hAnsiTheme="minorEastAsia" w:eastAsiaTheme="minorEastAsia"/>
                <w:szCs w:val="21"/>
              </w:rPr>
            </w:pPr>
            <w:r>
              <w:rPr>
                <w:rFonts w:asciiTheme="minorEastAsia" w:hAnsiTheme="minorEastAsia" w:eastAsiaTheme="minorEastAsia"/>
                <w:szCs w:val="21"/>
              </w:rPr>
              <w:t>排放 高度</w:t>
            </w:r>
          </w:p>
        </w:tc>
        <w:tc>
          <w:tcPr>
            <w:tcW w:w="1158"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评价标准</w:t>
            </w:r>
          </w:p>
          <w:p>
            <w:pPr>
              <w:jc w:val="center"/>
              <w:rPr>
                <w:rFonts w:asciiTheme="minorEastAsia" w:hAnsiTheme="minorEastAsia" w:eastAsiaTheme="minorEastAsia"/>
                <w:szCs w:val="21"/>
              </w:rPr>
            </w:pPr>
            <w:r>
              <w:rPr>
                <w:rFonts w:asciiTheme="minorEastAsia" w:hAnsiTheme="minorEastAsia" w:eastAsiaTheme="minorEastAsia"/>
                <w:szCs w:val="21"/>
              </w:rPr>
              <w:t>mg/m</w:t>
            </w:r>
            <w:r>
              <w:rPr>
                <w:rFonts w:asciiTheme="minorEastAsia" w:hAnsiTheme="minorEastAsia" w:eastAsiaTheme="minorEastAsia"/>
                <w:szCs w:val="21"/>
                <w:vertAlign w:val="superscript"/>
              </w:rPr>
              <w:t>3</w:t>
            </w:r>
          </w:p>
        </w:tc>
        <w:tc>
          <w:tcPr>
            <w:tcW w:w="1013"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Pmax %</w:t>
            </w:r>
          </w:p>
        </w:tc>
        <w:tc>
          <w:tcPr>
            <w:tcW w:w="1262"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评价</w:t>
            </w:r>
          </w:p>
          <w:p>
            <w:pPr>
              <w:jc w:val="center"/>
              <w:rPr>
                <w:rFonts w:asciiTheme="minorEastAsia" w:hAnsiTheme="minorEastAsia" w:eastAsiaTheme="minorEastAsia"/>
                <w:szCs w:val="21"/>
              </w:rPr>
            </w:pPr>
            <w:r>
              <w:rPr>
                <w:rFonts w:asciiTheme="minorEastAsia" w:hAnsiTheme="minorEastAsia" w:eastAsiaTheme="minorEastAsia"/>
                <w:szCs w:val="21"/>
              </w:rPr>
              <w:t>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52" w:type="dxa"/>
            <w:vMerge w:val="continue"/>
            <w:vAlign w:val="center"/>
          </w:tcPr>
          <w:p>
            <w:pPr>
              <w:jc w:val="center"/>
              <w:rPr>
                <w:rFonts w:asciiTheme="minorEastAsia" w:hAnsiTheme="minorEastAsia" w:eastAsiaTheme="minorEastAsia"/>
                <w:szCs w:val="21"/>
              </w:rPr>
            </w:pPr>
          </w:p>
        </w:tc>
        <w:tc>
          <w:tcPr>
            <w:tcW w:w="1036" w:type="dxa"/>
            <w:vMerge w:val="restart"/>
            <w:vAlign w:val="center"/>
          </w:tcPr>
          <w:p>
            <w:pPr>
              <w:jc w:val="center"/>
              <w:rPr>
                <w:rFonts w:asciiTheme="minorEastAsia" w:hAnsiTheme="minorEastAsia" w:eastAsiaTheme="minorEastAsia"/>
                <w:szCs w:val="21"/>
              </w:rPr>
            </w:pPr>
            <w:r>
              <w:rPr>
                <w:rFonts w:asciiTheme="minorEastAsia" w:hAnsiTheme="minorEastAsia" w:eastAsiaTheme="minorEastAsia"/>
                <w:szCs w:val="21"/>
              </w:rPr>
              <w:t>场区</w:t>
            </w:r>
          </w:p>
        </w:tc>
        <w:tc>
          <w:tcPr>
            <w:tcW w:w="700"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NH</w:t>
            </w:r>
            <w:r>
              <w:rPr>
                <w:rFonts w:asciiTheme="minorEastAsia" w:hAnsiTheme="minorEastAsia" w:eastAsiaTheme="minorEastAsia"/>
                <w:szCs w:val="21"/>
                <w:vertAlign w:val="subscript"/>
              </w:rPr>
              <w:t>3</w:t>
            </w:r>
          </w:p>
        </w:tc>
        <w:tc>
          <w:tcPr>
            <w:tcW w:w="1115" w:type="dxa"/>
            <w:vAlign w:val="center"/>
          </w:tcPr>
          <w:p>
            <w:pPr>
              <w:jc w:val="center"/>
              <w:rPr>
                <w:rFonts w:asciiTheme="minorEastAsia" w:hAnsiTheme="minorEastAsia" w:eastAsiaTheme="minorEastAsia"/>
                <w:szCs w:val="21"/>
              </w:rPr>
            </w:pPr>
            <w:r>
              <w:rPr>
                <w:color w:val="000000"/>
                <w:szCs w:val="21"/>
              </w:rPr>
              <w:t>1.</w:t>
            </w:r>
            <w:r>
              <w:rPr>
                <w:rFonts w:hint="eastAsia"/>
                <w:color w:val="000000"/>
                <w:szCs w:val="21"/>
              </w:rPr>
              <w:t>433</w:t>
            </w:r>
            <w:r>
              <w:rPr>
                <w:rFonts w:asciiTheme="minorEastAsia" w:hAnsiTheme="minorEastAsia" w:eastAsiaTheme="minorEastAsia"/>
                <w:szCs w:val="21"/>
              </w:rPr>
              <w:t>7</w:t>
            </w:r>
          </w:p>
        </w:tc>
        <w:tc>
          <w:tcPr>
            <w:tcW w:w="766"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510</w:t>
            </w:r>
            <w:r>
              <w:rPr>
                <w:rFonts w:asciiTheme="minorEastAsia" w:hAnsiTheme="minorEastAsia" w:eastAsiaTheme="minorEastAsia"/>
                <w:szCs w:val="21"/>
              </w:rPr>
              <w:t>m</w:t>
            </w:r>
          </w:p>
        </w:tc>
        <w:tc>
          <w:tcPr>
            <w:tcW w:w="723"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265</w:t>
            </w:r>
            <w:r>
              <w:rPr>
                <w:rFonts w:asciiTheme="minorEastAsia" w:hAnsiTheme="minorEastAsia" w:eastAsiaTheme="minorEastAsia"/>
                <w:szCs w:val="21"/>
              </w:rPr>
              <w:t>m</w:t>
            </w:r>
          </w:p>
        </w:tc>
        <w:tc>
          <w:tcPr>
            <w:tcW w:w="723" w:type="dxa"/>
            <w:vMerge w:val="restart"/>
            <w:vAlign w:val="center"/>
          </w:tcPr>
          <w:p>
            <w:pPr>
              <w:jc w:val="center"/>
              <w:rPr>
                <w:rFonts w:asciiTheme="minorEastAsia" w:hAnsiTheme="minorEastAsia" w:eastAsiaTheme="minorEastAsia"/>
                <w:szCs w:val="21"/>
              </w:rPr>
            </w:pPr>
            <w:r>
              <w:rPr>
                <w:rFonts w:asciiTheme="minorEastAsia" w:hAnsiTheme="minorEastAsia" w:eastAsiaTheme="minorEastAsia"/>
                <w:szCs w:val="21"/>
              </w:rPr>
              <w:t>5.6m</w:t>
            </w:r>
          </w:p>
        </w:tc>
        <w:tc>
          <w:tcPr>
            <w:tcW w:w="1158"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0.20</w:t>
            </w:r>
          </w:p>
        </w:tc>
        <w:tc>
          <w:tcPr>
            <w:tcW w:w="1013"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5.59</w:t>
            </w:r>
          </w:p>
        </w:tc>
        <w:tc>
          <w:tcPr>
            <w:tcW w:w="1262"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452" w:type="dxa"/>
            <w:vMerge w:val="continue"/>
            <w:vAlign w:val="center"/>
          </w:tcPr>
          <w:p>
            <w:pPr>
              <w:jc w:val="center"/>
              <w:rPr>
                <w:rFonts w:asciiTheme="minorEastAsia" w:hAnsiTheme="minorEastAsia" w:eastAsiaTheme="minorEastAsia"/>
                <w:szCs w:val="21"/>
              </w:rPr>
            </w:pPr>
          </w:p>
        </w:tc>
        <w:tc>
          <w:tcPr>
            <w:tcW w:w="1036" w:type="dxa"/>
            <w:vMerge w:val="continue"/>
            <w:vAlign w:val="center"/>
          </w:tcPr>
          <w:p>
            <w:pPr>
              <w:jc w:val="center"/>
              <w:rPr>
                <w:rFonts w:asciiTheme="minorEastAsia" w:hAnsiTheme="minorEastAsia" w:eastAsiaTheme="minorEastAsia"/>
                <w:szCs w:val="21"/>
              </w:rPr>
            </w:pPr>
          </w:p>
        </w:tc>
        <w:tc>
          <w:tcPr>
            <w:tcW w:w="700"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H</w:t>
            </w:r>
            <w:r>
              <w:rPr>
                <w:rFonts w:asciiTheme="minorEastAsia" w:hAnsiTheme="minorEastAsia" w:eastAsiaTheme="minorEastAsia"/>
                <w:szCs w:val="21"/>
                <w:vertAlign w:val="subscript"/>
              </w:rPr>
              <w:t>2</w:t>
            </w:r>
            <w:r>
              <w:rPr>
                <w:rFonts w:asciiTheme="minorEastAsia" w:hAnsiTheme="minorEastAsia" w:eastAsiaTheme="minorEastAsia"/>
                <w:szCs w:val="21"/>
              </w:rPr>
              <w:t>S</w:t>
            </w:r>
          </w:p>
        </w:tc>
        <w:tc>
          <w:tcPr>
            <w:tcW w:w="1115" w:type="dxa"/>
            <w:vAlign w:val="center"/>
          </w:tcPr>
          <w:p>
            <w:pPr>
              <w:jc w:val="center"/>
              <w:rPr>
                <w:rFonts w:asciiTheme="minorEastAsia" w:hAnsiTheme="minorEastAsia" w:eastAsiaTheme="minorEastAsia"/>
                <w:szCs w:val="21"/>
              </w:rPr>
            </w:pPr>
            <w:r>
              <w:rPr>
                <w:color w:val="000000"/>
                <w:szCs w:val="21"/>
              </w:rPr>
              <w:t>0.1</w:t>
            </w:r>
            <w:r>
              <w:rPr>
                <w:rFonts w:hint="eastAsia"/>
                <w:color w:val="000000"/>
                <w:szCs w:val="21"/>
              </w:rPr>
              <w:t>037</w:t>
            </w:r>
          </w:p>
        </w:tc>
        <w:tc>
          <w:tcPr>
            <w:tcW w:w="766" w:type="dxa"/>
            <w:vMerge w:val="continue"/>
            <w:vAlign w:val="center"/>
          </w:tcPr>
          <w:p>
            <w:pPr>
              <w:jc w:val="center"/>
              <w:rPr>
                <w:rFonts w:asciiTheme="minorEastAsia" w:hAnsiTheme="minorEastAsia" w:eastAsiaTheme="minorEastAsia"/>
                <w:szCs w:val="21"/>
              </w:rPr>
            </w:pPr>
          </w:p>
        </w:tc>
        <w:tc>
          <w:tcPr>
            <w:tcW w:w="723" w:type="dxa"/>
            <w:vMerge w:val="continue"/>
            <w:vAlign w:val="center"/>
          </w:tcPr>
          <w:p>
            <w:pPr>
              <w:jc w:val="center"/>
              <w:rPr>
                <w:rFonts w:asciiTheme="minorEastAsia" w:hAnsiTheme="minorEastAsia" w:eastAsiaTheme="minorEastAsia"/>
                <w:szCs w:val="21"/>
              </w:rPr>
            </w:pPr>
          </w:p>
        </w:tc>
        <w:tc>
          <w:tcPr>
            <w:tcW w:w="723" w:type="dxa"/>
            <w:vMerge w:val="continue"/>
            <w:vAlign w:val="center"/>
          </w:tcPr>
          <w:p>
            <w:pPr>
              <w:jc w:val="center"/>
              <w:rPr>
                <w:rFonts w:asciiTheme="minorEastAsia" w:hAnsiTheme="minorEastAsia" w:eastAsiaTheme="minorEastAsia"/>
                <w:szCs w:val="21"/>
              </w:rPr>
            </w:pPr>
          </w:p>
        </w:tc>
        <w:tc>
          <w:tcPr>
            <w:tcW w:w="1158"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0.01</w:t>
            </w:r>
          </w:p>
        </w:tc>
        <w:tc>
          <w:tcPr>
            <w:tcW w:w="1013"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8.09</w:t>
            </w:r>
          </w:p>
        </w:tc>
        <w:tc>
          <w:tcPr>
            <w:tcW w:w="1262" w:type="dxa"/>
            <w:vAlign w:val="center"/>
          </w:tcPr>
          <w:p>
            <w:pPr>
              <w:jc w:val="center"/>
              <w:rPr>
                <w:rFonts w:asciiTheme="minorEastAsia" w:hAnsiTheme="minorEastAsia" w:eastAsiaTheme="minorEastAsia"/>
                <w:szCs w:val="21"/>
              </w:rPr>
            </w:pPr>
            <w:r>
              <w:rPr>
                <w:rFonts w:asciiTheme="minorEastAsia" w:hAnsiTheme="minorEastAsia" w:eastAsiaTheme="minorEastAsia"/>
                <w:szCs w:val="21"/>
              </w:rPr>
              <w:t>三级</w:t>
            </w:r>
          </w:p>
        </w:tc>
      </w:tr>
    </w:tbl>
    <w:p>
      <w:pPr>
        <w:spacing w:line="500" w:lineRule="exact"/>
        <w:ind w:firstLine="480" w:firstLineChars="200"/>
        <w:rPr>
          <w:b/>
          <w:sz w:val="24"/>
          <w:lang w:val="en-GB"/>
        </w:rPr>
      </w:pPr>
      <w:r>
        <w:rPr>
          <w:sz w:val="24"/>
        </w:rPr>
        <w:t>由表1-7可见，拟建项目污染物排放占标率最大的为场区无组织排放的H</w:t>
      </w:r>
      <w:r>
        <w:rPr>
          <w:sz w:val="24"/>
          <w:vertAlign w:val="subscript"/>
        </w:rPr>
        <w:t>2</w:t>
      </w:r>
      <w:r>
        <w:rPr>
          <w:sz w:val="24"/>
        </w:rPr>
        <w:t>S，其占标率为P</w:t>
      </w:r>
      <w:r>
        <w:rPr>
          <w:rFonts w:eastAsiaTheme="minorEastAsia"/>
          <w:sz w:val="18"/>
          <w:szCs w:val="18"/>
        </w:rPr>
        <w:t xml:space="preserve"> NH</w:t>
      </w:r>
      <w:r>
        <w:rPr>
          <w:rFonts w:eastAsiaTheme="minorEastAsia"/>
          <w:sz w:val="18"/>
          <w:szCs w:val="18"/>
          <w:vertAlign w:val="subscript"/>
        </w:rPr>
        <w:t>3</w:t>
      </w:r>
      <w:r>
        <w:rPr>
          <w:sz w:val="24"/>
          <w:vertAlign w:val="subscript"/>
        </w:rPr>
        <w:t xml:space="preserve"> max</w:t>
      </w:r>
      <w:r>
        <w:rPr>
          <w:sz w:val="24"/>
        </w:rPr>
        <w:t>为</w:t>
      </w:r>
      <w:r>
        <w:rPr>
          <w:rFonts w:hint="eastAsia"/>
          <w:sz w:val="24"/>
        </w:rPr>
        <w:t>8.09</w:t>
      </w:r>
      <w:r>
        <w:rPr>
          <w:sz w:val="24"/>
        </w:rPr>
        <w:t>%＜10%，确定环境空气影响评价为二级评价。</w:t>
      </w:r>
      <w:r>
        <w:rPr>
          <w:sz w:val="24"/>
          <w:lang w:val="en-GB"/>
        </w:rPr>
        <w:t>根据《环境影响评价技术导则—大气环境》（HJ2.2-20</w:t>
      </w:r>
      <w:r>
        <w:rPr>
          <w:rFonts w:hint="eastAsia"/>
          <w:sz w:val="24"/>
          <w:lang w:val="en-GB"/>
        </w:rPr>
        <w:t>1</w:t>
      </w:r>
      <w:r>
        <w:rPr>
          <w:sz w:val="24"/>
          <w:lang w:val="en-GB"/>
        </w:rPr>
        <w:t>8）中的规定，评价范围的直径或边长一般不应小于5km，环境空气评价范围定为以场区中心点为中点，边长为5km的正方形区域范围内</w:t>
      </w:r>
      <w:r>
        <w:rPr>
          <w:b/>
          <w:sz w:val="24"/>
          <w:lang w:val="en-GB"/>
        </w:rPr>
        <w:t>。</w:t>
      </w:r>
    </w:p>
    <w:p>
      <w:pPr>
        <w:spacing w:line="600" w:lineRule="exact"/>
        <w:outlineLvl w:val="2"/>
        <w:rPr>
          <w:color w:val="000000"/>
          <w:sz w:val="24"/>
        </w:rPr>
      </w:pPr>
      <w:r>
        <w:rPr>
          <w:b/>
          <w:color w:val="000000"/>
          <w:sz w:val="24"/>
        </w:rPr>
        <w:t>1.10.2地表水</w:t>
      </w:r>
    </w:p>
    <w:p>
      <w:pPr>
        <w:spacing w:line="520" w:lineRule="exact"/>
        <w:ind w:firstLine="482" w:firstLineChars="200"/>
        <w:rPr>
          <w:b/>
          <w:bCs/>
          <w:sz w:val="24"/>
          <w:u w:val="single"/>
        </w:rPr>
      </w:pPr>
      <w:r>
        <w:rPr>
          <w:b/>
          <w:bCs/>
          <w:sz w:val="24"/>
          <w:u w:val="single"/>
        </w:rPr>
        <w:t>拟建项目所产生的废水主要污染物为COD、BOD</w:t>
      </w:r>
      <w:r>
        <w:rPr>
          <w:b/>
          <w:bCs/>
          <w:sz w:val="24"/>
          <w:u w:val="single"/>
          <w:vertAlign w:val="subscript"/>
        </w:rPr>
        <w:t>5</w:t>
      </w:r>
      <w:r>
        <w:rPr>
          <w:b/>
          <w:bCs/>
          <w:sz w:val="24"/>
          <w:u w:val="single"/>
        </w:rPr>
        <w:t>、NH</w:t>
      </w:r>
      <w:r>
        <w:rPr>
          <w:b/>
          <w:bCs/>
          <w:sz w:val="24"/>
          <w:u w:val="single"/>
          <w:vertAlign w:val="subscript"/>
        </w:rPr>
        <w:t>3</w:t>
      </w:r>
      <w:r>
        <w:rPr>
          <w:b/>
          <w:bCs/>
          <w:sz w:val="24"/>
          <w:u w:val="single"/>
        </w:rPr>
        <w:t>-N等，全部实现综合利用，无废水外排。根据《环境影响评价技术导则—地表水环境》（HJ2.3-2018）表1中所列出的地面水环境影响评价分级判据标准，本项目地面水环境影响评价工作等级确定因素见</w:t>
      </w:r>
      <w:r>
        <w:rPr>
          <w:b/>
          <w:bCs/>
          <w:u w:val="single"/>
        </w:rPr>
        <w:fldChar w:fldCharType="begin"/>
      </w:r>
      <w:r>
        <w:rPr>
          <w:b/>
          <w:bCs/>
          <w:u w:val="single"/>
        </w:rPr>
        <w:instrText xml:space="preserve"> REF _Ref478120750 \h  \* MERGEFORMAT </w:instrText>
      </w:r>
      <w:r>
        <w:rPr>
          <w:b/>
          <w:bCs/>
          <w:u w:val="single"/>
        </w:rPr>
        <w:fldChar w:fldCharType="separate"/>
      </w:r>
      <w:r>
        <w:rPr>
          <w:b/>
          <w:bCs/>
          <w:sz w:val="24"/>
          <w:u w:val="single"/>
        </w:rPr>
        <w:t>表</w:t>
      </w:r>
      <w:r>
        <w:rPr>
          <w:b/>
          <w:bCs/>
          <w:sz w:val="24"/>
          <w:u w:val="single"/>
        </w:rPr>
        <w:fldChar w:fldCharType="end"/>
      </w:r>
      <w:r>
        <w:rPr>
          <w:b/>
          <w:bCs/>
          <w:sz w:val="24"/>
          <w:u w:val="single"/>
        </w:rPr>
        <w:t>。</w:t>
      </w:r>
    </w:p>
    <w:p>
      <w:pPr>
        <w:spacing w:before="156" w:line="500" w:lineRule="exact"/>
        <w:jc w:val="center"/>
        <w:rPr>
          <w:b/>
          <w:bCs/>
          <w:szCs w:val="21"/>
          <w:u w:val="single"/>
        </w:rPr>
      </w:pPr>
      <w:bookmarkStart w:id="33" w:name="_Ref478120750"/>
      <w:r>
        <w:rPr>
          <w:b/>
          <w:bCs/>
          <w:szCs w:val="21"/>
          <w:u w:val="single"/>
        </w:rPr>
        <w:t xml:space="preserve">表 </w:t>
      </w:r>
      <w:bookmarkEnd w:id="33"/>
      <w:r>
        <w:rPr>
          <w:b/>
          <w:bCs/>
          <w:szCs w:val="21"/>
          <w:u w:val="single"/>
        </w:rPr>
        <w:t>1-8    地表水环境评价工作等级判定表</w:t>
      </w:r>
    </w:p>
    <w:tbl>
      <w:tblPr>
        <w:tblStyle w:val="44"/>
        <w:tblW w:w="89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3586"/>
        <w:gridCol w:w="32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vMerge w:val="restart"/>
            <w:noWrap/>
            <w:vAlign w:val="center"/>
          </w:tcPr>
          <w:p>
            <w:pPr>
              <w:jc w:val="center"/>
              <w:rPr>
                <w:b/>
                <w:bCs/>
                <w:kern w:val="0"/>
                <w:szCs w:val="21"/>
                <w:u w:val="single"/>
              </w:rPr>
            </w:pPr>
            <w:r>
              <w:rPr>
                <w:b/>
                <w:bCs/>
                <w:kern w:val="0"/>
                <w:szCs w:val="21"/>
                <w:u w:val="single"/>
              </w:rPr>
              <w:t>判定等级</w:t>
            </w:r>
          </w:p>
        </w:tc>
        <w:tc>
          <w:tcPr>
            <w:tcW w:w="6866" w:type="dxa"/>
            <w:gridSpan w:val="2"/>
            <w:noWrap/>
            <w:vAlign w:val="center"/>
          </w:tcPr>
          <w:p>
            <w:pPr>
              <w:jc w:val="center"/>
              <w:rPr>
                <w:b/>
                <w:bCs/>
                <w:kern w:val="0"/>
                <w:szCs w:val="21"/>
                <w:u w:val="single"/>
              </w:rPr>
            </w:pPr>
            <w:r>
              <w:rPr>
                <w:b/>
                <w:bCs/>
                <w:kern w:val="0"/>
                <w:szCs w:val="21"/>
                <w:u w:val="single"/>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vMerge w:val="continue"/>
            <w:noWrap/>
            <w:vAlign w:val="center"/>
          </w:tcPr>
          <w:p>
            <w:pPr>
              <w:jc w:val="center"/>
              <w:rPr>
                <w:b/>
                <w:bCs/>
                <w:kern w:val="0"/>
                <w:szCs w:val="21"/>
                <w:u w:val="single"/>
              </w:rPr>
            </w:pPr>
          </w:p>
        </w:tc>
        <w:tc>
          <w:tcPr>
            <w:tcW w:w="3586" w:type="dxa"/>
            <w:noWrap/>
            <w:vAlign w:val="center"/>
          </w:tcPr>
          <w:p>
            <w:pPr>
              <w:jc w:val="center"/>
              <w:rPr>
                <w:b/>
                <w:bCs/>
                <w:kern w:val="0"/>
                <w:szCs w:val="21"/>
                <w:u w:val="single"/>
              </w:rPr>
            </w:pPr>
            <w:r>
              <w:rPr>
                <w:b/>
                <w:bCs/>
                <w:kern w:val="0"/>
                <w:szCs w:val="21"/>
                <w:u w:val="single"/>
              </w:rPr>
              <w:t>排放方式</w:t>
            </w:r>
          </w:p>
        </w:tc>
        <w:tc>
          <w:tcPr>
            <w:tcW w:w="3280" w:type="dxa"/>
            <w:noWrap/>
            <w:vAlign w:val="center"/>
          </w:tcPr>
          <w:p>
            <w:pPr>
              <w:jc w:val="center"/>
              <w:rPr>
                <w:b/>
                <w:bCs/>
                <w:kern w:val="0"/>
                <w:szCs w:val="21"/>
                <w:u w:val="single"/>
              </w:rPr>
            </w:pPr>
            <w:r>
              <w:rPr>
                <w:b/>
                <w:bCs/>
                <w:kern w:val="0"/>
                <w:szCs w:val="21"/>
                <w:u w:val="single"/>
              </w:rPr>
              <w:t>废水排放量Q/（m</w:t>
            </w:r>
            <w:r>
              <w:rPr>
                <w:b/>
                <w:bCs/>
                <w:kern w:val="0"/>
                <w:szCs w:val="21"/>
                <w:u w:val="single"/>
                <w:vertAlign w:val="superscript"/>
              </w:rPr>
              <w:t>3</w:t>
            </w:r>
            <w:r>
              <w:rPr>
                <w:b/>
                <w:bCs/>
                <w:kern w:val="0"/>
                <w:szCs w:val="21"/>
                <w:u w:val="single"/>
              </w:rPr>
              <w:t>/d）；</w:t>
            </w:r>
          </w:p>
          <w:p>
            <w:pPr>
              <w:jc w:val="center"/>
              <w:rPr>
                <w:b/>
                <w:bCs/>
                <w:kern w:val="0"/>
                <w:szCs w:val="21"/>
                <w:u w:val="single"/>
              </w:rPr>
            </w:pPr>
            <w:r>
              <w:rPr>
                <w:b/>
                <w:bCs/>
                <w:kern w:val="0"/>
                <w:szCs w:val="21"/>
                <w:u w:val="single"/>
              </w:rPr>
              <w:t>水污染物当量数W/（无量纲）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noWrap/>
            <w:vAlign w:val="center"/>
          </w:tcPr>
          <w:p>
            <w:pPr>
              <w:jc w:val="center"/>
              <w:rPr>
                <w:b/>
                <w:bCs/>
                <w:kern w:val="0"/>
                <w:szCs w:val="21"/>
                <w:u w:val="single"/>
              </w:rPr>
            </w:pPr>
            <w:r>
              <w:rPr>
                <w:b/>
                <w:bCs/>
                <w:kern w:val="0"/>
                <w:szCs w:val="21"/>
                <w:u w:val="single"/>
              </w:rPr>
              <w:t>一级</w:t>
            </w:r>
          </w:p>
        </w:tc>
        <w:tc>
          <w:tcPr>
            <w:tcW w:w="3586" w:type="dxa"/>
            <w:noWrap/>
            <w:vAlign w:val="center"/>
          </w:tcPr>
          <w:p>
            <w:pPr>
              <w:jc w:val="center"/>
              <w:rPr>
                <w:b/>
                <w:bCs/>
                <w:kern w:val="0"/>
                <w:szCs w:val="21"/>
                <w:u w:val="single"/>
              </w:rPr>
            </w:pPr>
            <w:r>
              <w:rPr>
                <w:b/>
                <w:bCs/>
                <w:kern w:val="0"/>
                <w:szCs w:val="21"/>
                <w:u w:val="single"/>
              </w:rPr>
              <w:t>直接排放</w:t>
            </w:r>
          </w:p>
        </w:tc>
        <w:tc>
          <w:tcPr>
            <w:tcW w:w="3280" w:type="dxa"/>
            <w:noWrap/>
            <w:vAlign w:val="center"/>
          </w:tcPr>
          <w:p>
            <w:pPr>
              <w:jc w:val="center"/>
              <w:rPr>
                <w:b/>
                <w:bCs/>
                <w:kern w:val="0"/>
                <w:szCs w:val="21"/>
                <w:u w:val="single"/>
              </w:rPr>
            </w:pPr>
            <w:r>
              <w:rPr>
                <w:b/>
                <w:bCs/>
                <w:kern w:val="0"/>
                <w:szCs w:val="21"/>
                <w:u w:val="single"/>
              </w:rPr>
              <w:t>Q≥16667或W≥600000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noWrap/>
            <w:vAlign w:val="center"/>
          </w:tcPr>
          <w:p>
            <w:pPr>
              <w:jc w:val="center"/>
              <w:rPr>
                <w:b/>
                <w:bCs/>
                <w:kern w:val="0"/>
                <w:szCs w:val="21"/>
                <w:u w:val="single"/>
              </w:rPr>
            </w:pPr>
            <w:r>
              <w:rPr>
                <w:b/>
                <w:bCs/>
                <w:kern w:val="0"/>
                <w:szCs w:val="21"/>
                <w:u w:val="single"/>
              </w:rPr>
              <w:t>二级</w:t>
            </w:r>
          </w:p>
        </w:tc>
        <w:tc>
          <w:tcPr>
            <w:tcW w:w="3586" w:type="dxa"/>
            <w:noWrap/>
            <w:vAlign w:val="center"/>
          </w:tcPr>
          <w:p>
            <w:pPr>
              <w:jc w:val="center"/>
              <w:rPr>
                <w:b/>
                <w:bCs/>
                <w:kern w:val="0"/>
                <w:szCs w:val="21"/>
                <w:u w:val="single"/>
              </w:rPr>
            </w:pPr>
            <w:r>
              <w:rPr>
                <w:b/>
                <w:bCs/>
                <w:kern w:val="0"/>
                <w:szCs w:val="21"/>
                <w:u w:val="single"/>
              </w:rPr>
              <w:t>直接排放</w:t>
            </w:r>
          </w:p>
        </w:tc>
        <w:tc>
          <w:tcPr>
            <w:tcW w:w="3280" w:type="dxa"/>
            <w:noWrap/>
            <w:vAlign w:val="center"/>
          </w:tcPr>
          <w:p>
            <w:pPr>
              <w:jc w:val="center"/>
              <w:rPr>
                <w:b/>
                <w:bCs/>
                <w:kern w:val="0"/>
                <w:szCs w:val="21"/>
                <w:u w:val="single"/>
              </w:rPr>
            </w:pPr>
            <w:r>
              <w:rPr>
                <w:b/>
                <w:bCs/>
                <w:kern w:val="0"/>
                <w:szCs w:val="21"/>
                <w:u w:val="single"/>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noWrap/>
            <w:vAlign w:val="center"/>
          </w:tcPr>
          <w:p>
            <w:pPr>
              <w:jc w:val="center"/>
              <w:rPr>
                <w:b/>
                <w:bCs/>
                <w:kern w:val="0"/>
                <w:szCs w:val="21"/>
                <w:u w:val="single"/>
              </w:rPr>
            </w:pPr>
            <w:r>
              <w:rPr>
                <w:b/>
                <w:bCs/>
                <w:kern w:val="0"/>
                <w:szCs w:val="21"/>
                <w:u w:val="single"/>
              </w:rPr>
              <w:t>三级A</w:t>
            </w:r>
          </w:p>
        </w:tc>
        <w:tc>
          <w:tcPr>
            <w:tcW w:w="3586" w:type="dxa"/>
            <w:noWrap/>
            <w:vAlign w:val="center"/>
          </w:tcPr>
          <w:p>
            <w:pPr>
              <w:jc w:val="center"/>
              <w:rPr>
                <w:b/>
                <w:bCs/>
                <w:kern w:val="0"/>
                <w:szCs w:val="21"/>
                <w:u w:val="single"/>
              </w:rPr>
            </w:pPr>
            <w:r>
              <w:rPr>
                <w:b/>
                <w:bCs/>
                <w:kern w:val="0"/>
                <w:szCs w:val="21"/>
                <w:u w:val="single"/>
              </w:rPr>
              <w:t>直接排放</w:t>
            </w:r>
          </w:p>
        </w:tc>
        <w:tc>
          <w:tcPr>
            <w:tcW w:w="3280" w:type="dxa"/>
            <w:noWrap/>
            <w:vAlign w:val="center"/>
          </w:tcPr>
          <w:p>
            <w:pPr>
              <w:jc w:val="center"/>
              <w:rPr>
                <w:b/>
                <w:bCs/>
                <w:kern w:val="0"/>
                <w:szCs w:val="21"/>
                <w:u w:val="single"/>
              </w:rPr>
            </w:pPr>
            <w:r>
              <w:rPr>
                <w:b/>
                <w:bCs/>
                <w:kern w:val="0"/>
                <w:szCs w:val="21"/>
                <w:u w:val="single"/>
              </w:rPr>
              <w:t>Q﹤200且W﹤6000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noWrap/>
            <w:vAlign w:val="center"/>
          </w:tcPr>
          <w:p>
            <w:pPr>
              <w:jc w:val="center"/>
              <w:rPr>
                <w:b/>
                <w:bCs/>
                <w:kern w:val="0"/>
                <w:szCs w:val="21"/>
                <w:u w:val="single"/>
              </w:rPr>
            </w:pPr>
            <w:r>
              <w:rPr>
                <w:b/>
                <w:bCs/>
                <w:kern w:val="0"/>
                <w:szCs w:val="21"/>
                <w:u w:val="single"/>
              </w:rPr>
              <w:t>三级B</w:t>
            </w:r>
          </w:p>
        </w:tc>
        <w:tc>
          <w:tcPr>
            <w:tcW w:w="3586" w:type="dxa"/>
            <w:noWrap/>
            <w:vAlign w:val="center"/>
          </w:tcPr>
          <w:p>
            <w:pPr>
              <w:jc w:val="center"/>
              <w:rPr>
                <w:b/>
                <w:bCs/>
                <w:kern w:val="0"/>
                <w:szCs w:val="21"/>
                <w:u w:val="single"/>
              </w:rPr>
            </w:pPr>
            <w:r>
              <w:rPr>
                <w:b/>
                <w:bCs/>
                <w:kern w:val="0"/>
                <w:szCs w:val="21"/>
                <w:u w:val="single"/>
              </w:rPr>
              <w:t>间接排放</w:t>
            </w:r>
          </w:p>
        </w:tc>
        <w:tc>
          <w:tcPr>
            <w:tcW w:w="3280" w:type="dxa"/>
            <w:noWrap/>
            <w:vAlign w:val="center"/>
          </w:tcPr>
          <w:p>
            <w:pPr>
              <w:jc w:val="center"/>
              <w:rPr>
                <w:b/>
                <w:bCs/>
                <w:kern w:val="0"/>
                <w:szCs w:val="21"/>
                <w:u w:val="single"/>
              </w:rPr>
            </w:pPr>
            <w:r>
              <w:rPr>
                <w:b/>
                <w:bCs/>
                <w:kern w:val="0"/>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80" w:type="dxa"/>
            <w:noWrap/>
            <w:vAlign w:val="center"/>
          </w:tcPr>
          <w:p>
            <w:pPr>
              <w:jc w:val="center"/>
              <w:rPr>
                <w:b/>
                <w:bCs/>
                <w:kern w:val="0"/>
                <w:szCs w:val="21"/>
                <w:u w:val="single"/>
              </w:rPr>
            </w:pPr>
            <w:r>
              <w:rPr>
                <w:b/>
                <w:bCs/>
                <w:kern w:val="0"/>
                <w:szCs w:val="21"/>
                <w:u w:val="single"/>
              </w:rPr>
              <w:t>本项目</w:t>
            </w:r>
          </w:p>
        </w:tc>
        <w:tc>
          <w:tcPr>
            <w:tcW w:w="6866" w:type="dxa"/>
            <w:gridSpan w:val="2"/>
            <w:noWrap/>
            <w:vAlign w:val="center"/>
          </w:tcPr>
          <w:p>
            <w:pPr>
              <w:jc w:val="center"/>
              <w:rPr>
                <w:b/>
                <w:bCs/>
                <w:kern w:val="0"/>
                <w:szCs w:val="21"/>
                <w:u w:val="single"/>
              </w:rPr>
            </w:pPr>
            <w:r>
              <w:rPr>
                <w:b/>
                <w:bCs/>
                <w:kern w:val="0"/>
                <w:szCs w:val="21"/>
                <w:u w:val="single"/>
              </w:rPr>
              <w:t>有废水产生，但综合利用，不排放到外环境，按三级B评价</w:t>
            </w:r>
          </w:p>
        </w:tc>
      </w:tr>
    </w:tbl>
    <w:p>
      <w:pPr>
        <w:spacing w:line="520" w:lineRule="exact"/>
        <w:ind w:firstLine="482" w:firstLineChars="200"/>
        <w:rPr>
          <w:b/>
          <w:bCs/>
          <w:sz w:val="24"/>
          <w:u w:val="single"/>
        </w:rPr>
      </w:pPr>
      <w:r>
        <w:rPr>
          <w:b/>
          <w:bCs/>
          <w:sz w:val="24"/>
          <w:u w:val="single"/>
        </w:rPr>
        <w:t>根据上表可知，本项目地表水影响评价等级为三级B。重点针对污水处理综合利用的措施、途径及利用的可行性进行分析。</w:t>
      </w:r>
    </w:p>
    <w:p>
      <w:pPr>
        <w:spacing w:line="600" w:lineRule="exact"/>
        <w:outlineLvl w:val="2"/>
        <w:rPr>
          <w:color w:val="000000"/>
          <w:sz w:val="24"/>
        </w:rPr>
      </w:pPr>
      <w:r>
        <w:rPr>
          <w:b/>
          <w:color w:val="000000"/>
          <w:sz w:val="24"/>
        </w:rPr>
        <w:t>1.10.3地下水</w:t>
      </w:r>
    </w:p>
    <w:p>
      <w:pPr>
        <w:spacing w:line="520" w:lineRule="exact"/>
        <w:ind w:firstLine="480" w:firstLineChars="200"/>
        <w:rPr>
          <w:bCs/>
          <w:snapToGrid w:val="0"/>
          <w:kern w:val="0"/>
          <w:sz w:val="24"/>
        </w:rPr>
      </w:pPr>
      <w:r>
        <w:rPr>
          <w:bCs/>
          <w:color w:val="000000"/>
          <w:sz w:val="24"/>
        </w:rPr>
        <w:t>本项目用水取自地下水井，在建设及生产运行过程中对地下水影响主要为沼液综合利用通过土壤渗透可能造成地下水水质污染，</w:t>
      </w:r>
      <w:r>
        <w:rPr>
          <w:bCs/>
          <w:snapToGrid w:val="0"/>
          <w:kern w:val="0"/>
          <w:sz w:val="24"/>
        </w:rPr>
        <w:t>对照《环境影响评价技术导则 地下水环境》（HJ610-2016）附表A，项目属于</w:t>
      </w:r>
      <w:r>
        <w:rPr>
          <w:rFonts w:hint="eastAsia" w:ascii="宋体" w:hAnsi="宋体" w:cs="宋体"/>
          <w:bCs/>
          <w:snapToGrid w:val="0"/>
          <w:kern w:val="0"/>
          <w:sz w:val="24"/>
        </w:rPr>
        <w:t>Ⅲ</w:t>
      </w:r>
      <w:r>
        <w:rPr>
          <w:bCs/>
          <w:snapToGrid w:val="0"/>
          <w:kern w:val="0"/>
          <w:sz w:val="24"/>
        </w:rPr>
        <w:t>类建设项目，项目不涉及饮用水源保护区，根据地下水敏感程度分级表本项目</w:t>
      </w:r>
      <w:r>
        <w:rPr>
          <w:sz w:val="24"/>
        </w:rPr>
        <w:t>所在</w:t>
      </w:r>
      <w:r>
        <w:rPr>
          <w:bCs/>
          <w:snapToGrid w:val="0"/>
          <w:kern w:val="0"/>
          <w:sz w:val="24"/>
        </w:rPr>
        <w:t>区域地下水敏感程度为不敏感。</w:t>
      </w:r>
    </w:p>
    <w:p>
      <w:pPr>
        <w:spacing w:line="520" w:lineRule="exact"/>
        <w:ind w:firstLine="480" w:firstLineChars="200"/>
        <w:rPr>
          <w:sz w:val="24"/>
        </w:rPr>
      </w:pPr>
      <w:r>
        <w:rPr>
          <w:sz w:val="24"/>
        </w:rPr>
        <w:t>根据《环境影响评价技术导则  地下水环境》（HJ610-2016）地下水敏感程度可分为敏感、较敏感、不敏感三级，地下水敏感程度分级表见</w:t>
      </w:r>
      <w:r>
        <w:fldChar w:fldCharType="begin"/>
      </w:r>
      <w:r>
        <w:instrText xml:space="preserve"> REF _Ref478121195 \h  \* MERGEFORMAT </w:instrText>
      </w:r>
      <w:r>
        <w:fldChar w:fldCharType="separate"/>
      </w:r>
      <w:r>
        <w:rPr>
          <w:sz w:val="24"/>
        </w:rPr>
        <w:t xml:space="preserve">表 </w:t>
      </w:r>
      <w:r>
        <w:rPr>
          <w:sz w:val="24"/>
        </w:rPr>
        <w:fldChar w:fldCharType="end"/>
      </w:r>
      <w:r>
        <w:rPr>
          <w:sz w:val="24"/>
        </w:rPr>
        <w:t>。</w:t>
      </w:r>
    </w:p>
    <w:p>
      <w:pPr>
        <w:spacing w:before="156" w:line="500" w:lineRule="exact"/>
        <w:jc w:val="center"/>
        <w:rPr>
          <w:b/>
          <w:bCs/>
          <w:szCs w:val="21"/>
        </w:rPr>
      </w:pPr>
      <w:bookmarkStart w:id="34" w:name="_Ref478121195"/>
      <w:r>
        <w:rPr>
          <w:b/>
          <w:bCs/>
          <w:szCs w:val="21"/>
        </w:rPr>
        <w:t xml:space="preserve">表 </w:t>
      </w:r>
      <w:bookmarkEnd w:id="34"/>
      <w:r>
        <w:rPr>
          <w:b/>
          <w:bCs/>
          <w:szCs w:val="21"/>
        </w:rPr>
        <w:t>1-9  地下水敏感程度分级表</w:t>
      </w:r>
    </w:p>
    <w:tbl>
      <w:tblPr>
        <w:tblStyle w:val="44"/>
        <w:tblW w:w="894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72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tblHeader/>
        </w:trPr>
        <w:tc>
          <w:tcPr>
            <w:tcW w:w="1683" w:type="dxa"/>
            <w:noWrap/>
            <w:vAlign w:val="center"/>
          </w:tcPr>
          <w:p>
            <w:pPr>
              <w:adjustRightInd w:val="0"/>
              <w:snapToGrid w:val="0"/>
              <w:spacing w:line="360" w:lineRule="exact"/>
              <w:jc w:val="center"/>
              <w:rPr>
                <w:bCs/>
                <w:kern w:val="0"/>
                <w:szCs w:val="21"/>
                <w:lang w:val="en-GB"/>
              </w:rPr>
            </w:pPr>
            <w:r>
              <w:rPr>
                <w:bCs/>
                <w:kern w:val="0"/>
                <w:szCs w:val="21"/>
                <w:lang w:val="en-GB"/>
              </w:rPr>
              <w:t>敏感程度</w:t>
            </w:r>
          </w:p>
        </w:tc>
        <w:tc>
          <w:tcPr>
            <w:tcW w:w="7263" w:type="dxa"/>
            <w:noWrap/>
            <w:vAlign w:val="center"/>
          </w:tcPr>
          <w:p>
            <w:pPr>
              <w:adjustRightInd w:val="0"/>
              <w:snapToGrid w:val="0"/>
              <w:spacing w:line="360" w:lineRule="exact"/>
              <w:jc w:val="center"/>
              <w:rPr>
                <w:bCs/>
                <w:kern w:val="0"/>
                <w:szCs w:val="21"/>
                <w:lang w:val="en-GB"/>
              </w:rPr>
            </w:pPr>
            <w:r>
              <w:rPr>
                <w:bCs/>
                <w:kern w:val="0"/>
                <w:szCs w:val="21"/>
                <w:lang w:val="en-GB"/>
              </w:rP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3" w:type="dxa"/>
            <w:noWrap/>
            <w:vAlign w:val="center"/>
          </w:tcPr>
          <w:p>
            <w:pPr>
              <w:spacing w:line="360" w:lineRule="exact"/>
              <w:jc w:val="center"/>
              <w:rPr>
                <w:bCs/>
                <w:kern w:val="0"/>
                <w:szCs w:val="21"/>
                <w:lang w:val="en-GB"/>
              </w:rPr>
            </w:pPr>
            <w:r>
              <w:rPr>
                <w:bCs/>
                <w:kern w:val="0"/>
                <w:szCs w:val="21"/>
                <w:lang w:val="en-GB"/>
              </w:rPr>
              <w:t>敏感</w:t>
            </w:r>
          </w:p>
        </w:tc>
        <w:tc>
          <w:tcPr>
            <w:tcW w:w="7263" w:type="dxa"/>
            <w:noWrap/>
            <w:vAlign w:val="center"/>
          </w:tcPr>
          <w:p>
            <w:pPr>
              <w:spacing w:line="360" w:lineRule="exact"/>
              <w:jc w:val="center"/>
              <w:rPr>
                <w:bCs/>
                <w:kern w:val="0"/>
                <w:szCs w:val="21"/>
                <w:lang w:val="en-GB"/>
              </w:rPr>
            </w:pPr>
            <w:r>
              <w:rPr>
                <w:bCs/>
                <w:kern w:val="0"/>
                <w:szCs w:val="21"/>
                <w:lang w:val="en-GB"/>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3" w:type="dxa"/>
            <w:noWrap/>
            <w:vAlign w:val="center"/>
          </w:tcPr>
          <w:p>
            <w:pPr>
              <w:spacing w:line="360" w:lineRule="exact"/>
              <w:jc w:val="center"/>
              <w:rPr>
                <w:bCs/>
                <w:kern w:val="0"/>
                <w:szCs w:val="21"/>
                <w:lang w:val="en-GB"/>
              </w:rPr>
            </w:pPr>
            <w:r>
              <w:rPr>
                <w:bCs/>
                <w:kern w:val="0"/>
                <w:szCs w:val="21"/>
                <w:lang w:val="en-GB"/>
              </w:rPr>
              <w:t>较敏感</w:t>
            </w:r>
          </w:p>
        </w:tc>
        <w:tc>
          <w:tcPr>
            <w:tcW w:w="7263" w:type="dxa"/>
            <w:noWrap/>
            <w:vAlign w:val="center"/>
          </w:tcPr>
          <w:p>
            <w:pPr>
              <w:spacing w:line="360" w:lineRule="exact"/>
              <w:jc w:val="center"/>
              <w:rPr>
                <w:bCs/>
                <w:kern w:val="0"/>
                <w:szCs w:val="21"/>
                <w:lang w:val="en-GB"/>
              </w:rPr>
            </w:pPr>
            <w:r>
              <w:rPr>
                <w:bCs/>
                <w:kern w:val="0"/>
                <w:szCs w:val="21"/>
                <w:lang w:val="en-GB"/>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3" w:type="dxa"/>
            <w:noWrap/>
            <w:vAlign w:val="center"/>
          </w:tcPr>
          <w:p>
            <w:pPr>
              <w:spacing w:line="360" w:lineRule="exact"/>
              <w:jc w:val="center"/>
              <w:rPr>
                <w:bCs/>
                <w:kern w:val="0"/>
                <w:szCs w:val="21"/>
                <w:lang w:val="en-GB"/>
              </w:rPr>
            </w:pPr>
            <w:r>
              <w:rPr>
                <w:bCs/>
                <w:kern w:val="0"/>
                <w:szCs w:val="21"/>
                <w:lang w:val="en-GB"/>
              </w:rPr>
              <w:t>不敏感</w:t>
            </w:r>
          </w:p>
        </w:tc>
        <w:tc>
          <w:tcPr>
            <w:tcW w:w="7263" w:type="dxa"/>
            <w:noWrap/>
            <w:vAlign w:val="center"/>
          </w:tcPr>
          <w:p>
            <w:pPr>
              <w:spacing w:line="360" w:lineRule="exact"/>
              <w:jc w:val="center"/>
              <w:rPr>
                <w:bCs/>
                <w:kern w:val="0"/>
                <w:szCs w:val="21"/>
                <w:lang w:val="en-GB"/>
              </w:rPr>
            </w:pPr>
            <w:r>
              <w:rPr>
                <w:bCs/>
                <w:kern w:val="0"/>
                <w:szCs w:val="21"/>
                <w:lang w:val="en-GB"/>
              </w:rPr>
              <w:t>上述地区之外的其它区域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46" w:type="dxa"/>
            <w:gridSpan w:val="2"/>
            <w:noWrap/>
            <w:vAlign w:val="center"/>
          </w:tcPr>
          <w:p>
            <w:pPr>
              <w:spacing w:line="360" w:lineRule="exact"/>
              <w:jc w:val="center"/>
              <w:rPr>
                <w:bCs/>
                <w:kern w:val="0"/>
                <w:szCs w:val="21"/>
                <w:lang w:val="en-GB"/>
              </w:rPr>
            </w:pPr>
            <w:r>
              <w:rPr>
                <w:bCs/>
                <w:kern w:val="0"/>
                <w:szCs w:val="21"/>
                <w:lang w:val="en-GB"/>
              </w:rPr>
              <w:t>注：a“环境敏感区”是指《建设项目环境影响评价分类管理名录》</w:t>
            </w:r>
          </w:p>
          <w:p>
            <w:pPr>
              <w:spacing w:line="360" w:lineRule="exact"/>
              <w:jc w:val="center"/>
              <w:rPr>
                <w:bCs/>
                <w:kern w:val="0"/>
                <w:szCs w:val="21"/>
                <w:lang w:val="en-GB"/>
              </w:rPr>
            </w:pPr>
            <w:r>
              <w:rPr>
                <w:bCs/>
                <w:kern w:val="0"/>
                <w:szCs w:val="21"/>
                <w:lang w:val="en-GB"/>
              </w:rPr>
              <w:t>中所界定的涉及地下水的环境敏感区</w:t>
            </w:r>
          </w:p>
        </w:tc>
      </w:tr>
    </w:tbl>
    <w:p>
      <w:pPr>
        <w:widowControl/>
        <w:spacing w:line="520" w:lineRule="exact"/>
        <w:ind w:firstLine="480" w:firstLineChars="200"/>
        <w:rPr>
          <w:spacing w:val="4"/>
          <w:sz w:val="24"/>
        </w:rPr>
      </w:pPr>
      <w:r>
        <w:rPr>
          <w:bCs/>
          <w:sz w:val="24"/>
        </w:rPr>
        <w:t>本项目不在平舆县集中饮用水源地一级保护区、二级保护区范围内，不属于热水、矿泉水、温泉等特殊地下水源保护区，亦非平舆县地下水集中饮用水源地主要补给区和径流区。同时场地内无分散居民饮用水源等其它环境敏感区，项目场地地下水敏感程度为不敏感。</w:t>
      </w:r>
      <w:r>
        <w:rPr>
          <w:spacing w:val="-4"/>
          <w:sz w:val="24"/>
        </w:rPr>
        <w:t>依据建设项目类别和地下水敏感程度，</w:t>
      </w:r>
      <w:r>
        <w:rPr>
          <w:spacing w:val="4"/>
          <w:sz w:val="24"/>
        </w:rPr>
        <w:t>地下水环境影响评价工作等级为三级。</w:t>
      </w:r>
    </w:p>
    <w:p>
      <w:pPr>
        <w:spacing w:line="520" w:lineRule="exact"/>
        <w:ind w:firstLine="480" w:firstLineChars="200"/>
        <w:rPr>
          <w:bCs/>
          <w:sz w:val="24"/>
        </w:rPr>
      </w:pPr>
      <w:r>
        <w:rPr>
          <w:bCs/>
          <w:sz w:val="24"/>
        </w:rPr>
        <w:t>评价范围：养殖场及沼液消纳地周边1km范围内浅层地下水。</w:t>
      </w:r>
    </w:p>
    <w:p>
      <w:pPr>
        <w:spacing w:line="600" w:lineRule="exact"/>
        <w:outlineLvl w:val="2"/>
        <w:rPr>
          <w:color w:val="000000"/>
          <w:sz w:val="24"/>
        </w:rPr>
      </w:pPr>
      <w:r>
        <w:rPr>
          <w:b/>
          <w:color w:val="000000"/>
          <w:sz w:val="24"/>
        </w:rPr>
        <w:t>1.10.4噪声</w:t>
      </w:r>
    </w:p>
    <w:p>
      <w:pPr>
        <w:spacing w:line="500" w:lineRule="exact"/>
        <w:ind w:firstLine="480" w:firstLineChars="200"/>
        <w:rPr>
          <w:color w:val="000000"/>
          <w:sz w:val="24"/>
        </w:rPr>
      </w:pPr>
      <w:r>
        <w:rPr>
          <w:color w:val="000000"/>
          <w:sz w:val="24"/>
        </w:rPr>
        <w:t>项目区域属于《声环境质量标准》（GB3096-2008）规定的2类功能区。营运期噪声源主要来自</w:t>
      </w:r>
      <w:r>
        <w:rPr>
          <w:bCs/>
          <w:color w:val="000000"/>
          <w:sz w:val="24"/>
        </w:rPr>
        <w:t>废水处理设备、风机等运行产生的设备噪声及猪叫声</w:t>
      </w:r>
      <w:r>
        <w:rPr>
          <w:color w:val="000000"/>
          <w:sz w:val="24"/>
        </w:rPr>
        <w:t>，高压水枪使用时空压机噪声，工程建设前后，噪声级增加量不大，根据《环境影响评价技术导则—声环境》（HJ2.4-2009），声环境影响评价等级为二级。</w:t>
      </w:r>
    </w:p>
    <w:p>
      <w:pPr>
        <w:spacing w:line="500" w:lineRule="exact"/>
        <w:ind w:firstLine="480" w:firstLineChars="200"/>
        <w:rPr>
          <w:color w:val="000000"/>
          <w:sz w:val="24"/>
        </w:rPr>
      </w:pPr>
      <w:r>
        <w:rPr>
          <w:color w:val="000000"/>
          <w:sz w:val="24"/>
        </w:rPr>
        <w:t>本项目声环境评价等级划分详见表1-10。</w:t>
      </w:r>
    </w:p>
    <w:p>
      <w:pPr>
        <w:spacing w:line="500" w:lineRule="exact"/>
        <w:ind w:firstLine="422" w:firstLineChars="200"/>
        <w:jc w:val="center"/>
        <w:rPr>
          <w:b/>
          <w:color w:val="000000"/>
          <w:szCs w:val="21"/>
        </w:rPr>
      </w:pPr>
      <w:r>
        <w:rPr>
          <w:b/>
          <w:color w:val="000000"/>
          <w:szCs w:val="21"/>
        </w:rPr>
        <w:t>表1-10   声环境评价等级划分表</w:t>
      </w:r>
    </w:p>
    <w:tbl>
      <w:tblPr>
        <w:tblStyle w:val="44"/>
        <w:tblW w:w="894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38"/>
        <w:gridCol w:w="4017"/>
        <w:gridCol w:w="16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8" w:type="dxa"/>
            <w:vAlign w:val="center"/>
          </w:tcPr>
          <w:p>
            <w:pPr>
              <w:spacing w:line="320" w:lineRule="exact"/>
              <w:jc w:val="center"/>
              <w:rPr>
                <w:b/>
                <w:color w:val="000000"/>
                <w:szCs w:val="21"/>
              </w:rPr>
            </w:pPr>
            <w:r>
              <w:rPr>
                <w:b/>
                <w:color w:val="000000"/>
                <w:szCs w:val="21"/>
              </w:rPr>
              <w:t>评价类别</w:t>
            </w:r>
          </w:p>
        </w:tc>
        <w:tc>
          <w:tcPr>
            <w:tcW w:w="4017" w:type="dxa"/>
            <w:vAlign w:val="center"/>
          </w:tcPr>
          <w:p>
            <w:pPr>
              <w:spacing w:line="320" w:lineRule="exact"/>
              <w:jc w:val="center"/>
              <w:rPr>
                <w:b/>
                <w:color w:val="000000"/>
                <w:szCs w:val="21"/>
              </w:rPr>
            </w:pPr>
            <w:r>
              <w:rPr>
                <w:b/>
                <w:color w:val="000000"/>
                <w:szCs w:val="21"/>
              </w:rPr>
              <w:t>指标</w:t>
            </w:r>
          </w:p>
        </w:tc>
        <w:tc>
          <w:tcPr>
            <w:tcW w:w="1691" w:type="dxa"/>
            <w:vAlign w:val="center"/>
          </w:tcPr>
          <w:p>
            <w:pPr>
              <w:spacing w:line="320" w:lineRule="exact"/>
              <w:jc w:val="center"/>
              <w:rPr>
                <w:b/>
                <w:color w:val="000000"/>
                <w:szCs w:val="21"/>
              </w:rPr>
            </w:pPr>
            <w:r>
              <w:rPr>
                <w:b/>
                <w:color w:val="000000"/>
                <w:szCs w:val="21"/>
              </w:rPr>
              <w:t>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8" w:type="dxa"/>
            <w:vAlign w:val="center"/>
          </w:tcPr>
          <w:p>
            <w:pPr>
              <w:spacing w:line="320" w:lineRule="exact"/>
              <w:jc w:val="center"/>
              <w:rPr>
                <w:color w:val="000000"/>
                <w:szCs w:val="21"/>
              </w:rPr>
            </w:pPr>
            <w:r>
              <w:rPr>
                <w:color w:val="000000"/>
                <w:szCs w:val="21"/>
              </w:rPr>
              <w:t>所在区域环境功能区划</w:t>
            </w:r>
          </w:p>
        </w:tc>
        <w:tc>
          <w:tcPr>
            <w:tcW w:w="4017" w:type="dxa"/>
            <w:vAlign w:val="center"/>
          </w:tcPr>
          <w:p>
            <w:pPr>
              <w:spacing w:line="320" w:lineRule="exact"/>
              <w:jc w:val="center"/>
              <w:rPr>
                <w:color w:val="000000"/>
                <w:szCs w:val="21"/>
              </w:rPr>
            </w:pPr>
            <w:r>
              <w:rPr>
                <w:color w:val="000000"/>
                <w:szCs w:val="21"/>
              </w:rPr>
              <w:t>GB3096-2008  2类</w:t>
            </w:r>
          </w:p>
        </w:tc>
        <w:tc>
          <w:tcPr>
            <w:tcW w:w="1691" w:type="dxa"/>
            <w:vMerge w:val="restart"/>
            <w:vAlign w:val="center"/>
          </w:tcPr>
          <w:p>
            <w:pPr>
              <w:spacing w:line="320" w:lineRule="exact"/>
              <w:jc w:val="center"/>
              <w:rPr>
                <w:color w:val="000000"/>
                <w:szCs w:val="21"/>
              </w:rPr>
            </w:pPr>
            <w:r>
              <w:rPr>
                <w:color w:val="000000"/>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8" w:type="dxa"/>
            <w:vAlign w:val="center"/>
          </w:tcPr>
          <w:p>
            <w:pPr>
              <w:spacing w:line="320" w:lineRule="exact"/>
              <w:jc w:val="center"/>
              <w:rPr>
                <w:color w:val="000000"/>
                <w:szCs w:val="21"/>
              </w:rPr>
            </w:pPr>
            <w:r>
              <w:rPr>
                <w:color w:val="000000"/>
                <w:szCs w:val="21"/>
              </w:rPr>
              <w:t>受影响人口及噪声级变化</w:t>
            </w:r>
          </w:p>
        </w:tc>
        <w:tc>
          <w:tcPr>
            <w:tcW w:w="4017" w:type="dxa"/>
            <w:vAlign w:val="center"/>
          </w:tcPr>
          <w:p>
            <w:pPr>
              <w:spacing w:line="320" w:lineRule="exact"/>
              <w:jc w:val="center"/>
              <w:rPr>
                <w:color w:val="000000"/>
                <w:szCs w:val="21"/>
              </w:rPr>
            </w:pPr>
            <w:r>
              <w:rPr>
                <w:color w:val="000000"/>
                <w:szCs w:val="21"/>
              </w:rPr>
              <w:t>变化不大，预计增加＜3dB(A)</w:t>
            </w:r>
          </w:p>
        </w:tc>
        <w:tc>
          <w:tcPr>
            <w:tcW w:w="1691" w:type="dxa"/>
            <w:vMerge w:val="continue"/>
            <w:vAlign w:val="center"/>
          </w:tcPr>
          <w:p>
            <w:pPr>
              <w:spacing w:line="320" w:lineRule="exact"/>
              <w:jc w:val="center"/>
              <w:rPr>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38" w:type="dxa"/>
            <w:vAlign w:val="center"/>
          </w:tcPr>
          <w:p>
            <w:pPr>
              <w:spacing w:line="320" w:lineRule="exact"/>
              <w:jc w:val="center"/>
              <w:rPr>
                <w:color w:val="000000"/>
                <w:szCs w:val="21"/>
              </w:rPr>
            </w:pPr>
            <w:r>
              <w:rPr>
                <w:color w:val="000000"/>
                <w:szCs w:val="21"/>
              </w:rPr>
              <w:t>噪声源种类及数量</w:t>
            </w:r>
          </w:p>
        </w:tc>
        <w:tc>
          <w:tcPr>
            <w:tcW w:w="4017" w:type="dxa"/>
            <w:vAlign w:val="center"/>
          </w:tcPr>
          <w:p>
            <w:pPr>
              <w:spacing w:line="320" w:lineRule="exact"/>
              <w:jc w:val="center"/>
              <w:rPr>
                <w:color w:val="000000"/>
                <w:szCs w:val="21"/>
              </w:rPr>
            </w:pPr>
            <w:r>
              <w:rPr>
                <w:color w:val="000000"/>
                <w:szCs w:val="21"/>
              </w:rPr>
              <w:t>略有增加</w:t>
            </w:r>
          </w:p>
        </w:tc>
        <w:tc>
          <w:tcPr>
            <w:tcW w:w="1691" w:type="dxa"/>
            <w:vMerge w:val="continue"/>
            <w:vAlign w:val="center"/>
          </w:tcPr>
          <w:p>
            <w:pPr>
              <w:spacing w:line="320" w:lineRule="exact"/>
              <w:jc w:val="center"/>
              <w:rPr>
                <w:color w:val="000000"/>
                <w:szCs w:val="21"/>
              </w:rPr>
            </w:pPr>
          </w:p>
        </w:tc>
      </w:tr>
    </w:tbl>
    <w:p>
      <w:pPr>
        <w:spacing w:line="500" w:lineRule="exact"/>
        <w:ind w:firstLine="480" w:firstLineChars="200"/>
        <w:rPr>
          <w:color w:val="000000"/>
          <w:sz w:val="24"/>
        </w:rPr>
      </w:pPr>
      <w:r>
        <w:rPr>
          <w:color w:val="000000"/>
          <w:sz w:val="24"/>
        </w:rPr>
        <w:t>评价范围：项目边界外200m范围内。</w:t>
      </w:r>
    </w:p>
    <w:p>
      <w:pPr>
        <w:spacing w:line="520" w:lineRule="exact"/>
        <w:outlineLvl w:val="2"/>
        <w:rPr>
          <w:b/>
          <w:sz w:val="24"/>
        </w:rPr>
      </w:pPr>
      <w:r>
        <w:rPr>
          <w:b/>
          <w:sz w:val="24"/>
        </w:rPr>
        <w:t>1.</w:t>
      </w:r>
      <w:r>
        <w:rPr>
          <w:rFonts w:hint="eastAsia"/>
          <w:b/>
          <w:sz w:val="24"/>
        </w:rPr>
        <w:t>10</w:t>
      </w:r>
      <w:r>
        <w:rPr>
          <w:b/>
          <w:sz w:val="24"/>
        </w:rPr>
        <w:t>.</w:t>
      </w:r>
      <w:r>
        <w:rPr>
          <w:rFonts w:hint="eastAsia"/>
          <w:b/>
          <w:sz w:val="24"/>
        </w:rPr>
        <w:t>5土壤</w:t>
      </w:r>
      <w:r>
        <w:rPr>
          <w:b/>
          <w:sz w:val="24"/>
        </w:rPr>
        <w:t>环境</w:t>
      </w:r>
    </w:p>
    <w:p>
      <w:pPr>
        <w:pStyle w:val="2"/>
        <w:spacing w:line="520" w:lineRule="exact"/>
        <w:ind w:firstLine="480"/>
        <w:rPr>
          <w:sz w:val="24"/>
        </w:rPr>
      </w:pPr>
      <w:r>
        <w:rPr>
          <w:rFonts w:hint="eastAsia"/>
          <w:sz w:val="24"/>
        </w:rPr>
        <w:t>本项目位于平舆县东和店镇木香店村，项目属于生态影响型项目，项目所在区土壤环境敏感程度为不敏感，本项目占地面积135333m</w:t>
      </w:r>
      <w:r>
        <w:rPr>
          <w:rFonts w:hint="eastAsia"/>
          <w:sz w:val="24"/>
          <w:vertAlign w:val="superscript"/>
        </w:rPr>
        <w:t>2</w:t>
      </w:r>
      <w:r>
        <w:rPr>
          <w:rFonts w:hint="eastAsia"/>
          <w:sz w:val="24"/>
        </w:rPr>
        <w:t>，根据《环境影响评价技术导则 土壤环境》（HJ964-2018），项目属于附录A中农林牧渔业中的年出栏生猪5000头及以上的畜禽养殖场或养殖小区项目，为附录中规定的土壤评价III类项目，根据导则划定的污染影响型评价工作等级划分表，本项目不需开展土壤评价，仅对项目所在区土壤环境质量现状进行检测，生态影响型土壤评价等级划分表见2.3-7。</w:t>
      </w:r>
    </w:p>
    <w:p>
      <w:pPr>
        <w:pStyle w:val="2"/>
        <w:spacing w:line="520" w:lineRule="exact"/>
        <w:ind w:firstLine="0" w:firstLineChars="0"/>
        <w:jc w:val="center"/>
        <w:rPr>
          <w:sz w:val="24"/>
        </w:rPr>
      </w:pPr>
      <w:r>
        <w:rPr>
          <w:rFonts w:hint="eastAsia"/>
          <w:sz w:val="24"/>
        </w:rPr>
        <w:t>表1-11  土壤环境影响评价等级划分一览表</w:t>
      </w:r>
    </w:p>
    <w:p>
      <w:pPr>
        <w:pStyle w:val="2"/>
        <w:spacing w:line="520" w:lineRule="exact"/>
        <w:ind w:firstLine="0" w:firstLineChars="0"/>
        <w:rPr>
          <w:sz w:val="24"/>
        </w:rPr>
      </w:pPr>
      <w:r>
        <w:rPr>
          <w:rFonts w:hint="eastAsia"/>
          <w:sz w:val="24"/>
        </w:rPr>
        <w:drawing>
          <wp:anchor distT="0" distB="0" distL="114300" distR="114300" simplePos="0" relativeHeight="251859968" behindDoc="0" locked="0" layoutInCell="1" allowOverlap="1">
            <wp:simplePos x="0" y="0"/>
            <wp:positionH relativeFrom="column">
              <wp:posOffset>7620</wp:posOffset>
            </wp:positionH>
            <wp:positionV relativeFrom="paragraph">
              <wp:posOffset>26670</wp:posOffset>
            </wp:positionV>
            <wp:extent cx="5537835" cy="1420495"/>
            <wp:effectExtent l="0" t="0" r="5715" b="8255"/>
            <wp:wrapNone/>
            <wp:docPr id="22" name="图片 2410" descr="1573610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10" descr="1573610204(1)"/>
                    <pic:cNvPicPr>
                      <a:picLocks noChangeAspect="1"/>
                    </pic:cNvPicPr>
                  </pic:nvPicPr>
                  <pic:blipFill>
                    <a:blip r:embed="rId8"/>
                    <a:stretch>
                      <a:fillRect/>
                    </a:stretch>
                  </pic:blipFill>
                  <pic:spPr>
                    <a:xfrm>
                      <a:off x="0" y="0"/>
                      <a:ext cx="5537835" cy="1420495"/>
                    </a:xfrm>
                    <a:prstGeom prst="rect">
                      <a:avLst/>
                    </a:prstGeom>
                    <a:noFill/>
                    <a:ln>
                      <a:noFill/>
                    </a:ln>
                  </pic:spPr>
                </pic:pic>
              </a:graphicData>
            </a:graphic>
          </wp:anchor>
        </w:drawing>
      </w:r>
    </w:p>
    <w:p>
      <w:pPr>
        <w:pStyle w:val="2"/>
        <w:spacing w:line="520" w:lineRule="exact"/>
        <w:ind w:firstLine="0" w:firstLineChars="0"/>
        <w:rPr>
          <w:sz w:val="24"/>
        </w:rPr>
      </w:pPr>
    </w:p>
    <w:p>
      <w:pPr>
        <w:pStyle w:val="2"/>
        <w:spacing w:line="520" w:lineRule="exact"/>
        <w:ind w:firstLine="0" w:firstLineChars="0"/>
        <w:rPr>
          <w:sz w:val="24"/>
        </w:rPr>
      </w:pPr>
    </w:p>
    <w:p>
      <w:pPr>
        <w:pStyle w:val="2"/>
        <w:spacing w:line="520" w:lineRule="exact"/>
        <w:ind w:firstLine="0" w:firstLineChars="0"/>
        <w:rPr>
          <w:sz w:val="24"/>
        </w:rPr>
      </w:pPr>
    </w:p>
    <w:p>
      <w:pPr>
        <w:spacing w:line="600" w:lineRule="exact"/>
        <w:outlineLvl w:val="2"/>
        <w:rPr>
          <w:color w:val="000000"/>
          <w:sz w:val="24"/>
        </w:rPr>
      </w:pPr>
      <w:r>
        <w:rPr>
          <w:b/>
          <w:color w:val="000000"/>
          <w:sz w:val="24"/>
        </w:rPr>
        <w:t>1.10.</w:t>
      </w:r>
      <w:r>
        <w:rPr>
          <w:rFonts w:hint="eastAsia"/>
          <w:b/>
          <w:color w:val="000000"/>
          <w:sz w:val="24"/>
        </w:rPr>
        <w:t>6</w:t>
      </w:r>
      <w:r>
        <w:rPr>
          <w:b/>
          <w:color w:val="000000"/>
          <w:sz w:val="24"/>
        </w:rPr>
        <w:t>生态环境</w:t>
      </w:r>
    </w:p>
    <w:p>
      <w:pPr>
        <w:spacing w:line="520" w:lineRule="exact"/>
        <w:ind w:firstLine="480" w:firstLineChars="200"/>
        <w:rPr>
          <w:color w:val="000000"/>
          <w:sz w:val="24"/>
        </w:rPr>
      </w:pPr>
      <w:r>
        <w:rPr>
          <w:color w:val="000000"/>
          <w:sz w:val="24"/>
        </w:rPr>
        <w:t>场址所在地为一般耕地，不涉及基本农田。不属于生态敏感区，项目占地</w:t>
      </w:r>
      <w:r>
        <w:rPr>
          <w:rFonts w:hint="eastAsia"/>
          <w:color w:val="000000"/>
          <w:sz w:val="24"/>
        </w:rPr>
        <w:t>203</w:t>
      </w:r>
      <w:r>
        <w:rPr>
          <w:color w:val="000000"/>
          <w:sz w:val="24"/>
        </w:rPr>
        <w:t>亩，根据《环境影响评价技术导则—生态影响》（HJ19-2011），结合项目特点及现场调查，区域内无特殊生态敏感区和重要生态敏感区，因此生态影响评价工作等级为三级，对区域生态环境的影响主要集中在施工期。</w:t>
      </w:r>
    </w:p>
    <w:p>
      <w:pPr>
        <w:spacing w:line="520" w:lineRule="exact"/>
        <w:ind w:firstLine="422" w:firstLineChars="200"/>
        <w:jc w:val="center"/>
        <w:rPr>
          <w:b/>
          <w:color w:val="000000"/>
          <w:szCs w:val="21"/>
        </w:rPr>
      </w:pPr>
      <w:r>
        <w:rPr>
          <w:b/>
          <w:color w:val="000000"/>
          <w:szCs w:val="21"/>
        </w:rPr>
        <w:t>表1-11   生态影响评价工作等级划分表</w:t>
      </w:r>
    </w:p>
    <w:tbl>
      <w:tblPr>
        <w:tblStyle w:val="44"/>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0"/>
        <w:gridCol w:w="2319"/>
        <w:gridCol w:w="2675"/>
        <w:gridCol w:w="21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50" w:type="dxa"/>
            <w:vMerge w:val="restart"/>
            <w:vAlign w:val="center"/>
          </w:tcPr>
          <w:p>
            <w:pPr>
              <w:adjustRightInd w:val="0"/>
              <w:snapToGrid w:val="0"/>
              <w:spacing w:line="320" w:lineRule="exact"/>
              <w:jc w:val="center"/>
              <w:rPr>
                <w:b/>
                <w:color w:val="000000"/>
                <w:kern w:val="0"/>
                <w:szCs w:val="21"/>
              </w:rPr>
            </w:pPr>
            <w:r>
              <w:rPr>
                <w:b/>
                <w:color w:val="000000"/>
                <w:kern w:val="0"/>
                <w:szCs w:val="21"/>
              </w:rPr>
              <w:t>影响区域生态敏感性</w:t>
            </w:r>
          </w:p>
        </w:tc>
        <w:tc>
          <w:tcPr>
            <w:tcW w:w="7096" w:type="dxa"/>
            <w:gridSpan w:val="3"/>
            <w:vAlign w:val="center"/>
          </w:tcPr>
          <w:p>
            <w:pPr>
              <w:adjustRightInd w:val="0"/>
              <w:snapToGrid w:val="0"/>
              <w:spacing w:line="320" w:lineRule="exact"/>
              <w:jc w:val="center"/>
              <w:rPr>
                <w:b/>
                <w:color w:val="000000"/>
                <w:kern w:val="0"/>
                <w:szCs w:val="21"/>
              </w:rPr>
            </w:pPr>
            <w:r>
              <w:rPr>
                <w:b/>
                <w:color w:val="000000"/>
                <w:kern w:val="0"/>
                <w:szCs w:val="21"/>
              </w:rPr>
              <w:t>工程占地（水域）范围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50" w:type="dxa"/>
            <w:vMerge w:val="continue"/>
            <w:vAlign w:val="center"/>
          </w:tcPr>
          <w:p>
            <w:pPr>
              <w:adjustRightInd w:val="0"/>
              <w:snapToGrid w:val="0"/>
              <w:spacing w:line="320" w:lineRule="exact"/>
              <w:jc w:val="center"/>
              <w:rPr>
                <w:b/>
                <w:color w:val="000000"/>
                <w:kern w:val="0"/>
                <w:szCs w:val="21"/>
              </w:rPr>
            </w:pPr>
          </w:p>
        </w:tc>
        <w:tc>
          <w:tcPr>
            <w:tcW w:w="2319" w:type="dxa"/>
            <w:vAlign w:val="center"/>
          </w:tcPr>
          <w:p>
            <w:pPr>
              <w:adjustRightInd w:val="0"/>
              <w:snapToGrid w:val="0"/>
              <w:spacing w:line="320" w:lineRule="exact"/>
              <w:jc w:val="center"/>
              <w:rPr>
                <w:b/>
                <w:color w:val="000000"/>
                <w:kern w:val="0"/>
                <w:szCs w:val="21"/>
              </w:rPr>
            </w:pPr>
            <w:r>
              <w:rPr>
                <w:b/>
                <w:color w:val="000000"/>
                <w:kern w:val="0"/>
                <w:szCs w:val="21"/>
              </w:rPr>
              <w:t>面积≥20km</w:t>
            </w:r>
            <w:r>
              <w:rPr>
                <w:b/>
                <w:color w:val="000000"/>
                <w:kern w:val="0"/>
                <w:szCs w:val="21"/>
                <w:vertAlign w:val="superscript"/>
              </w:rPr>
              <w:t>2</w:t>
            </w:r>
            <w:r>
              <w:rPr>
                <w:b/>
                <w:color w:val="000000"/>
                <w:kern w:val="0"/>
                <w:szCs w:val="21"/>
              </w:rPr>
              <w:t>或长度≥100km</w:t>
            </w:r>
          </w:p>
        </w:tc>
        <w:tc>
          <w:tcPr>
            <w:tcW w:w="2675" w:type="dxa"/>
            <w:vAlign w:val="center"/>
          </w:tcPr>
          <w:p>
            <w:pPr>
              <w:adjustRightInd w:val="0"/>
              <w:snapToGrid w:val="0"/>
              <w:spacing w:line="320" w:lineRule="exact"/>
              <w:jc w:val="center"/>
              <w:rPr>
                <w:b/>
                <w:color w:val="000000"/>
                <w:kern w:val="0"/>
                <w:szCs w:val="21"/>
              </w:rPr>
            </w:pPr>
            <w:r>
              <w:rPr>
                <w:b/>
                <w:color w:val="000000"/>
                <w:kern w:val="0"/>
                <w:szCs w:val="21"/>
              </w:rPr>
              <w:t>面积2km</w:t>
            </w:r>
            <w:r>
              <w:rPr>
                <w:b/>
                <w:color w:val="000000"/>
                <w:kern w:val="0"/>
                <w:szCs w:val="21"/>
                <w:vertAlign w:val="superscript"/>
              </w:rPr>
              <w:t>2</w:t>
            </w:r>
            <w:r>
              <w:rPr>
                <w:b/>
                <w:color w:val="000000"/>
                <w:kern w:val="0"/>
                <w:szCs w:val="21"/>
              </w:rPr>
              <w:t>～20km</w:t>
            </w:r>
            <w:r>
              <w:rPr>
                <w:b/>
                <w:color w:val="000000"/>
                <w:kern w:val="0"/>
                <w:szCs w:val="21"/>
                <w:vertAlign w:val="superscript"/>
              </w:rPr>
              <w:t>2</w:t>
            </w:r>
            <w:r>
              <w:rPr>
                <w:b/>
                <w:color w:val="000000"/>
                <w:kern w:val="0"/>
                <w:szCs w:val="21"/>
              </w:rPr>
              <w:t>或长度50km～100km</w:t>
            </w:r>
          </w:p>
        </w:tc>
        <w:tc>
          <w:tcPr>
            <w:tcW w:w="2102" w:type="dxa"/>
            <w:vAlign w:val="center"/>
          </w:tcPr>
          <w:p>
            <w:pPr>
              <w:adjustRightInd w:val="0"/>
              <w:snapToGrid w:val="0"/>
              <w:spacing w:line="320" w:lineRule="exact"/>
              <w:jc w:val="center"/>
              <w:rPr>
                <w:b/>
                <w:color w:val="000000"/>
                <w:kern w:val="0"/>
                <w:szCs w:val="21"/>
              </w:rPr>
            </w:pPr>
            <w:r>
              <w:rPr>
                <w:b/>
                <w:color w:val="000000"/>
                <w:kern w:val="0"/>
                <w:szCs w:val="21"/>
              </w:rPr>
              <w:t>面积≤2km</w:t>
            </w:r>
            <w:r>
              <w:rPr>
                <w:b/>
                <w:color w:val="000000"/>
                <w:kern w:val="0"/>
                <w:szCs w:val="21"/>
                <w:vertAlign w:val="superscript"/>
              </w:rPr>
              <w:t>2</w:t>
            </w:r>
            <w:r>
              <w:rPr>
                <w:b/>
                <w:color w:val="000000"/>
                <w:kern w:val="0"/>
                <w:szCs w:val="21"/>
              </w:rPr>
              <w:t>或长度≤50km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50" w:type="dxa"/>
            <w:vAlign w:val="center"/>
          </w:tcPr>
          <w:p>
            <w:pPr>
              <w:adjustRightInd w:val="0"/>
              <w:snapToGrid w:val="0"/>
              <w:spacing w:line="320" w:lineRule="exact"/>
              <w:jc w:val="center"/>
              <w:rPr>
                <w:color w:val="000000"/>
                <w:kern w:val="0"/>
                <w:szCs w:val="21"/>
              </w:rPr>
            </w:pPr>
            <w:r>
              <w:rPr>
                <w:color w:val="000000"/>
                <w:kern w:val="0"/>
                <w:szCs w:val="21"/>
              </w:rPr>
              <w:t>特殊生态敏感区</w:t>
            </w:r>
          </w:p>
        </w:tc>
        <w:tc>
          <w:tcPr>
            <w:tcW w:w="2319" w:type="dxa"/>
            <w:vAlign w:val="center"/>
          </w:tcPr>
          <w:p>
            <w:pPr>
              <w:adjustRightInd w:val="0"/>
              <w:snapToGrid w:val="0"/>
              <w:spacing w:line="320" w:lineRule="exact"/>
              <w:jc w:val="center"/>
              <w:rPr>
                <w:color w:val="000000"/>
                <w:kern w:val="0"/>
                <w:szCs w:val="21"/>
              </w:rPr>
            </w:pPr>
            <w:r>
              <w:rPr>
                <w:color w:val="000000"/>
                <w:kern w:val="0"/>
                <w:szCs w:val="21"/>
              </w:rPr>
              <w:t>一级</w:t>
            </w:r>
          </w:p>
        </w:tc>
        <w:tc>
          <w:tcPr>
            <w:tcW w:w="2675" w:type="dxa"/>
            <w:vAlign w:val="center"/>
          </w:tcPr>
          <w:p>
            <w:pPr>
              <w:adjustRightInd w:val="0"/>
              <w:snapToGrid w:val="0"/>
              <w:spacing w:line="320" w:lineRule="exact"/>
              <w:jc w:val="center"/>
              <w:rPr>
                <w:color w:val="000000"/>
                <w:kern w:val="0"/>
                <w:szCs w:val="21"/>
              </w:rPr>
            </w:pPr>
            <w:r>
              <w:rPr>
                <w:color w:val="000000"/>
                <w:kern w:val="0"/>
                <w:szCs w:val="21"/>
              </w:rPr>
              <w:t>一级</w:t>
            </w:r>
          </w:p>
        </w:tc>
        <w:tc>
          <w:tcPr>
            <w:tcW w:w="2102" w:type="dxa"/>
            <w:vAlign w:val="center"/>
          </w:tcPr>
          <w:p>
            <w:pPr>
              <w:adjustRightInd w:val="0"/>
              <w:snapToGrid w:val="0"/>
              <w:spacing w:line="320" w:lineRule="exact"/>
              <w:jc w:val="center"/>
              <w:rPr>
                <w:color w:val="000000"/>
                <w:kern w:val="0"/>
                <w:szCs w:val="21"/>
              </w:rPr>
            </w:pPr>
            <w:r>
              <w:rPr>
                <w:color w:val="000000"/>
                <w:kern w:val="0"/>
                <w:szCs w:val="21"/>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50" w:type="dxa"/>
            <w:vAlign w:val="center"/>
          </w:tcPr>
          <w:p>
            <w:pPr>
              <w:adjustRightInd w:val="0"/>
              <w:snapToGrid w:val="0"/>
              <w:spacing w:line="320" w:lineRule="exact"/>
              <w:jc w:val="center"/>
              <w:rPr>
                <w:color w:val="000000"/>
                <w:kern w:val="0"/>
                <w:szCs w:val="21"/>
              </w:rPr>
            </w:pPr>
            <w:r>
              <w:rPr>
                <w:color w:val="000000"/>
                <w:kern w:val="0"/>
                <w:szCs w:val="21"/>
              </w:rPr>
              <w:t>重要生态敏感区</w:t>
            </w:r>
          </w:p>
        </w:tc>
        <w:tc>
          <w:tcPr>
            <w:tcW w:w="2319" w:type="dxa"/>
            <w:vAlign w:val="center"/>
          </w:tcPr>
          <w:p>
            <w:pPr>
              <w:adjustRightInd w:val="0"/>
              <w:snapToGrid w:val="0"/>
              <w:spacing w:line="320" w:lineRule="exact"/>
              <w:jc w:val="center"/>
              <w:rPr>
                <w:color w:val="000000"/>
                <w:kern w:val="0"/>
                <w:szCs w:val="21"/>
              </w:rPr>
            </w:pPr>
            <w:r>
              <w:rPr>
                <w:color w:val="000000"/>
                <w:kern w:val="0"/>
                <w:szCs w:val="21"/>
              </w:rPr>
              <w:t>一级</w:t>
            </w:r>
          </w:p>
        </w:tc>
        <w:tc>
          <w:tcPr>
            <w:tcW w:w="2675" w:type="dxa"/>
            <w:vAlign w:val="center"/>
          </w:tcPr>
          <w:p>
            <w:pPr>
              <w:adjustRightInd w:val="0"/>
              <w:snapToGrid w:val="0"/>
              <w:spacing w:line="320" w:lineRule="exact"/>
              <w:jc w:val="center"/>
              <w:rPr>
                <w:color w:val="000000"/>
                <w:kern w:val="0"/>
                <w:szCs w:val="21"/>
              </w:rPr>
            </w:pPr>
            <w:r>
              <w:rPr>
                <w:color w:val="000000"/>
                <w:kern w:val="0"/>
                <w:szCs w:val="21"/>
              </w:rPr>
              <w:t>二级</w:t>
            </w:r>
          </w:p>
        </w:tc>
        <w:tc>
          <w:tcPr>
            <w:tcW w:w="2102" w:type="dxa"/>
            <w:vAlign w:val="center"/>
          </w:tcPr>
          <w:p>
            <w:pPr>
              <w:adjustRightInd w:val="0"/>
              <w:snapToGrid w:val="0"/>
              <w:spacing w:line="320" w:lineRule="exact"/>
              <w:jc w:val="center"/>
              <w:rPr>
                <w:color w:val="000000"/>
                <w:kern w:val="0"/>
                <w:szCs w:val="21"/>
              </w:rPr>
            </w:pPr>
            <w:r>
              <w:rPr>
                <w:color w:val="000000"/>
                <w:kern w:val="0"/>
                <w:szCs w:val="21"/>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50" w:type="dxa"/>
            <w:vAlign w:val="center"/>
          </w:tcPr>
          <w:p>
            <w:pPr>
              <w:adjustRightInd w:val="0"/>
              <w:snapToGrid w:val="0"/>
              <w:spacing w:line="320" w:lineRule="exact"/>
              <w:jc w:val="center"/>
              <w:rPr>
                <w:color w:val="000000"/>
                <w:kern w:val="0"/>
                <w:szCs w:val="21"/>
              </w:rPr>
            </w:pPr>
            <w:r>
              <w:rPr>
                <w:color w:val="000000"/>
                <w:kern w:val="0"/>
                <w:szCs w:val="21"/>
              </w:rPr>
              <w:t>一般区域</w:t>
            </w:r>
          </w:p>
        </w:tc>
        <w:tc>
          <w:tcPr>
            <w:tcW w:w="2319" w:type="dxa"/>
            <w:vAlign w:val="center"/>
          </w:tcPr>
          <w:p>
            <w:pPr>
              <w:adjustRightInd w:val="0"/>
              <w:snapToGrid w:val="0"/>
              <w:spacing w:line="320" w:lineRule="exact"/>
              <w:jc w:val="center"/>
              <w:rPr>
                <w:color w:val="000000"/>
                <w:kern w:val="0"/>
                <w:szCs w:val="21"/>
              </w:rPr>
            </w:pPr>
            <w:r>
              <w:rPr>
                <w:color w:val="000000"/>
                <w:kern w:val="0"/>
                <w:szCs w:val="21"/>
              </w:rPr>
              <w:t>二级</w:t>
            </w:r>
          </w:p>
        </w:tc>
        <w:tc>
          <w:tcPr>
            <w:tcW w:w="2675" w:type="dxa"/>
            <w:vAlign w:val="center"/>
          </w:tcPr>
          <w:p>
            <w:pPr>
              <w:adjustRightInd w:val="0"/>
              <w:snapToGrid w:val="0"/>
              <w:spacing w:line="320" w:lineRule="exact"/>
              <w:jc w:val="center"/>
              <w:rPr>
                <w:color w:val="000000"/>
                <w:kern w:val="0"/>
                <w:szCs w:val="21"/>
              </w:rPr>
            </w:pPr>
            <w:r>
              <w:rPr>
                <w:color w:val="000000"/>
                <w:kern w:val="0"/>
                <w:szCs w:val="21"/>
              </w:rPr>
              <w:t>三级</w:t>
            </w:r>
          </w:p>
        </w:tc>
        <w:tc>
          <w:tcPr>
            <w:tcW w:w="2102" w:type="dxa"/>
            <w:vAlign w:val="center"/>
          </w:tcPr>
          <w:p>
            <w:pPr>
              <w:adjustRightInd w:val="0"/>
              <w:snapToGrid w:val="0"/>
              <w:spacing w:line="320" w:lineRule="exact"/>
              <w:jc w:val="center"/>
              <w:rPr>
                <w:b/>
                <w:color w:val="000000"/>
                <w:kern w:val="0"/>
                <w:szCs w:val="21"/>
              </w:rPr>
            </w:pPr>
            <w:r>
              <w:rPr>
                <w:b/>
                <w:color w:val="000000"/>
                <w:kern w:val="0"/>
                <w:szCs w:val="21"/>
              </w:rPr>
              <w:t>三级</w:t>
            </w:r>
          </w:p>
        </w:tc>
      </w:tr>
    </w:tbl>
    <w:p>
      <w:pPr>
        <w:spacing w:line="600" w:lineRule="exact"/>
        <w:outlineLvl w:val="2"/>
        <w:rPr>
          <w:color w:val="000000"/>
          <w:sz w:val="24"/>
        </w:rPr>
      </w:pPr>
      <w:r>
        <w:rPr>
          <w:b/>
          <w:color w:val="000000"/>
          <w:sz w:val="24"/>
        </w:rPr>
        <w:t>1.10.</w:t>
      </w:r>
      <w:r>
        <w:rPr>
          <w:rFonts w:hint="eastAsia"/>
          <w:b/>
          <w:color w:val="000000"/>
          <w:sz w:val="24"/>
        </w:rPr>
        <w:t>7</w:t>
      </w:r>
      <w:r>
        <w:rPr>
          <w:b/>
          <w:color w:val="000000"/>
          <w:sz w:val="24"/>
        </w:rPr>
        <w:t>环境风险</w:t>
      </w:r>
    </w:p>
    <w:p>
      <w:pPr>
        <w:autoSpaceDE w:val="0"/>
        <w:autoSpaceDN w:val="0"/>
        <w:adjustRightInd w:val="0"/>
        <w:snapToGrid w:val="0"/>
        <w:spacing w:line="520" w:lineRule="exact"/>
        <w:ind w:firstLine="482" w:firstLineChars="200"/>
        <w:jc w:val="left"/>
        <w:rPr>
          <w:b/>
          <w:bCs w:val="0"/>
          <w:color w:val="000000"/>
          <w:sz w:val="24"/>
          <w:szCs w:val="28"/>
          <w:u w:val="single"/>
        </w:rPr>
      </w:pPr>
      <w:r>
        <w:rPr>
          <w:b/>
          <w:bCs w:val="0"/>
          <w:color w:val="000000"/>
          <w:sz w:val="24"/>
          <w:szCs w:val="28"/>
          <w:u w:val="single"/>
        </w:rPr>
        <w:t>根据《建设项目环境风险评价技术导则》（HJ/T169－2018）附录B及附录C，本项目q&lt;1，评价工作等级为简单分析。</w:t>
      </w:r>
    </w:p>
    <w:p>
      <w:pPr>
        <w:autoSpaceDE w:val="0"/>
        <w:autoSpaceDN w:val="0"/>
        <w:adjustRightInd w:val="0"/>
        <w:snapToGrid w:val="0"/>
        <w:spacing w:line="600" w:lineRule="exact"/>
        <w:jc w:val="left"/>
        <w:outlineLvl w:val="2"/>
        <w:rPr>
          <w:color w:val="000000"/>
          <w:sz w:val="24"/>
          <w:szCs w:val="28"/>
        </w:rPr>
      </w:pPr>
      <w:r>
        <w:rPr>
          <w:b/>
          <w:color w:val="000000"/>
          <w:sz w:val="24"/>
        </w:rPr>
        <w:t>1.10.</w:t>
      </w:r>
      <w:r>
        <w:rPr>
          <w:rFonts w:hint="eastAsia"/>
          <w:b/>
          <w:color w:val="000000"/>
          <w:sz w:val="24"/>
        </w:rPr>
        <w:t>8</w:t>
      </w:r>
      <w:r>
        <w:rPr>
          <w:b/>
          <w:color w:val="000000"/>
          <w:sz w:val="24"/>
        </w:rPr>
        <w:t xml:space="preserve"> 评价工作等级及评价范围汇总</w:t>
      </w:r>
    </w:p>
    <w:p>
      <w:pPr>
        <w:autoSpaceDE w:val="0"/>
        <w:autoSpaceDN w:val="0"/>
        <w:adjustRightInd w:val="0"/>
        <w:snapToGrid w:val="0"/>
        <w:spacing w:line="520" w:lineRule="exact"/>
        <w:ind w:firstLine="480" w:firstLineChars="200"/>
        <w:jc w:val="left"/>
        <w:rPr>
          <w:color w:val="000000"/>
          <w:sz w:val="24"/>
          <w:szCs w:val="28"/>
        </w:rPr>
      </w:pPr>
      <w:r>
        <w:rPr>
          <w:color w:val="000000"/>
          <w:sz w:val="24"/>
          <w:szCs w:val="28"/>
        </w:rPr>
        <w:t>项目的评价工作等级及评价范围汇总详见表1-13。</w:t>
      </w:r>
    </w:p>
    <w:p>
      <w:pPr>
        <w:autoSpaceDE w:val="0"/>
        <w:autoSpaceDN w:val="0"/>
        <w:adjustRightInd w:val="0"/>
        <w:snapToGrid w:val="0"/>
        <w:spacing w:line="520" w:lineRule="exact"/>
        <w:jc w:val="center"/>
        <w:rPr>
          <w:b/>
          <w:color w:val="000000"/>
          <w:szCs w:val="21"/>
        </w:rPr>
      </w:pPr>
      <w:r>
        <w:rPr>
          <w:b/>
          <w:color w:val="000000"/>
          <w:szCs w:val="21"/>
        </w:rPr>
        <w:t>表1-13   评价工作等级及评价范围一览表</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4"/>
        <w:gridCol w:w="1784"/>
        <w:gridCol w:w="1560"/>
        <w:gridCol w:w="486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54" w:hRule="atLeast"/>
          <w:jc w:val="center"/>
        </w:trPr>
        <w:tc>
          <w:tcPr>
            <w:tcW w:w="734" w:type="dxa"/>
            <w:vAlign w:val="center"/>
          </w:tcPr>
          <w:p>
            <w:pPr>
              <w:spacing w:line="320" w:lineRule="exact"/>
              <w:jc w:val="center"/>
              <w:rPr>
                <w:b/>
                <w:snapToGrid w:val="0"/>
                <w:color w:val="000000"/>
                <w:szCs w:val="21"/>
              </w:rPr>
            </w:pPr>
            <w:r>
              <w:rPr>
                <w:b/>
                <w:snapToGrid w:val="0"/>
                <w:color w:val="000000"/>
                <w:szCs w:val="21"/>
              </w:rPr>
              <w:t>序号</w:t>
            </w:r>
          </w:p>
        </w:tc>
        <w:tc>
          <w:tcPr>
            <w:tcW w:w="1784" w:type="dxa"/>
            <w:vAlign w:val="center"/>
          </w:tcPr>
          <w:p>
            <w:pPr>
              <w:spacing w:line="320" w:lineRule="exact"/>
              <w:jc w:val="center"/>
              <w:rPr>
                <w:b/>
                <w:snapToGrid w:val="0"/>
                <w:color w:val="000000"/>
                <w:szCs w:val="21"/>
              </w:rPr>
            </w:pPr>
            <w:r>
              <w:rPr>
                <w:b/>
                <w:snapToGrid w:val="0"/>
                <w:color w:val="000000"/>
                <w:szCs w:val="21"/>
              </w:rPr>
              <w:t>环境要素</w:t>
            </w:r>
          </w:p>
        </w:tc>
        <w:tc>
          <w:tcPr>
            <w:tcW w:w="1560" w:type="dxa"/>
            <w:vAlign w:val="center"/>
          </w:tcPr>
          <w:p>
            <w:pPr>
              <w:spacing w:line="320" w:lineRule="exact"/>
              <w:jc w:val="center"/>
              <w:rPr>
                <w:b/>
                <w:snapToGrid w:val="0"/>
                <w:color w:val="000000"/>
                <w:szCs w:val="21"/>
              </w:rPr>
            </w:pPr>
            <w:r>
              <w:rPr>
                <w:b/>
                <w:snapToGrid w:val="0"/>
                <w:color w:val="000000"/>
                <w:szCs w:val="21"/>
              </w:rPr>
              <w:t>评价工作等级</w:t>
            </w:r>
          </w:p>
        </w:tc>
        <w:tc>
          <w:tcPr>
            <w:tcW w:w="4868" w:type="dxa"/>
            <w:vAlign w:val="center"/>
          </w:tcPr>
          <w:p>
            <w:pPr>
              <w:spacing w:line="320" w:lineRule="exact"/>
              <w:jc w:val="center"/>
              <w:rPr>
                <w:b/>
                <w:snapToGrid w:val="0"/>
                <w:color w:val="000000"/>
                <w:szCs w:val="21"/>
              </w:rPr>
            </w:pPr>
            <w:r>
              <w:rPr>
                <w:b/>
                <w:snapToGrid w:val="0"/>
                <w:color w:val="000000"/>
                <w:szCs w:val="21"/>
              </w:rPr>
              <w:t>评价范围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27" w:hRule="atLeast"/>
          <w:jc w:val="center"/>
        </w:trPr>
        <w:tc>
          <w:tcPr>
            <w:tcW w:w="734" w:type="dxa"/>
            <w:vAlign w:val="center"/>
          </w:tcPr>
          <w:p>
            <w:pPr>
              <w:spacing w:line="320" w:lineRule="exact"/>
              <w:jc w:val="center"/>
              <w:rPr>
                <w:snapToGrid w:val="0"/>
                <w:color w:val="000000"/>
                <w:szCs w:val="21"/>
              </w:rPr>
            </w:pPr>
            <w:r>
              <w:rPr>
                <w:snapToGrid w:val="0"/>
                <w:color w:val="000000"/>
                <w:szCs w:val="21"/>
              </w:rPr>
              <w:t>1</w:t>
            </w:r>
          </w:p>
        </w:tc>
        <w:tc>
          <w:tcPr>
            <w:tcW w:w="1784" w:type="dxa"/>
            <w:vAlign w:val="center"/>
          </w:tcPr>
          <w:p>
            <w:pPr>
              <w:spacing w:line="320" w:lineRule="exact"/>
              <w:jc w:val="center"/>
              <w:rPr>
                <w:snapToGrid w:val="0"/>
                <w:color w:val="000000"/>
                <w:szCs w:val="21"/>
              </w:rPr>
            </w:pPr>
            <w:r>
              <w:rPr>
                <w:snapToGrid w:val="0"/>
                <w:color w:val="000000"/>
                <w:szCs w:val="21"/>
              </w:rPr>
              <w:t>环境空气</w:t>
            </w:r>
          </w:p>
        </w:tc>
        <w:tc>
          <w:tcPr>
            <w:tcW w:w="1560" w:type="dxa"/>
            <w:vAlign w:val="center"/>
          </w:tcPr>
          <w:p>
            <w:pPr>
              <w:spacing w:line="320" w:lineRule="exact"/>
              <w:jc w:val="center"/>
              <w:rPr>
                <w:snapToGrid w:val="0"/>
                <w:color w:val="000000"/>
                <w:szCs w:val="21"/>
              </w:rPr>
            </w:pPr>
            <w:r>
              <w:rPr>
                <w:snapToGrid w:val="0"/>
                <w:color w:val="000000"/>
                <w:szCs w:val="21"/>
              </w:rPr>
              <w:t>二级</w:t>
            </w:r>
          </w:p>
        </w:tc>
        <w:tc>
          <w:tcPr>
            <w:tcW w:w="4868" w:type="dxa"/>
            <w:vAlign w:val="center"/>
          </w:tcPr>
          <w:p>
            <w:pPr>
              <w:spacing w:line="320" w:lineRule="exact"/>
              <w:jc w:val="center"/>
              <w:rPr>
                <w:snapToGrid w:val="0"/>
                <w:color w:val="000000"/>
                <w:szCs w:val="21"/>
              </w:rPr>
            </w:pPr>
            <w:r>
              <w:rPr>
                <w:snapToGrid w:val="0"/>
                <w:color w:val="000000"/>
                <w:szCs w:val="21"/>
                <w:lang w:val="en-GB"/>
              </w:rPr>
              <w:t>以养殖场区中心点为中点，边长为5km的正方形区域范围内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5" w:hRule="atLeast"/>
          <w:jc w:val="center"/>
        </w:trPr>
        <w:tc>
          <w:tcPr>
            <w:tcW w:w="734" w:type="dxa"/>
            <w:vAlign w:val="center"/>
          </w:tcPr>
          <w:p>
            <w:pPr>
              <w:spacing w:line="320" w:lineRule="exact"/>
              <w:jc w:val="center"/>
              <w:rPr>
                <w:snapToGrid w:val="0"/>
                <w:color w:val="000000"/>
                <w:szCs w:val="21"/>
              </w:rPr>
            </w:pPr>
            <w:r>
              <w:rPr>
                <w:snapToGrid w:val="0"/>
                <w:color w:val="000000"/>
                <w:szCs w:val="21"/>
              </w:rPr>
              <w:t>2</w:t>
            </w:r>
          </w:p>
        </w:tc>
        <w:tc>
          <w:tcPr>
            <w:tcW w:w="1784" w:type="dxa"/>
            <w:vAlign w:val="center"/>
          </w:tcPr>
          <w:p>
            <w:pPr>
              <w:spacing w:line="320" w:lineRule="exact"/>
              <w:jc w:val="center"/>
              <w:rPr>
                <w:snapToGrid w:val="0"/>
                <w:color w:val="000000"/>
                <w:szCs w:val="21"/>
              </w:rPr>
            </w:pPr>
            <w:r>
              <w:rPr>
                <w:snapToGrid w:val="0"/>
                <w:color w:val="000000"/>
                <w:szCs w:val="21"/>
              </w:rPr>
              <w:t>地表水环境</w:t>
            </w:r>
          </w:p>
        </w:tc>
        <w:tc>
          <w:tcPr>
            <w:tcW w:w="1560" w:type="dxa"/>
            <w:vAlign w:val="center"/>
          </w:tcPr>
          <w:p>
            <w:pPr>
              <w:spacing w:line="320" w:lineRule="exact"/>
              <w:jc w:val="center"/>
              <w:rPr>
                <w:snapToGrid w:val="0"/>
                <w:color w:val="000000"/>
                <w:szCs w:val="21"/>
              </w:rPr>
            </w:pPr>
            <w:r>
              <w:rPr>
                <w:snapToGrid w:val="0"/>
                <w:color w:val="000000"/>
                <w:szCs w:val="21"/>
              </w:rPr>
              <w:t>低于三级</w:t>
            </w:r>
          </w:p>
        </w:tc>
        <w:tc>
          <w:tcPr>
            <w:tcW w:w="4868" w:type="dxa"/>
            <w:vAlign w:val="center"/>
          </w:tcPr>
          <w:p>
            <w:pPr>
              <w:spacing w:line="320" w:lineRule="exact"/>
              <w:jc w:val="center"/>
              <w:rPr>
                <w:snapToGrid w:val="0"/>
                <w:color w:val="000000"/>
                <w:szCs w:val="21"/>
              </w:rPr>
            </w:pPr>
            <w:r>
              <w:rPr>
                <w:snapToGrid w:val="0"/>
                <w:color w:val="000000"/>
                <w:szCs w:val="21"/>
              </w:rPr>
              <w:t>定性分析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6" w:hRule="atLeast"/>
          <w:jc w:val="center"/>
        </w:trPr>
        <w:tc>
          <w:tcPr>
            <w:tcW w:w="734" w:type="dxa"/>
            <w:vAlign w:val="center"/>
          </w:tcPr>
          <w:p>
            <w:pPr>
              <w:spacing w:line="320" w:lineRule="exact"/>
              <w:jc w:val="center"/>
              <w:rPr>
                <w:snapToGrid w:val="0"/>
                <w:color w:val="000000"/>
                <w:szCs w:val="21"/>
              </w:rPr>
            </w:pPr>
            <w:r>
              <w:rPr>
                <w:snapToGrid w:val="0"/>
                <w:color w:val="000000"/>
                <w:szCs w:val="21"/>
              </w:rPr>
              <w:t>3</w:t>
            </w:r>
          </w:p>
        </w:tc>
        <w:tc>
          <w:tcPr>
            <w:tcW w:w="1784" w:type="dxa"/>
            <w:vAlign w:val="center"/>
          </w:tcPr>
          <w:p>
            <w:pPr>
              <w:spacing w:line="320" w:lineRule="exact"/>
              <w:jc w:val="center"/>
              <w:rPr>
                <w:snapToGrid w:val="0"/>
                <w:color w:val="000000"/>
                <w:szCs w:val="21"/>
              </w:rPr>
            </w:pPr>
            <w:r>
              <w:rPr>
                <w:snapToGrid w:val="0"/>
                <w:color w:val="000000"/>
                <w:szCs w:val="21"/>
              </w:rPr>
              <w:t>地下水</w:t>
            </w:r>
          </w:p>
        </w:tc>
        <w:tc>
          <w:tcPr>
            <w:tcW w:w="1560" w:type="dxa"/>
            <w:vAlign w:val="center"/>
          </w:tcPr>
          <w:p>
            <w:pPr>
              <w:spacing w:line="320" w:lineRule="exact"/>
              <w:jc w:val="center"/>
              <w:rPr>
                <w:snapToGrid w:val="0"/>
                <w:color w:val="000000"/>
                <w:szCs w:val="21"/>
              </w:rPr>
            </w:pPr>
            <w:r>
              <w:rPr>
                <w:snapToGrid w:val="0"/>
                <w:color w:val="000000"/>
                <w:szCs w:val="21"/>
              </w:rPr>
              <w:t>三级</w:t>
            </w:r>
          </w:p>
        </w:tc>
        <w:tc>
          <w:tcPr>
            <w:tcW w:w="4868" w:type="dxa"/>
            <w:vAlign w:val="center"/>
          </w:tcPr>
          <w:p>
            <w:pPr>
              <w:spacing w:line="320" w:lineRule="exact"/>
              <w:jc w:val="center"/>
              <w:rPr>
                <w:snapToGrid w:val="0"/>
                <w:color w:val="000000"/>
                <w:szCs w:val="21"/>
              </w:rPr>
            </w:pPr>
            <w:r>
              <w:rPr>
                <w:bCs/>
                <w:snapToGrid w:val="0"/>
                <w:color w:val="000000"/>
                <w:szCs w:val="21"/>
              </w:rPr>
              <w:t>养殖场及沼液消纳地周边1km范围内浅层地下水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28" w:hRule="atLeast"/>
          <w:jc w:val="center"/>
        </w:trPr>
        <w:tc>
          <w:tcPr>
            <w:tcW w:w="734" w:type="dxa"/>
            <w:vAlign w:val="center"/>
          </w:tcPr>
          <w:p>
            <w:pPr>
              <w:spacing w:line="320" w:lineRule="exact"/>
              <w:jc w:val="center"/>
              <w:rPr>
                <w:snapToGrid w:val="0"/>
                <w:color w:val="000000"/>
                <w:szCs w:val="21"/>
              </w:rPr>
            </w:pPr>
            <w:r>
              <w:rPr>
                <w:snapToGrid w:val="0"/>
                <w:color w:val="000000"/>
                <w:szCs w:val="21"/>
              </w:rPr>
              <w:t>4</w:t>
            </w:r>
          </w:p>
        </w:tc>
        <w:tc>
          <w:tcPr>
            <w:tcW w:w="1784" w:type="dxa"/>
            <w:vAlign w:val="center"/>
          </w:tcPr>
          <w:p>
            <w:pPr>
              <w:spacing w:line="320" w:lineRule="exact"/>
              <w:jc w:val="center"/>
              <w:rPr>
                <w:snapToGrid w:val="0"/>
                <w:color w:val="000000"/>
                <w:szCs w:val="21"/>
              </w:rPr>
            </w:pPr>
            <w:r>
              <w:rPr>
                <w:snapToGrid w:val="0"/>
                <w:color w:val="000000"/>
                <w:szCs w:val="21"/>
              </w:rPr>
              <w:t>声环境</w:t>
            </w:r>
          </w:p>
        </w:tc>
        <w:tc>
          <w:tcPr>
            <w:tcW w:w="1560" w:type="dxa"/>
            <w:vAlign w:val="center"/>
          </w:tcPr>
          <w:p>
            <w:pPr>
              <w:spacing w:line="320" w:lineRule="exact"/>
              <w:jc w:val="center"/>
              <w:rPr>
                <w:snapToGrid w:val="0"/>
                <w:color w:val="000000"/>
                <w:szCs w:val="21"/>
              </w:rPr>
            </w:pPr>
            <w:r>
              <w:rPr>
                <w:snapToGrid w:val="0"/>
                <w:color w:val="000000"/>
                <w:szCs w:val="21"/>
              </w:rPr>
              <w:t>二级</w:t>
            </w:r>
          </w:p>
        </w:tc>
        <w:tc>
          <w:tcPr>
            <w:tcW w:w="4868" w:type="dxa"/>
            <w:vAlign w:val="center"/>
          </w:tcPr>
          <w:p>
            <w:pPr>
              <w:spacing w:line="320" w:lineRule="exact"/>
              <w:jc w:val="center"/>
              <w:rPr>
                <w:snapToGrid w:val="0"/>
                <w:color w:val="000000"/>
                <w:szCs w:val="21"/>
              </w:rPr>
            </w:pPr>
            <w:r>
              <w:rPr>
                <w:snapToGrid w:val="0"/>
                <w:color w:val="000000"/>
                <w:szCs w:val="21"/>
              </w:rPr>
              <w:t>项目边界外200m范围内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2" w:hRule="atLeast"/>
          <w:jc w:val="center"/>
        </w:trPr>
        <w:tc>
          <w:tcPr>
            <w:tcW w:w="734" w:type="dxa"/>
            <w:vAlign w:val="center"/>
          </w:tcPr>
          <w:p>
            <w:pPr>
              <w:spacing w:line="320" w:lineRule="exact"/>
              <w:jc w:val="center"/>
              <w:rPr>
                <w:snapToGrid w:val="0"/>
                <w:color w:val="000000"/>
                <w:szCs w:val="21"/>
              </w:rPr>
            </w:pPr>
            <w:r>
              <w:rPr>
                <w:snapToGrid w:val="0"/>
                <w:color w:val="000000"/>
                <w:szCs w:val="21"/>
              </w:rPr>
              <w:t>5</w:t>
            </w:r>
          </w:p>
        </w:tc>
        <w:tc>
          <w:tcPr>
            <w:tcW w:w="1784" w:type="dxa"/>
            <w:vAlign w:val="center"/>
          </w:tcPr>
          <w:p>
            <w:pPr>
              <w:spacing w:line="320" w:lineRule="exact"/>
              <w:jc w:val="center"/>
              <w:rPr>
                <w:snapToGrid w:val="0"/>
                <w:color w:val="000000"/>
                <w:szCs w:val="21"/>
              </w:rPr>
            </w:pPr>
            <w:r>
              <w:rPr>
                <w:snapToGrid w:val="0"/>
                <w:color w:val="000000"/>
                <w:szCs w:val="21"/>
              </w:rPr>
              <w:t>生态环境</w:t>
            </w:r>
          </w:p>
        </w:tc>
        <w:tc>
          <w:tcPr>
            <w:tcW w:w="1560" w:type="dxa"/>
            <w:vAlign w:val="center"/>
          </w:tcPr>
          <w:p>
            <w:pPr>
              <w:spacing w:line="320" w:lineRule="exact"/>
              <w:jc w:val="center"/>
              <w:rPr>
                <w:snapToGrid w:val="0"/>
                <w:color w:val="000000"/>
                <w:szCs w:val="21"/>
              </w:rPr>
            </w:pPr>
            <w:r>
              <w:rPr>
                <w:snapToGrid w:val="0"/>
                <w:color w:val="000000"/>
                <w:szCs w:val="21"/>
              </w:rPr>
              <w:t>三级</w:t>
            </w:r>
          </w:p>
        </w:tc>
        <w:tc>
          <w:tcPr>
            <w:tcW w:w="4868" w:type="dxa"/>
            <w:vAlign w:val="center"/>
          </w:tcPr>
          <w:p>
            <w:pPr>
              <w:spacing w:line="320" w:lineRule="exact"/>
              <w:jc w:val="center"/>
              <w:rPr>
                <w:snapToGrid w:val="0"/>
                <w:color w:val="000000"/>
                <w:szCs w:val="21"/>
              </w:rPr>
            </w:pPr>
            <w:r>
              <w:rPr>
                <w:snapToGrid w:val="0"/>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02" w:hRule="atLeast"/>
          <w:jc w:val="center"/>
        </w:trPr>
        <w:tc>
          <w:tcPr>
            <w:tcW w:w="734" w:type="dxa"/>
            <w:vAlign w:val="center"/>
          </w:tcPr>
          <w:p>
            <w:pPr>
              <w:spacing w:line="320" w:lineRule="exact"/>
              <w:jc w:val="center"/>
              <w:rPr>
                <w:snapToGrid w:val="0"/>
                <w:color w:val="000000"/>
                <w:szCs w:val="21"/>
              </w:rPr>
            </w:pPr>
            <w:r>
              <w:rPr>
                <w:snapToGrid w:val="0"/>
                <w:color w:val="000000"/>
                <w:szCs w:val="21"/>
              </w:rPr>
              <w:t>6</w:t>
            </w:r>
          </w:p>
        </w:tc>
        <w:tc>
          <w:tcPr>
            <w:tcW w:w="1784" w:type="dxa"/>
            <w:vAlign w:val="center"/>
          </w:tcPr>
          <w:p>
            <w:pPr>
              <w:spacing w:line="320" w:lineRule="exact"/>
              <w:jc w:val="center"/>
              <w:rPr>
                <w:snapToGrid w:val="0"/>
                <w:color w:val="000000"/>
                <w:szCs w:val="21"/>
              </w:rPr>
            </w:pPr>
            <w:r>
              <w:rPr>
                <w:snapToGrid w:val="0"/>
                <w:color w:val="000000"/>
                <w:szCs w:val="21"/>
              </w:rPr>
              <w:t>风险</w:t>
            </w:r>
          </w:p>
        </w:tc>
        <w:tc>
          <w:tcPr>
            <w:tcW w:w="1560" w:type="dxa"/>
            <w:vAlign w:val="center"/>
          </w:tcPr>
          <w:p>
            <w:pPr>
              <w:adjustRightInd w:val="0"/>
              <w:snapToGrid w:val="0"/>
              <w:spacing w:line="240" w:lineRule="exact"/>
              <w:jc w:val="center"/>
              <w:rPr>
                <w:kern w:val="0"/>
                <w:szCs w:val="21"/>
              </w:rPr>
            </w:pPr>
            <w:r>
              <w:rPr>
                <w:kern w:val="0"/>
                <w:szCs w:val="21"/>
              </w:rPr>
              <w:t>简单分析</w:t>
            </w:r>
          </w:p>
        </w:tc>
        <w:tc>
          <w:tcPr>
            <w:tcW w:w="4868" w:type="dxa"/>
            <w:vAlign w:val="center"/>
          </w:tcPr>
          <w:p>
            <w:pPr>
              <w:adjustRightInd w:val="0"/>
              <w:snapToGrid w:val="0"/>
              <w:spacing w:line="240" w:lineRule="exact"/>
              <w:jc w:val="center"/>
              <w:rPr>
                <w:kern w:val="0"/>
                <w:szCs w:val="21"/>
              </w:rPr>
            </w:pPr>
            <w:r>
              <w:rPr>
                <w:kern w:val="0"/>
                <w:szCs w:val="21"/>
              </w:rPr>
              <w:t>分别以沼气储存设施为中心半径3km的圆形合围的</w:t>
            </w:r>
          </w:p>
          <w:p>
            <w:pPr>
              <w:adjustRightInd w:val="0"/>
              <w:snapToGrid w:val="0"/>
              <w:spacing w:line="240" w:lineRule="exact"/>
              <w:rPr>
                <w:kern w:val="0"/>
                <w:szCs w:val="21"/>
              </w:rPr>
            </w:pPr>
            <w:r>
              <w:rPr>
                <w:kern w:val="0"/>
                <w:szCs w:val="21"/>
              </w:rPr>
              <w:t>区域</w:t>
            </w:r>
          </w:p>
        </w:tc>
      </w:tr>
    </w:tbl>
    <w:p>
      <w:pPr>
        <w:pStyle w:val="4"/>
        <w:spacing w:before="156" w:after="156"/>
        <w:rPr>
          <w:rFonts w:hAnsi="Times New Roman"/>
          <w:color w:val="000000"/>
        </w:rPr>
      </w:pPr>
      <w:bookmarkStart w:id="35" w:name="_Toc3019521"/>
      <w:bookmarkStart w:id="36" w:name="_Toc375206155"/>
      <w:r>
        <w:rPr>
          <w:rFonts w:hAnsi="Times New Roman"/>
          <w:color w:val="000000"/>
        </w:rPr>
        <w:t>1.11工程特点和环境保护目标</w:t>
      </w:r>
      <w:bookmarkEnd w:id="35"/>
    </w:p>
    <w:p>
      <w:pPr>
        <w:spacing w:line="600" w:lineRule="exact"/>
        <w:outlineLvl w:val="2"/>
        <w:rPr>
          <w:b/>
          <w:color w:val="000000"/>
          <w:sz w:val="24"/>
        </w:rPr>
      </w:pPr>
      <w:r>
        <w:rPr>
          <w:b/>
          <w:color w:val="000000"/>
          <w:sz w:val="24"/>
        </w:rPr>
        <w:t>1.11.1 工程特点</w:t>
      </w:r>
    </w:p>
    <w:p>
      <w:pPr>
        <w:spacing w:line="500" w:lineRule="exact"/>
        <w:ind w:firstLine="480" w:firstLineChars="200"/>
        <w:rPr>
          <w:bCs/>
          <w:color w:val="000000"/>
          <w:sz w:val="24"/>
        </w:rPr>
      </w:pPr>
      <w:r>
        <w:rPr>
          <w:bCs/>
          <w:color w:val="000000"/>
          <w:sz w:val="24"/>
        </w:rPr>
        <w:t>（1）本项目属于新建性质，年出栏生猪</w:t>
      </w:r>
      <w:r>
        <w:rPr>
          <w:rFonts w:hint="eastAsia"/>
          <w:bCs/>
          <w:color w:val="000000"/>
          <w:sz w:val="24"/>
        </w:rPr>
        <w:t>12.5万</w:t>
      </w:r>
      <w:r>
        <w:rPr>
          <w:bCs/>
          <w:color w:val="000000"/>
          <w:sz w:val="24"/>
        </w:rPr>
        <w:t>头。采用环保部认定的干清粪工艺。</w:t>
      </w:r>
    </w:p>
    <w:p>
      <w:pPr>
        <w:spacing w:line="500" w:lineRule="exact"/>
        <w:ind w:firstLine="480" w:firstLineChars="200"/>
        <w:rPr>
          <w:bCs/>
          <w:color w:val="000000"/>
          <w:sz w:val="24"/>
        </w:rPr>
      </w:pPr>
      <w:r>
        <w:rPr>
          <w:bCs/>
          <w:color w:val="000000"/>
          <w:sz w:val="24"/>
        </w:rPr>
        <w:t>（2）项目运行过程中产生的污染因素以废水、恶臭气体、固体废物和设备噪声为主。项目以“预防为主、防治结合”的技术方针，采用较为成熟的治理措施，可以将其对外环境的影响降至最低。</w:t>
      </w:r>
    </w:p>
    <w:p>
      <w:pPr>
        <w:spacing w:line="500" w:lineRule="exact"/>
        <w:ind w:firstLine="480" w:firstLineChars="200"/>
        <w:rPr>
          <w:bCs/>
          <w:color w:val="000000"/>
          <w:sz w:val="24"/>
        </w:rPr>
      </w:pPr>
      <w:r>
        <w:rPr>
          <w:bCs/>
          <w:color w:val="000000"/>
          <w:sz w:val="24"/>
        </w:rPr>
        <w:t>（3）项目为规模化养殖，养殖区采用环保部认定的干清粪工艺，减少养殖过程中冲洗废水产生量、降低废水中污染物的浓度；项目产生的猪粪以及本项目污水处理装置产生的沼渣运至项目区固粪处置区，采用好氧发酵工艺生产有机肥基肥，外售。</w:t>
      </w:r>
    </w:p>
    <w:p>
      <w:pPr>
        <w:spacing w:line="500" w:lineRule="exact"/>
        <w:ind w:firstLine="480" w:firstLineChars="200"/>
        <w:rPr>
          <w:bCs/>
          <w:color w:val="000000"/>
          <w:sz w:val="24"/>
        </w:rPr>
      </w:pPr>
      <w:r>
        <w:rPr>
          <w:bCs/>
          <w:color w:val="000000"/>
          <w:sz w:val="24"/>
        </w:rPr>
        <w:t>（4）项目产生的废水采用“污水处理+沼液农肥利用”的处理方式，实现废水资源化利用，“零排放”。</w:t>
      </w:r>
    </w:p>
    <w:p>
      <w:pPr>
        <w:spacing w:line="600" w:lineRule="exact"/>
        <w:outlineLvl w:val="2"/>
        <w:rPr>
          <w:b/>
          <w:color w:val="000000"/>
          <w:sz w:val="24"/>
        </w:rPr>
      </w:pPr>
      <w:r>
        <w:rPr>
          <w:b/>
          <w:color w:val="000000"/>
          <w:sz w:val="24"/>
        </w:rPr>
        <w:t>1.11.2 场址周围环境特点及环境保护目标</w:t>
      </w:r>
    </w:p>
    <w:p>
      <w:pPr>
        <w:spacing w:line="500" w:lineRule="exact"/>
        <w:ind w:firstLine="482" w:firstLineChars="200"/>
        <w:rPr>
          <w:b/>
          <w:bCs w:val="0"/>
          <w:color w:val="000000" w:themeColor="text1"/>
          <w:sz w:val="24"/>
          <w:u w:val="single"/>
        </w:rPr>
      </w:pPr>
      <w:r>
        <w:rPr>
          <w:b/>
          <w:bCs w:val="0"/>
          <w:color w:val="000000" w:themeColor="text1"/>
          <w:sz w:val="24"/>
          <w:u w:val="single"/>
        </w:rPr>
        <w:t>（1）场址周围环境特点</w:t>
      </w:r>
    </w:p>
    <w:p>
      <w:pPr>
        <w:spacing w:line="500" w:lineRule="exact"/>
        <w:ind w:firstLine="482" w:firstLineChars="200"/>
        <w:rPr>
          <w:b/>
          <w:bCs w:val="0"/>
          <w:color w:val="000000" w:themeColor="text1"/>
          <w:sz w:val="24"/>
          <w:u w:val="single"/>
        </w:rPr>
      </w:pPr>
      <w:r>
        <w:rPr>
          <w:b/>
          <w:bCs w:val="0"/>
          <w:color w:val="000000" w:themeColor="text1"/>
          <w:sz w:val="24"/>
          <w:u w:val="single"/>
        </w:rPr>
        <w:t>区域地表水：评价区域地表水体主要为项目</w:t>
      </w:r>
      <w:r>
        <w:rPr>
          <w:rFonts w:hint="eastAsia"/>
          <w:b/>
          <w:bCs w:val="0"/>
          <w:color w:val="000000" w:themeColor="text1"/>
          <w:sz w:val="24"/>
          <w:u w:val="single"/>
        </w:rPr>
        <w:t>西</w:t>
      </w:r>
      <w:r>
        <w:rPr>
          <w:b/>
          <w:bCs w:val="0"/>
          <w:color w:val="000000"/>
          <w:sz w:val="24"/>
          <w:u w:val="single"/>
          <w:lang w:val="zh-CN"/>
        </w:rPr>
        <w:t>侧</w:t>
      </w:r>
      <w:r>
        <w:rPr>
          <w:rFonts w:hint="eastAsia"/>
          <w:b/>
          <w:bCs w:val="0"/>
          <w:color w:val="000000"/>
          <w:sz w:val="24"/>
          <w:u w:val="single"/>
        </w:rPr>
        <w:t>583</w:t>
      </w:r>
      <w:r>
        <w:rPr>
          <w:b/>
          <w:bCs w:val="0"/>
          <w:color w:val="000000"/>
          <w:sz w:val="24"/>
          <w:u w:val="single"/>
          <w:lang w:val="zh-CN"/>
        </w:rPr>
        <w:t>m处的</w:t>
      </w:r>
      <w:r>
        <w:rPr>
          <w:rFonts w:hint="eastAsia"/>
          <w:b/>
          <w:bCs w:val="0"/>
          <w:color w:val="000000"/>
          <w:sz w:val="24"/>
          <w:u w:val="single"/>
          <w:lang w:val="zh-CN"/>
        </w:rPr>
        <w:t>大黄港河</w:t>
      </w:r>
      <w:r>
        <w:rPr>
          <w:b/>
          <w:bCs w:val="0"/>
          <w:color w:val="000000" w:themeColor="text1"/>
          <w:sz w:val="24"/>
          <w:u w:val="single"/>
        </w:rPr>
        <w:t>，根据《河南省水环境功能区划》，规划水质为</w:t>
      </w:r>
      <w:r>
        <w:rPr>
          <w:rFonts w:hint="eastAsia" w:ascii="宋体" w:hAnsi="宋体" w:cs="宋体"/>
          <w:b/>
          <w:bCs w:val="0"/>
          <w:szCs w:val="21"/>
          <w:u w:val="single"/>
        </w:rPr>
        <w:t>Ⅲ</w:t>
      </w:r>
      <w:r>
        <w:rPr>
          <w:b/>
          <w:bCs w:val="0"/>
          <w:color w:val="000000" w:themeColor="text1"/>
          <w:sz w:val="24"/>
          <w:u w:val="single"/>
        </w:rPr>
        <w:t>类。本项目畜禽粪便贮存位置距离</w:t>
      </w:r>
      <w:r>
        <w:rPr>
          <w:rFonts w:hint="eastAsia"/>
          <w:b/>
          <w:bCs w:val="0"/>
          <w:color w:val="000000" w:themeColor="text1"/>
          <w:sz w:val="24"/>
          <w:u w:val="single"/>
        </w:rPr>
        <w:t>大黄港</w:t>
      </w:r>
      <w:r>
        <w:rPr>
          <w:b/>
          <w:bCs w:val="0"/>
          <w:color w:val="000000" w:themeColor="text1"/>
          <w:sz w:val="24"/>
          <w:u w:val="single"/>
        </w:rPr>
        <w:t>河约800m，满足《畜禽养殖业污染防治技术规范》中“畜禽粪便的贮存设施的位置必须远离各类功能地表水体（距离不得小于400m）”的要求。</w:t>
      </w:r>
    </w:p>
    <w:p>
      <w:pPr>
        <w:spacing w:line="500" w:lineRule="exact"/>
        <w:ind w:firstLine="482" w:firstLineChars="200"/>
        <w:rPr>
          <w:rFonts w:ascii="Times New Roman" w:hAnsi="Times New Roman" w:cs="Times New Roman"/>
          <w:b/>
          <w:bCs w:val="0"/>
          <w:color w:val="000000" w:themeColor="text1"/>
          <w:sz w:val="24"/>
          <w:u w:val="single"/>
        </w:rPr>
      </w:pPr>
      <w:r>
        <w:rPr>
          <w:rFonts w:hint="eastAsia" w:ascii="Times New Roman" w:hAnsi="Times New Roman" w:cs="Times New Roman"/>
          <w:b/>
          <w:bCs w:val="0"/>
          <w:color w:val="000000" w:themeColor="text1"/>
          <w:sz w:val="24"/>
          <w:u w:val="single"/>
          <w:lang w:eastAsia="zh-CN"/>
        </w:rPr>
        <w:t>项目距离最近的规模化养殖场为厂区西北约</w:t>
      </w:r>
      <w:r>
        <w:rPr>
          <w:rFonts w:hint="eastAsia" w:ascii="Times New Roman" w:hAnsi="Times New Roman" w:cs="Times New Roman"/>
          <w:b/>
          <w:bCs w:val="0"/>
          <w:color w:val="000000" w:themeColor="text1"/>
          <w:sz w:val="24"/>
          <w:u w:val="single"/>
          <w:lang w:val="en-US" w:eastAsia="zh-CN"/>
        </w:rPr>
        <w:t>2900m处的平舆牧原农牧有限公司二十一场生猪养殖项目。厂区距离东和店镇集中式饮用水水源地一级保护区最近距离约为6.9km，项目距离最近居民分散饮用水井507m，消纳地距离最近居民分散饮用水井113m。</w:t>
      </w:r>
    </w:p>
    <w:p>
      <w:pPr>
        <w:spacing w:line="500" w:lineRule="exact"/>
        <w:ind w:firstLine="482" w:firstLineChars="200"/>
        <w:rPr>
          <w:b/>
          <w:bCs w:val="0"/>
          <w:color w:val="000000" w:themeColor="text1"/>
          <w:sz w:val="24"/>
          <w:u w:val="single"/>
        </w:rPr>
      </w:pPr>
      <w:r>
        <w:rPr>
          <w:b/>
          <w:bCs w:val="0"/>
          <w:color w:val="000000" w:themeColor="text1"/>
          <w:sz w:val="24"/>
          <w:u w:val="single"/>
        </w:rPr>
        <w:t>项目区周边环境概况如下：项目区地处农村，周围无工业企业分布，均为农田及村庄。</w:t>
      </w:r>
    </w:p>
    <w:p>
      <w:pPr>
        <w:spacing w:line="500" w:lineRule="exact"/>
        <w:ind w:firstLine="482" w:firstLineChars="200"/>
        <w:rPr>
          <w:b/>
          <w:bCs w:val="0"/>
          <w:color w:val="000000" w:themeColor="text1"/>
          <w:sz w:val="24"/>
          <w:u w:val="single"/>
        </w:rPr>
      </w:pPr>
      <w:r>
        <w:rPr>
          <w:b/>
          <w:bCs w:val="0"/>
          <w:color w:val="000000" w:themeColor="text1"/>
          <w:sz w:val="24"/>
          <w:u w:val="single"/>
        </w:rPr>
        <w:t>（2）环境保护目标</w:t>
      </w:r>
    </w:p>
    <w:p>
      <w:pPr>
        <w:spacing w:line="560" w:lineRule="exact"/>
        <w:ind w:firstLine="482" w:firstLineChars="200"/>
        <w:rPr>
          <w:b/>
          <w:bCs w:val="0"/>
          <w:color w:val="000000" w:themeColor="text1"/>
          <w:sz w:val="24"/>
          <w:u w:val="single"/>
          <w:lang w:val="zh-CN"/>
        </w:rPr>
      </w:pPr>
      <w:r>
        <w:rPr>
          <w:b/>
          <w:bCs w:val="0"/>
          <w:color w:val="000000" w:themeColor="text1"/>
          <w:sz w:val="24"/>
          <w:u w:val="single"/>
          <w:lang w:val="zh-CN"/>
        </w:rPr>
        <w:t>该项目位于平舆县</w:t>
      </w:r>
      <w:r>
        <w:rPr>
          <w:rFonts w:hint="eastAsia"/>
          <w:b/>
          <w:bCs w:val="0"/>
          <w:color w:val="000000" w:themeColor="text1"/>
          <w:sz w:val="24"/>
          <w:u w:val="single"/>
          <w:lang w:val="zh-CN"/>
        </w:rPr>
        <w:t>东和店镇邢岗村</w:t>
      </w:r>
      <w:r>
        <w:rPr>
          <w:b/>
          <w:bCs w:val="0"/>
          <w:color w:val="000000" w:themeColor="text1"/>
          <w:sz w:val="24"/>
          <w:u w:val="single"/>
          <w:lang w:val="zh-CN"/>
        </w:rPr>
        <w:t>，场区四周农田围绕，地形相对平坦。种植作物有玉米、小麦等；场址周围敏感点有：</w:t>
      </w:r>
      <w:r>
        <w:rPr>
          <w:rFonts w:hint="eastAsia"/>
          <w:b/>
          <w:bCs w:val="0"/>
          <w:color w:val="000000" w:themeColor="text1"/>
          <w:sz w:val="24"/>
          <w:u w:val="single"/>
          <w:lang w:val="zh-CN"/>
        </w:rPr>
        <w:t>东南</w:t>
      </w:r>
      <w:r>
        <w:rPr>
          <w:b/>
          <w:bCs w:val="0"/>
          <w:color w:val="000000" w:themeColor="text1"/>
          <w:sz w:val="24"/>
          <w:u w:val="single"/>
          <w:lang w:val="zh-CN"/>
        </w:rPr>
        <w:t>侧</w:t>
      </w:r>
      <w:r>
        <w:rPr>
          <w:rFonts w:hint="eastAsia"/>
          <w:b/>
          <w:bCs w:val="0"/>
          <w:color w:val="000000" w:themeColor="text1"/>
          <w:sz w:val="24"/>
          <w:u w:val="single"/>
          <w:lang w:val="en-US" w:eastAsia="zh-CN"/>
        </w:rPr>
        <w:t>507</w:t>
      </w:r>
      <w:r>
        <w:rPr>
          <w:b/>
          <w:bCs w:val="0"/>
          <w:color w:val="000000" w:themeColor="text1"/>
          <w:sz w:val="24"/>
          <w:u w:val="single"/>
          <w:lang w:val="zh-CN"/>
        </w:rPr>
        <w:t>m处为</w:t>
      </w:r>
      <w:r>
        <w:rPr>
          <w:rFonts w:hint="eastAsia"/>
          <w:b/>
          <w:bCs w:val="0"/>
          <w:color w:val="000000" w:themeColor="text1"/>
          <w:sz w:val="24"/>
          <w:u w:val="single"/>
          <w:lang w:val="zh-CN"/>
        </w:rPr>
        <w:t>邢寨村</w:t>
      </w:r>
      <w:r>
        <w:rPr>
          <w:b/>
          <w:bCs w:val="0"/>
          <w:color w:val="000000" w:themeColor="text1"/>
          <w:sz w:val="24"/>
          <w:u w:val="single"/>
          <w:lang w:val="zh-CN"/>
        </w:rPr>
        <w:t>，</w:t>
      </w:r>
      <w:r>
        <w:rPr>
          <w:rFonts w:hint="eastAsia"/>
          <w:b/>
          <w:bCs w:val="0"/>
          <w:color w:val="000000" w:themeColor="text1"/>
          <w:sz w:val="24"/>
          <w:u w:val="single"/>
          <w:lang w:val="zh-CN"/>
        </w:rPr>
        <w:t>南</w:t>
      </w:r>
      <w:r>
        <w:rPr>
          <w:b/>
          <w:bCs w:val="0"/>
          <w:color w:val="000000" w:themeColor="text1"/>
          <w:sz w:val="24"/>
          <w:u w:val="single"/>
          <w:lang w:val="zh-CN"/>
        </w:rPr>
        <w:t>侧</w:t>
      </w:r>
      <w:r>
        <w:rPr>
          <w:rFonts w:hint="eastAsia"/>
          <w:b/>
          <w:bCs w:val="0"/>
          <w:color w:val="000000" w:themeColor="text1"/>
          <w:sz w:val="24"/>
          <w:u w:val="single"/>
        </w:rPr>
        <w:t>1140</w:t>
      </w:r>
      <w:r>
        <w:rPr>
          <w:b/>
          <w:bCs w:val="0"/>
          <w:color w:val="000000" w:themeColor="text1"/>
          <w:sz w:val="24"/>
          <w:u w:val="single"/>
          <w:lang w:val="zh-CN"/>
        </w:rPr>
        <w:t>m处为</w:t>
      </w:r>
      <w:r>
        <w:rPr>
          <w:rFonts w:hint="eastAsia"/>
          <w:b/>
          <w:bCs w:val="0"/>
          <w:color w:val="000000" w:themeColor="text1"/>
          <w:sz w:val="24"/>
          <w:u w:val="single"/>
          <w:lang w:val="zh-CN"/>
        </w:rPr>
        <w:t>老任村</w:t>
      </w:r>
      <w:r>
        <w:rPr>
          <w:b/>
          <w:bCs w:val="0"/>
          <w:color w:val="000000" w:themeColor="text1"/>
          <w:sz w:val="24"/>
          <w:u w:val="single"/>
          <w:lang w:val="zh-CN"/>
        </w:rPr>
        <w:t>，</w:t>
      </w:r>
      <w:r>
        <w:rPr>
          <w:rFonts w:hint="eastAsia"/>
          <w:b/>
          <w:bCs w:val="0"/>
          <w:color w:val="000000" w:themeColor="text1"/>
          <w:sz w:val="24"/>
          <w:u w:val="single"/>
          <w:lang w:val="zh-CN"/>
        </w:rPr>
        <w:t>西</w:t>
      </w:r>
      <w:r>
        <w:rPr>
          <w:b/>
          <w:bCs w:val="0"/>
          <w:color w:val="000000" w:themeColor="text1"/>
          <w:sz w:val="24"/>
          <w:u w:val="single"/>
          <w:lang w:val="zh-CN"/>
        </w:rPr>
        <w:t>侧</w:t>
      </w:r>
      <w:r>
        <w:rPr>
          <w:rFonts w:hint="eastAsia"/>
          <w:b/>
          <w:bCs w:val="0"/>
          <w:color w:val="000000" w:themeColor="text1"/>
          <w:sz w:val="24"/>
          <w:u w:val="single"/>
        </w:rPr>
        <w:t>1876</w:t>
      </w:r>
      <w:r>
        <w:rPr>
          <w:b/>
          <w:bCs w:val="0"/>
          <w:color w:val="000000" w:themeColor="text1"/>
          <w:sz w:val="24"/>
          <w:u w:val="single"/>
          <w:lang w:val="zh-CN"/>
        </w:rPr>
        <w:t>m处为</w:t>
      </w:r>
      <w:r>
        <w:rPr>
          <w:rFonts w:hint="eastAsia"/>
          <w:b/>
          <w:bCs w:val="0"/>
          <w:color w:val="000000" w:themeColor="text1"/>
          <w:sz w:val="24"/>
          <w:u w:val="single"/>
          <w:lang w:val="zh-CN"/>
        </w:rPr>
        <w:t>后湾村</w:t>
      </w:r>
      <w:r>
        <w:rPr>
          <w:b/>
          <w:bCs w:val="0"/>
          <w:color w:val="000000" w:themeColor="text1"/>
          <w:sz w:val="24"/>
          <w:u w:val="single"/>
          <w:lang w:val="zh-CN"/>
        </w:rPr>
        <w:t>，</w:t>
      </w:r>
      <w:r>
        <w:rPr>
          <w:rFonts w:hint="eastAsia"/>
          <w:b/>
          <w:bCs w:val="0"/>
          <w:color w:val="000000" w:themeColor="text1"/>
          <w:sz w:val="24"/>
          <w:u w:val="single"/>
          <w:lang w:val="zh-CN"/>
        </w:rPr>
        <w:t>北</w:t>
      </w:r>
      <w:r>
        <w:rPr>
          <w:b/>
          <w:bCs w:val="0"/>
          <w:color w:val="000000" w:themeColor="text1"/>
          <w:sz w:val="24"/>
          <w:u w:val="single"/>
          <w:lang w:val="zh-CN"/>
        </w:rPr>
        <w:t>侧</w:t>
      </w:r>
      <w:r>
        <w:rPr>
          <w:rFonts w:hint="eastAsia"/>
          <w:b/>
          <w:bCs w:val="0"/>
          <w:color w:val="000000" w:themeColor="text1"/>
          <w:sz w:val="24"/>
          <w:u w:val="single"/>
        </w:rPr>
        <w:t>955</w:t>
      </w:r>
      <w:r>
        <w:rPr>
          <w:b/>
          <w:bCs w:val="0"/>
          <w:color w:val="000000" w:themeColor="text1"/>
          <w:sz w:val="24"/>
          <w:u w:val="single"/>
          <w:lang w:val="zh-CN"/>
        </w:rPr>
        <w:t>m处为</w:t>
      </w:r>
      <w:r>
        <w:rPr>
          <w:rFonts w:hint="eastAsia"/>
          <w:b/>
          <w:bCs w:val="0"/>
          <w:color w:val="000000" w:themeColor="text1"/>
          <w:sz w:val="24"/>
          <w:u w:val="single"/>
          <w:lang w:val="zh-CN"/>
        </w:rPr>
        <w:t>仙翁庙村</w:t>
      </w:r>
      <w:r>
        <w:rPr>
          <w:b/>
          <w:bCs w:val="0"/>
          <w:color w:val="000000" w:themeColor="text1"/>
          <w:sz w:val="24"/>
          <w:u w:val="single"/>
          <w:lang w:val="zh-CN"/>
        </w:rPr>
        <w:t>，</w:t>
      </w:r>
      <w:r>
        <w:rPr>
          <w:rFonts w:hint="eastAsia"/>
          <w:b/>
          <w:bCs w:val="0"/>
          <w:color w:val="000000" w:themeColor="text1"/>
          <w:sz w:val="24"/>
          <w:u w:val="single"/>
          <w:lang w:val="zh-CN"/>
        </w:rPr>
        <w:t>西</w:t>
      </w:r>
      <w:r>
        <w:rPr>
          <w:b/>
          <w:bCs w:val="0"/>
          <w:color w:val="000000"/>
          <w:sz w:val="24"/>
          <w:u w:val="single"/>
          <w:lang w:val="zh-CN"/>
        </w:rPr>
        <w:t>侧</w:t>
      </w:r>
      <w:r>
        <w:rPr>
          <w:rFonts w:hint="eastAsia"/>
          <w:b/>
          <w:bCs w:val="0"/>
          <w:color w:val="000000"/>
          <w:sz w:val="24"/>
          <w:u w:val="single"/>
        </w:rPr>
        <w:t>583</w:t>
      </w:r>
      <w:r>
        <w:rPr>
          <w:b/>
          <w:bCs w:val="0"/>
          <w:color w:val="000000"/>
          <w:sz w:val="24"/>
          <w:u w:val="single"/>
          <w:lang w:val="zh-CN"/>
        </w:rPr>
        <w:t>m处的</w:t>
      </w:r>
      <w:r>
        <w:rPr>
          <w:rFonts w:hint="eastAsia"/>
          <w:b/>
          <w:bCs w:val="0"/>
          <w:color w:val="000000"/>
          <w:sz w:val="24"/>
          <w:u w:val="single"/>
          <w:lang w:val="zh-CN"/>
        </w:rPr>
        <w:t>大黄港</w:t>
      </w:r>
      <w:r>
        <w:rPr>
          <w:b/>
          <w:bCs w:val="0"/>
          <w:color w:val="000000"/>
          <w:sz w:val="24"/>
          <w:u w:val="single"/>
          <w:lang w:val="zh-CN"/>
        </w:rPr>
        <w:t>河</w:t>
      </w:r>
      <w:r>
        <w:rPr>
          <w:b/>
          <w:bCs w:val="0"/>
          <w:color w:val="000000" w:themeColor="text1"/>
          <w:sz w:val="24"/>
          <w:u w:val="single"/>
          <w:lang w:val="zh-CN"/>
        </w:rPr>
        <w:t>。</w:t>
      </w:r>
      <w:r>
        <w:rPr>
          <w:b/>
          <w:bCs w:val="0"/>
          <w:color w:val="000000" w:themeColor="text1"/>
          <w:sz w:val="24"/>
          <w:u w:val="single"/>
        </w:rPr>
        <w:t>项目周围环境保护目标见表1-14和附图二。</w:t>
      </w:r>
    </w:p>
    <w:p>
      <w:pPr>
        <w:spacing w:line="500" w:lineRule="exact"/>
        <w:ind w:firstLine="422" w:firstLineChars="200"/>
        <w:jc w:val="center"/>
        <w:rPr>
          <w:b/>
          <w:bCs w:val="0"/>
          <w:szCs w:val="21"/>
          <w:u w:val="single"/>
        </w:rPr>
      </w:pPr>
      <w:r>
        <w:rPr>
          <w:b/>
          <w:bCs w:val="0"/>
          <w:szCs w:val="21"/>
          <w:u w:val="single"/>
        </w:rPr>
        <w:t>表1-14   环境保护目标一览表</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336"/>
        <w:gridCol w:w="1192"/>
        <w:gridCol w:w="895"/>
        <w:gridCol w:w="893"/>
        <w:gridCol w:w="893"/>
        <w:gridCol w:w="2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157" w:type="dxa"/>
            <w:vAlign w:val="center"/>
          </w:tcPr>
          <w:p>
            <w:pPr>
              <w:spacing w:line="320" w:lineRule="exact"/>
              <w:jc w:val="center"/>
              <w:rPr>
                <w:b/>
                <w:bCs w:val="0"/>
                <w:szCs w:val="21"/>
                <w:u w:val="single"/>
              </w:rPr>
            </w:pPr>
            <w:r>
              <w:rPr>
                <w:b/>
                <w:bCs w:val="0"/>
                <w:szCs w:val="21"/>
                <w:u w:val="single"/>
              </w:rPr>
              <w:t>环境要素</w:t>
            </w:r>
          </w:p>
        </w:tc>
        <w:tc>
          <w:tcPr>
            <w:tcW w:w="1336" w:type="dxa"/>
            <w:vAlign w:val="center"/>
          </w:tcPr>
          <w:p>
            <w:pPr>
              <w:spacing w:line="320" w:lineRule="exact"/>
              <w:jc w:val="center"/>
              <w:rPr>
                <w:b/>
                <w:bCs w:val="0"/>
                <w:szCs w:val="21"/>
                <w:u w:val="single"/>
              </w:rPr>
            </w:pPr>
            <w:r>
              <w:rPr>
                <w:b/>
                <w:bCs w:val="0"/>
                <w:szCs w:val="21"/>
                <w:u w:val="single"/>
              </w:rPr>
              <w:t>环境保护对象名称</w:t>
            </w:r>
          </w:p>
        </w:tc>
        <w:tc>
          <w:tcPr>
            <w:tcW w:w="1192" w:type="dxa"/>
            <w:vAlign w:val="center"/>
          </w:tcPr>
          <w:p>
            <w:pPr>
              <w:spacing w:line="320" w:lineRule="exact"/>
              <w:jc w:val="center"/>
              <w:rPr>
                <w:b/>
                <w:bCs w:val="0"/>
                <w:szCs w:val="21"/>
                <w:u w:val="single"/>
              </w:rPr>
            </w:pPr>
            <w:r>
              <w:rPr>
                <w:b/>
                <w:bCs w:val="0"/>
                <w:szCs w:val="21"/>
                <w:u w:val="single"/>
              </w:rPr>
              <w:t>与养殖场相对方位</w:t>
            </w:r>
          </w:p>
        </w:tc>
        <w:tc>
          <w:tcPr>
            <w:tcW w:w="895" w:type="dxa"/>
            <w:vAlign w:val="center"/>
          </w:tcPr>
          <w:p>
            <w:pPr>
              <w:spacing w:line="320" w:lineRule="exact"/>
              <w:jc w:val="center"/>
              <w:rPr>
                <w:b/>
                <w:bCs w:val="0"/>
                <w:szCs w:val="21"/>
                <w:u w:val="single"/>
              </w:rPr>
            </w:pPr>
            <w:r>
              <w:rPr>
                <w:b/>
                <w:bCs w:val="0"/>
                <w:szCs w:val="21"/>
                <w:u w:val="single"/>
              </w:rPr>
              <w:t>距离（m）</w:t>
            </w:r>
          </w:p>
        </w:tc>
        <w:tc>
          <w:tcPr>
            <w:tcW w:w="893" w:type="dxa"/>
            <w:vAlign w:val="center"/>
          </w:tcPr>
          <w:p>
            <w:pPr>
              <w:spacing w:line="320" w:lineRule="exact"/>
              <w:jc w:val="center"/>
              <w:rPr>
                <w:b/>
                <w:bCs w:val="0"/>
                <w:szCs w:val="21"/>
                <w:u w:val="single"/>
              </w:rPr>
            </w:pPr>
            <w:r>
              <w:rPr>
                <w:b/>
                <w:bCs w:val="0"/>
                <w:szCs w:val="21"/>
                <w:u w:val="single"/>
              </w:rPr>
              <w:t>人口</w:t>
            </w:r>
          </w:p>
        </w:tc>
        <w:tc>
          <w:tcPr>
            <w:tcW w:w="893" w:type="dxa"/>
            <w:vAlign w:val="center"/>
          </w:tcPr>
          <w:p>
            <w:pPr>
              <w:spacing w:line="320" w:lineRule="exact"/>
              <w:jc w:val="center"/>
              <w:rPr>
                <w:b/>
                <w:bCs w:val="0"/>
                <w:szCs w:val="21"/>
                <w:u w:val="single"/>
              </w:rPr>
            </w:pPr>
            <w:r>
              <w:rPr>
                <w:b/>
                <w:bCs w:val="0"/>
                <w:szCs w:val="21"/>
                <w:u w:val="single"/>
              </w:rPr>
              <w:t>户数</w:t>
            </w:r>
          </w:p>
        </w:tc>
        <w:tc>
          <w:tcPr>
            <w:tcW w:w="2580" w:type="dxa"/>
            <w:vAlign w:val="center"/>
          </w:tcPr>
          <w:p>
            <w:pPr>
              <w:spacing w:line="320" w:lineRule="exact"/>
              <w:jc w:val="center"/>
              <w:rPr>
                <w:b/>
                <w:bCs w:val="0"/>
                <w:szCs w:val="21"/>
                <w:u w:val="single"/>
              </w:rPr>
            </w:pPr>
            <w:r>
              <w:rPr>
                <w:b/>
                <w:bCs w:val="0"/>
                <w:szCs w:val="21"/>
                <w:u w:val="single"/>
              </w:rPr>
              <w:t>环境功能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restart"/>
            <w:shd w:val="clear" w:color="auto" w:fill="auto"/>
            <w:vAlign w:val="center"/>
          </w:tcPr>
          <w:p>
            <w:pPr>
              <w:spacing w:line="320" w:lineRule="exact"/>
              <w:jc w:val="center"/>
              <w:rPr>
                <w:b/>
                <w:bCs w:val="0"/>
                <w:szCs w:val="21"/>
                <w:u w:val="single"/>
              </w:rPr>
            </w:pPr>
            <w:r>
              <w:rPr>
                <w:b/>
                <w:bCs w:val="0"/>
                <w:szCs w:val="21"/>
                <w:u w:val="single"/>
              </w:rPr>
              <w:t>空气环境</w:t>
            </w: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仙翁庙村</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N</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955</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3012</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603</w:t>
            </w:r>
          </w:p>
        </w:tc>
        <w:tc>
          <w:tcPr>
            <w:tcW w:w="2580" w:type="dxa"/>
            <w:vMerge w:val="restart"/>
            <w:vAlign w:val="center"/>
          </w:tcPr>
          <w:p>
            <w:pPr>
              <w:spacing w:line="320" w:lineRule="exact"/>
              <w:jc w:val="center"/>
              <w:rPr>
                <w:b/>
                <w:bCs w:val="0"/>
                <w:szCs w:val="21"/>
                <w:u w:val="single"/>
              </w:rPr>
            </w:pPr>
            <w:r>
              <w:rPr>
                <w:b/>
                <w:bCs w:val="0"/>
                <w:szCs w:val="21"/>
                <w:u w:val="single"/>
              </w:rPr>
              <w:t>《环境空气质量标准》（GB3095-2012）中二类、</w:t>
            </w:r>
            <w:r>
              <w:rPr>
                <w:rFonts w:hint="eastAsia"/>
                <w:b/>
                <w:bCs w:val="0"/>
                <w:szCs w:val="21"/>
                <w:u w:val="single"/>
              </w:rPr>
              <w:t>《环境影响评价技术导则 大气环境（HJ2.2-2018）》中附录D</w:t>
            </w:r>
            <w:r>
              <w:rPr>
                <w:b/>
                <w:bCs w:val="0"/>
                <w:szCs w:val="21"/>
                <w:u w:val="single"/>
              </w:rPr>
              <w:t>中居住区大气中有害物质的最高容许浓度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关庄</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NE</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2389</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1056</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211</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史庄寨</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NE</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1966</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956</w:t>
            </w:r>
          </w:p>
        </w:tc>
        <w:tc>
          <w:tcPr>
            <w:tcW w:w="893" w:type="dxa"/>
            <w:vAlign w:val="center"/>
          </w:tcPr>
          <w:p>
            <w:pPr>
              <w:widowControl/>
              <w:jc w:val="center"/>
              <w:textAlignment w:val="center"/>
              <w:rPr>
                <w:b/>
                <w:bCs w:val="0"/>
                <w:color w:val="000000"/>
                <w:sz w:val="22"/>
                <w:szCs w:val="22"/>
                <w:u w:val="single"/>
              </w:rPr>
            </w:pPr>
            <w:r>
              <w:rPr>
                <w:b/>
                <w:bCs w:val="0"/>
                <w:color w:val="000000"/>
                <w:kern w:val="0"/>
                <w:szCs w:val="21"/>
                <w:u w:val="single"/>
              </w:rPr>
              <w:t>192</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邢寨村</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SE</w:t>
            </w:r>
          </w:p>
        </w:tc>
        <w:tc>
          <w:tcPr>
            <w:tcW w:w="895" w:type="dxa"/>
            <w:vAlign w:val="center"/>
          </w:tcPr>
          <w:p>
            <w:pPr>
              <w:widowControl/>
              <w:jc w:val="center"/>
              <w:textAlignment w:val="center"/>
              <w:rPr>
                <w:rFonts w:hint="eastAsia" w:eastAsia="宋体"/>
                <w:b/>
                <w:bCs w:val="0"/>
                <w:color w:val="000000"/>
                <w:sz w:val="22"/>
                <w:szCs w:val="22"/>
                <w:u w:val="single"/>
                <w:lang w:eastAsia="zh-CN"/>
              </w:rPr>
            </w:pPr>
            <w:r>
              <w:rPr>
                <w:rFonts w:hint="eastAsia"/>
                <w:b/>
                <w:bCs w:val="0"/>
                <w:color w:val="000000"/>
                <w:kern w:val="0"/>
                <w:szCs w:val="21"/>
                <w:u w:val="single"/>
                <w:lang w:eastAsia="zh-CN"/>
              </w:rPr>
              <w:t>507</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1552</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312</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邢岗村</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SE</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1223</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1568</w:t>
            </w:r>
          </w:p>
        </w:tc>
        <w:tc>
          <w:tcPr>
            <w:tcW w:w="893" w:type="dxa"/>
            <w:vAlign w:val="center"/>
          </w:tcPr>
          <w:p>
            <w:pPr>
              <w:widowControl/>
              <w:jc w:val="center"/>
              <w:textAlignment w:val="center"/>
              <w:rPr>
                <w:b/>
                <w:bCs w:val="0"/>
                <w:color w:val="000000"/>
                <w:sz w:val="22"/>
                <w:szCs w:val="22"/>
                <w:u w:val="single"/>
              </w:rPr>
            </w:pPr>
            <w:r>
              <w:rPr>
                <w:b/>
                <w:bCs w:val="0"/>
                <w:color w:val="000000"/>
                <w:kern w:val="0"/>
                <w:szCs w:val="21"/>
                <w:u w:val="single"/>
              </w:rPr>
              <w:t>315</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南李庄</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SE</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1841</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1072</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212</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徐庄</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SE</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2005</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1260</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256</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后小杨庄</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SE</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2095</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368</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76</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中杨楼</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SE</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1935</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2855</w:t>
            </w:r>
          </w:p>
        </w:tc>
        <w:tc>
          <w:tcPr>
            <w:tcW w:w="893" w:type="dxa"/>
            <w:vAlign w:val="center"/>
          </w:tcPr>
          <w:p>
            <w:pPr>
              <w:widowControl/>
              <w:jc w:val="center"/>
              <w:textAlignment w:val="center"/>
              <w:rPr>
                <w:b/>
                <w:bCs w:val="0"/>
                <w:color w:val="000000"/>
                <w:sz w:val="22"/>
                <w:szCs w:val="22"/>
                <w:u w:val="single"/>
              </w:rPr>
            </w:pPr>
            <w:r>
              <w:rPr>
                <w:b/>
                <w:bCs w:val="0"/>
                <w:color w:val="000000"/>
                <w:kern w:val="0"/>
                <w:szCs w:val="21"/>
                <w:u w:val="single"/>
              </w:rPr>
              <w:t>575</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后刘庄</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S</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1576</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1162</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233</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前邢寨</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S</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1263</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1086</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211</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老任村</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S</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1140</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1521</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298</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小任庄</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S</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1638</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852</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169</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任涂庄</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SW</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2241</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306</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61</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任王庄</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SW</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2265</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408</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82</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任郭庄</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SW</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2029</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667</w:t>
            </w:r>
          </w:p>
        </w:tc>
        <w:tc>
          <w:tcPr>
            <w:tcW w:w="893" w:type="dxa"/>
            <w:vAlign w:val="center"/>
          </w:tcPr>
          <w:p>
            <w:pPr>
              <w:widowControl/>
              <w:jc w:val="center"/>
              <w:textAlignment w:val="center"/>
              <w:rPr>
                <w:b/>
                <w:bCs w:val="0"/>
                <w:color w:val="000000"/>
                <w:sz w:val="22"/>
                <w:szCs w:val="22"/>
                <w:u w:val="single"/>
              </w:rPr>
            </w:pPr>
            <w:r>
              <w:rPr>
                <w:b/>
                <w:bCs w:val="0"/>
                <w:color w:val="000000"/>
                <w:kern w:val="0"/>
                <w:szCs w:val="21"/>
                <w:u w:val="single"/>
              </w:rPr>
              <w:t>132</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前湾</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W</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1966</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628</w:t>
            </w:r>
          </w:p>
        </w:tc>
        <w:tc>
          <w:tcPr>
            <w:tcW w:w="893" w:type="dxa"/>
            <w:vAlign w:val="center"/>
          </w:tcPr>
          <w:p>
            <w:pPr>
              <w:widowControl/>
              <w:jc w:val="center"/>
              <w:textAlignment w:val="center"/>
              <w:rPr>
                <w:b/>
                <w:bCs w:val="0"/>
                <w:color w:val="000000"/>
                <w:sz w:val="22"/>
                <w:szCs w:val="22"/>
                <w:u w:val="single"/>
              </w:rPr>
            </w:pPr>
            <w:r>
              <w:rPr>
                <w:b/>
                <w:bCs w:val="0"/>
                <w:color w:val="000000"/>
                <w:kern w:val="0"/>
                <w:szCs w:val="21"/>
                <w:u w:val="single"/>
              </w:rPr>
              <w:t>125</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后湾</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W</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1876</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452</w:t>
            </w:r>
          </w:p>
        </w:tc>
        <w:tc>
          <w:tcPr>
            <w:tcW w:w="893" w:type="dxa"/>
            <w:vAlign w:val="center"/>
          </w:tcPr>
          <w:p>
            <w:pPr>
              <w:widowControl/>
              <w:jc w:val="center"/>
              <w:textAlignment w:val="center"/>
              <w:rPr>
                <w:b/>
                <w:bCs w:val="0"/>
                <w:color w:val="000000"/>
                <w:sz w:val="22"/>
                <w:szCs w:val="22"/>
                <w:u w:val="single"/>
              </w:rPr>
            </w:pPr>
            <w:r>
              <w:rPr>
                <w:b/>
                <w:bCs w:val="0"/>
                <w:color w:val="000000"/>
                <w:kern w:val="0"/>
                <w:szCs w:val="21"/>
                <w:u w:val="single"/>
              </w:rPr>
              <w:t>87</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大湾村</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W</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2465</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1028</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205</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金刘村</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NW</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1974</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1598</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316</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士陈庄</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NW</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1287</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870</w:t>
            </w:r>
          </w:p>
        </w:tc>
        <w:tc>
          <w:tcPr>
            <w:tcW w:w="893" w:type="dxa"/>
            <w:vAlign w:val="center"/>
          </w:tcPr>
          <w:p>
            <w:pPr>
              <w:widowControl/>
              <w:jc w:val="center"/>
              <w:textAlignment w:val="center"/>
              <w:rPr>
                <w:b/>
                <w:bCs w:val="0"/>
                <w:color w:val="000000"/>
                <w:sz w:val="22"/>
                <w:szCs w:val="22"/>
                <w:u w:val="single"/>
              </w:rPr>
            </w:pPr>
            <w:r>
              <w:rPr>
                <w:b/>
                <w:bCs w:val="0"/>
                <w:color w:val="000000"/>
                <w:kern w:val="0"/>
                <w:szCs w:val="21"/>
                <w:u w:val="single"/>
              </w:rPr>
              <w:t>173</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Merge w:val="continue"/>
            <w:shd w:val="clear" w:color="auto" w:fill="auto"/>
            <w:vAlign w:val="center"/>
          </w:tcPr>
          <w:p>
            <w:pPr>
              <w:spacing w:line="320" w:lineRule="exact"/>
              <w:jc w:val="center"/>
              <w:rPr>
                <w:b/>
                <w:bCs w:val="0"/>
                <w:szCs w:val="21"/>
                <w:u w:val="single"/>
              </w:rPr>
            </w:pPr>
          </w:p>
        </w:tc>
        <w:tc>
          <w:tcPr>
            <w:tcW w:w="1336" w:type="dxa"/>
            <w:vAlign w:val="center"/>
          </w:tcPr>
          <w:p>
            <w:pPr>
              <w:widowControl/>
              <w:jc w:val="center"/>
              <w:textAlignment w:val="center"/>
              <w:rPr>
                <w:b/>
                <w:bCs w:val="0"/>
                <w:color w:val="000000"/>
                <w:sz w:val="22"/>
                <w:szCs w:val="22"/>
                <w:u w:val="single"/>
              </w:rPr>
            </w:pPr>
            <w:r>
              <w:rPr>
                <w:rFonts w:hint="eastAsia" w:ascii="宋体" w:hAnsi="宋体" w:cs="宋体"/>
                <w:b/>
                <w:bCs w:val="0"/>
                <w:color w:val="000000"/>
                <w:kern w:val="0"/>
                <w:szCs w:val="21"/>
                <w:u w:val="single"/>
              </w:rPr>
              <w:t>王吕庄寨村</w:t>
            </w:r>
          </w:p>
        </w:tc>
        <w:tc>
          <w:tcPr>
            <w:tcW w:w="1192" w:type="dxa"/>
            <w:vAlign w:val="center"/>
          </w:tcPr>
          <w:p>
            <w:pPr>
              <w:widowControl/>
              <w:jc w:val="center"/>
              <w:textAlignment w:val="center"/>
              <w:rPr>
                <w:b/>
                <w:bCs w:val="0"/>
                <w:color w:val="000000"/>
                <w:sz w:val="22"/>
                <w:szCs w:val="22"/>
                <w:u w:val="single"/>
              </w:rPr>
            </w:pPr>
            <w:r>
              <w:rPr>
                <w:b/>
                <w:bCs w:val="0"/>
                <w:color w:val="000000"/>
                <w:kern w:val="0"/>
                <w:szCs w:val="21"/>
                <w:u w:val="single"/>
              </w:rPr>
              <w:t>NW</w:t>
            </w:r>
          </w:p>
        </w:tc>
        <w:tc>
          <w:tcPr>
            <w:tcW w:w="895" w:type="dxa"/>
            <w:vAlign w:val="center"/>
          </w:tcPr>
          <w:p>
            <w:pPr>
              <w:widowControl/>
              <w:jc w:val="center"/>
              <w:textAlignment w:val="center"/>
              <w:rPr>
                <w:b/>
                <w:bCs w:val="0"/>
                <w:color w:val="000000"/>
                <w:sz w:val="22"/>
                <w:szCs w:val="22"/>
                <w:u w:val="single"/>
              </w:rPr>
            </w:pPr>
            <w:r>
              <w:rPr>
                <w:b/>
                <w:bCs w:val="0"/>
                <w:color w:val="000000"/>
                <w:kern w:val="0"/>
                <w:szCs w:val="21"/>
                <w:u w:val="single"/>
              </w:rPr>
              <w:t>2439</w:t>
            </w:r>
          </w:p>
        </w:tc>
        <w:tc>
          <w:tcPr>
            <w:tcW w:w="893" w:type="dxa"/>
            <w:vAlign w:val="center"/>
          </w:tcPr>
          <w:p>
            <w:pPr>
              <w:widowControl/>
              <w:jc w:val="center"/>
              <w:textAlignment w:val="center"/>
              <w:rPr>
                <w:b/>
                <w:bCs w:val="0"/>
                <w:color w:val="000000"/>
                <w:szCs w:val="21"/>
                <w:u w:val="single"/>
              </w:rPr>
            </w:pPr>
            <w:r>
              <w:rPr>
                <w:b/>
                <w:bCs w:val="0"/>
                <w:color w:val="000000"/>
                <w:kern w:val="0"/>
                <w:szCs w:val="21"/>
                <w:u w:val="single"/>
              </w:rPr>
              <w:t>1495</w:t>
            </w:r>
          </w:p>
        </w:tc>
        <w:tc>
          <w:tcPr>
            <w:tcW w:w="893" w:type="dxa"/>
            <w:vAlign w:val="center"/>
          </w:tcPr>
          <w:p>
            <w:pPr>
              <w:widowControl/>
              <w:jc w:val="center"/>
              <w:textAlignment w:val="center"/>
              <w:rPr>
                <w:b/>
                <w:bCs w:val="0"/>
                <w:color w:val="000000"/>
                <w:sz w:val="22"/>
                <w:szCs w:val="22"/>
                <w:u w:val="single"/>
              </w:rPr>
            </w:pPr>
            <w:r>
              <w:rPr>
                <w:b/>
                <w:bCs w:val="0"/>
                <w:color w:val="000000"/>
                <w:kern w:val="0"/>
                <w:szCs w:val="21"/>
                <w:u w:val="single"/>
              </w:rPr>
              <w:t>298</w:t>
            </w:r>
          </w:p>
        </w:tc>
        <w:tc>
          <w:tcPr>
            <w:tcW w:w="2580" w:type="dxa"/>
            <w:vMerge w:val="continue"/>
            <w:vAlign w:val="center"/>
          </w:tcPr>
          <w:p>
            <w:pPr>
              <w:spacing w:line="320" w:lineRule="exact"/>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157" w:type="dxa"/>
            <w:shd w:val="clear" w:color="auto" w:fill="auto"/>
            <w:vAlign w:val="center"/>
          </w:tcPr>
          <w:p>
            <w:pPr>
              <w:spacing w:line="320" w:lineRule="exact"/>
              <w:jc w:val="center"/>
              <w:rPr>
                <w:b/>
                <w:bCs w:val="0"/>
                <w:szCs w:val="21"/>
                <w:u w:val="single"/>
              </w:rPr>
            </w:pPr>
            <w:r>
              <w:rPr>
                <w:b/>
                <w:bCs w:val="0"/>
                <w:szCs w:val="21"/>
                <w:u w:val="single"/>
              </w:rPr>
              <w:t>地表水</w:t>
            </w:r>
          </w:p>
          <w:p>
            <w:pPr>
              <w:spacing w:line="320" w:lineRule="exact"/>
              <w:jc w:val="center"/>
              <w:rPr>
                <w:b/>
                <w:bCs w:val="0"/>
                <w:szCs w:val="21"/>
                <w:u w:val="single"/>
              </w:rPr>
            </w:pPr>
            <w:r>
              <w:rPr>
                <w:b/>
                <w:bCs w:val="0"/>
                <w:szCs w:val="21"/>
                <w:u w:val="single"/>
              </w:rPr>
              <w:t>环境</w:t>
            </w:r>
          </w:p>
        </w:tc>
        <w:tc>
          <w:tcPr>
            <w:tcW w:w="1336" w:type="dxa"/>
            <w:vAlign w:val="center"/>
          </w:tcPr>
          <w:p>
            <w:pPr>
              <w:spacing w:line="320" w:lineRule="exact"/>
              <w:jc w:val="center"/>
              <w:rPr>
                <w:b/>
                <w:bCs w:val="0"/>
                <w:szCs w:val="21"/>
                <w:u w:val="single"/>
              </w:rPr>
            </w:pPr>
            <w:r>
              <w:rPr>
                <w:rFonts w:hint="eastAsia"/>
                <w:b/>
                <w:bCs w:val="0"/>
                <w:color w:val="000000" w:themeColor="text1"/>
                <w:sz w:val="24"/>
                <w:u w:val="single"/>
                <w:lang w:val="zh-CN"/>
              </w:rPr>
              <w:t>大黄港</w:t>
            </w:r>
            <w:r>
              <w:rPr>
                <w:b/>
                <w:bCs w:val="0"/>
                <w:color w:val="000000" w:themeColor="text1"/>
                <w:sz w:val="24"/>
                <w:u w:val="single"/>
                <w:lang w:val="zh-CN"/>
              </w:rPr>
              <w:t>河</w:t>
            </w:r>
          </w:p>
        </w:tc>
        <w:tc>
          <w:tcPr>
            <w:tcW w:w="1192" w:type="dxa"/>
            <w:vAlign w:val="center"/>
          </w:tcPr>
          <w:p>
            <w:pPr>
              <w:spacing w:line="320" w:lineRule="exact"/>
              <w:jc w:val="center"/>
              <w:rPr>
                <w:b/>
                <w:bCs w:val="0"/>
                <w:szCs w:val="21"/>
                <w:u w:val="single"/>
              </w:rPr>
            </w:pPr>
            <w:r>
              <w:rPr>
                <w:rFonts w:hint="eastAsia"/>
                <w:b/>
                <w:bCs w:val="0"/>
                <w:szCs w:val="21"/>
                <w:u w:val="single"/>
              </w:rPr>
              <w:t>W</w:t>
            </w:r>
          </w:p>
        </w:tc>
        <w:tc>
          <w:tcPr>
            <w:tcW w:w="895" w:type="dxa"/>
            <w:vAlign w:val="center"/>
          </w:tcPr>
          <w:p>
            <w:pPr>
              <w:spacing w:line="320" w:lineRule="exact"/>
              <w:jc w:val="center"/>
              <w:rPr>
                <w:b/>
                <w:bCs w:val="0"/>
                <w:szCs w:val="21"/>
                <w:u w:val="single"/>
              </w:rPr>
            </w:pPr>
            <w:r>
              <w:rPr>
                <w:rFonts w:hint="eastAsia"/>
                <w:b/>
                <w:bCs w:val="0"/>
                <w:szCs w:val="21"/>
                <w:u w:val="single"/>
              </w:rPr>
              <w:t>583</w:t>
            </w:r>
          </w:p>
        </w:tc>
        <w:tc>
          <w:tcPr>
            <w:tcW w:w="893" w:type="dxa"/>
            <w:vAlign w:val="center"/>
          </w:tcPr>
          <w:p>
            <w:pPr>
              <w:spacing w:line="320" w:lineRule="exact"/>
              <w:jc w:val="center"/>
              <w:rPr>
                <w:b/>
                <w:bCs w:val="0"/>
                <w:szCs w:val="21"/>
                <w:u w:val="single"/>
              </w:rPr>
            </w:pPr>
            <w:r>
              <w:rPr>
                <w:b/>
                <w:bCs w:val="0"/>
                <w:szCs w:val="21"/>
                <w:u w:val="single"/>
              </w:rPr>
              <w:t>/</w:t>
            </w:r>
          </w:p>
        </w:tc>
        <w:tc>
          <w:tcPr>
            <w:tcW w:w="893" w:type="dxa"/>
            <w:vAlign w:val="center"/>
          </w:tcPr>
          <w:p>
            <w:pPr>
              <w:spacing w:line="320" w:lineRule="exact"/>
              <w:jc w:val="center"/>
              <w:rPr>
                <w:b/>
                <w:bCs w:val="0"/>
                <w:szCs w:val="21"/>
                <w:u w:val="single"/>
              </w:rPr>
            </w:pPr>
            <w:r>
              <w:rPr>
                <w:b/>
                <w:bCs w:val="0"/>
                <w:szCs w:val="21"/>
                <w:u w:val="single"/>
              </w:rPr>
              <w:t>/</w:t>
            </w:r>
          </w:p>
        </w:tc>
        <w:tc>
          <w:tcPr>
            <w:tcW w:w="2580" w:type="dxa"/>
            <w:vAlign w:val="center"/>
          </w:tcPr>
          <w:p>
            <w:pPr>
              <w:spacing w:line="320" w:lineRule="exact"/>
              <w:jc w:val="center"/>
              <w:rPr>
                <w:b/>
                <w:bCs w:val="0"/>
                <w:szCs w:val="21"/>
                <w:u w:val="single"/>
              </w:rPr>
            </w:pPr>
            <w:r>
              <w:rPr>
                <w:b/>
                <w:bCs w:val="0"/>
                <w:szCs w:val="21"/>
                <w:u w:val="single"/>
              </w:rPr>
              <w:t>《地表水环境质量标准》（GB3838-2002）</w:t>
            </w:r>
            <w:r>
              <w:rPr>
                <w:rFonts w:hint="eastAsia" w:ascii="宋体" w:hAnsi="宋体" w:cs="宋体"/>
                <w:b/>
                <w:bCs w:val="0"/>
                <w:szCs w:val="21"/>
                <w:u w:val="single"/>
              </w:rPr>
              <w:t>Ⅲ</w:t>
            </w:r>
            <w:r>
              <w:rPr>
                <w:b/>
                <w:bCs w:val="0"/>
                <w:szCs w:val="21"/>
                <w:u w:val="single"/>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shd w:val="clear" w:color="auto" w:fill="auto"/>
            <w:vAlign w:val="center"/>
          </w:tcPr>
          <w:p>
            <w:pPr>
              <w:spacing w:line="320" w:lineRule="exact"/>
              <w:jc w:val="center"/>
              <w:rPr>
                <w:b/>
                <w:bCs w:val="0"/>
                <w:szCs w:val="21"/>
                <w:u w:val="single"/>
              </w:rPr>
            </w:pPr>
            <w:r>
              <w:rPr>
                <w:b/>
                <w:bCs w:val="0"/>
                <w:szCs w:val="21"/>
                <w:u w:val="single"/>
              </w:rPr>
              <w:t>地下水</w:t>
            </w:r>
          </w:p>
        </w:tc>
        <w:tc>
          <w:tcPr>
            <w:tcW w:w="3423" w:type="dxa"/>
            <w:gridSpan w:val="3"/>
            <w:vAlign w:val="center"/>
          </w:tcPr>
          <w:p>
            <w:pPr>
              <w:spacing w:line="320" w:lineRule="exact"/>
              <w:jc w:val="center"/>
              <w:rPr>
                <w:b/>
                <w:bCs w:val="0"/>
                <w:szCs w:val="21"/>
                <w:u w:val="single"/>
              </w:rPr>
            </w:pPr>
            <w:r>
              <w:rPr>
                <w:b/>
                <w:bCs w:val="0"/>
                <w:szCs w:val="21"/>
                <w:u w:val="single"/>
              </w:rPr>
              <w:t>场区下游村庄地下水、配套沼液消纳地附近村庄地下水</w:t>
            </w:r>
          </w:p>
        </w:tc>
        <w:tc>
          <w:tcPr>
            <w:tcW w:w="893" w:type="dxa"/>
            <w:vAlign w:val="center"/>
          </w:tcPr>
          <w:p>
            <w:pPr>
              <w:spacing w:line="320" w:lineRule="exact"/>
              <w:jc w:val="center"/>
              <w:rPr>
                <w:b/>
                <w:bCs w:val="0"/>
                <w:szCs w:val="21"/>
                <w:u w:val="single"/>
              </w:rPr>
            </w:pPr>
            <w:r>
              <w:rPr>
                <w:b/>
                <w:bCs w:val="0"/>
                <w:szCs w:val="21"/>
                <w:u w:val="single"/>
              </w:rPr>
              <w:t>/</w:t>
            </w:r>
          </w:p>
        </w:tc>
        <w:tc>
          <w:tcPr>
            <w:tcW w:w="893" w:type="dxa"/>
            <w:vAlign w:val="center"/>
          </w:tcPr>
          <w:p>
            <w:pPr>
              <w:spacing w:line="320" w:lineRule="exact"/>
              <w:jc w:val="center"/>
              <w:rPr>
                <w:b/>
                <w:bCs w:val="0"/>
                <w:szCs w:val="21"/>
                <w:u w:val="single"/>
              </w:rPr>
            </w:pPr>
            <w:r>
              <w:rPr>
                <w:b/>
                <w:bCs w:val="0"/>
                <w:szCs w:val="21"/>
                <w:u w:val="single"/>
              </w:rPr>
              <w:t>/</w:t>
            </w:r>
          </w:p>
        </w:tc>
        <w:tc>
          <w:tcPr>
            <w:tcW w:w="2580" w:type="dxa"/>
            <w:vAlign w:val="center"/>
          </w:tcPr>
          <w:p>
            <w:pPr>
              <w:spacing w:line="320" w:lineRule="exact"/>
              <w:jc w:val="center"/>
              <w:rPr>
                <w:b/>
                <w:bCs w:val="0"/>
                <w:szCs w:val="21"/>
                <w:u w:val="single"/>
              </w:rPr>
            </w:pPr>
            <w:r>
              <w:rPr>
                <w:b/>
                <w:bCs w:val="0"/>
                <w:szCs w:val="21"/>
                <w:u w:val="single"/>
              </w:rPr>
              <w:t>《地下水质量标准》（GB/T14848-2017）</w:t>
            </w:r>
            <w:r>
              <w:rPr>
                <w:rFonts w:hint="eastAsia" w:ascii="宋体" w:hAnsi="宋体" w:cs="宋体"/>
                <w:b/>
                <w:bCs w:val="0"/>
                <w:szCs w:val="21"/>
                <w:u w:val="single"/>
              </w:rPr>
              <w:t>Ⅲ</w:t>
            </w:r>
            <w:r>
              <w:rPr>
                <w:b/>
                <w:bCs w:val="0"/>
                <w:szCs w:val="21"/>
                <w:u w:val="single"/>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Align w:val="center"/>
          </w:tcPr>
          <w:p>
            <w:pPr>
              <w:spacing w:line="320" w:lineRule="exact"/>
              <w:jc w:val="center"/>
              <w:rPr>
                <w:b/>
                <w:bCs w:val="0"/>
                <w:szCs w:val="21"/>
                <w:u w:val="single"/>
              </w:rPr>
            </w:pPr>
            <w:r>
              <w:rPr>
                <w:b/>
                <w:bCs w:val="0"/>
                <w:szCs w:val="21"/>
                <w:u w:val="single"/>
              </w:rPr>
              <w:t>土壤</w:t>
            </w:r>
          </w:p>
        </w:tc>
        <w:tc>
          <w:tcPr>
            <w:tcW w:w="3423" w:type="dxa"/>
            <w:gridSpan w:val="3"/>
            <w:vAlign w:val="center"/>
          </w:tcPr>
          <w:p>
            <w:pPr>
              <w:spacing w:line="320" w:lineRule="exact"/>
              <w:jc w:val="center"/>
              <w:rPr>
                <w:b/>
                <w:bCs w:val="0"/>
                <w:szCs w:val="21"/>
                <w:u w:val="single"/>
              </w:rPr>
            </w:pPr>
            <w:r>
              <w:rPr>
                <w:b/>
                <w:bCs w:val="0"/>
                <w:szCs w:val="21"/>
                <w:u w:val="single"/>
              </w:rPr>
              <w:t>配套沼液消纳地附近土壤环境</w:t>
            </w:r>
          </w:p>
        </w:tc>
        <w:tc>
          <w:tcPr>
            <w:tcW w:w="893" w:type="dxa"/>
            <w:vAlign w:val="center"/>
          </w:tcPr>
          <w:p>
            <w:pPr>
              <w:spacing w:line="320" w:lineRule="exact"/>
              <w:jc w:val="center"/>
              <w:rPr>
                <w:b/>
                <w:bCs w:val="0"/>
                <w:szCs w:val="21"/>
                <w:u w:val="single"/>
              </w:rPr>
            </w:pPr>
            <w:r>
              <w:rPr>
                <w:b/>
                <w:bCs w:val="0"/>
                <w:szCs w:val="21"/>
                <w:u w:val="single"/>
              </w:rPr>
              <w:t>/</w:t>
            </w:r>
          </w:p>
        </w:tc>
        <w:tc>
          <w:tcPr>
            <w:tcW w:w="893" w:type="dxa"/>
            <w:vAlign w:val="center"/>
          </w:tcPr>
          <w:p>
            <w:pPr>
              <w:spacing w:line="320" w:lineRule="exact"/>
              <w:jc w:val="center"/>
              <w:rPr>
                <w:b/>
                <w:bCs w:val="0"/>
                <w:szCs w:val="21"/>
                <w:u w:val="single"/>
              </w:rPr>
            </w:pPr>
            <w:r>
              <w:rPr>
                <w:b/>
                <w:bCs w:val="0"/>
                <w:szCs w:val="21"/>
                <w:u w:val="single"/>
              </w:rPr>
              <w:t>/</w:t>
            </w:r>
          </w:p>
        </w:tc>
        <w:tc>
          <w:tcPr>
            <w:tcW w:w="2580" w:type="dxa"/>
            <w:vAlign w:val="center"/>
          </w:tcPr>
          <w:p>
            <w:pPr>
              <w:spacing w:line="320" w:lineRule="exact"/>
              <w:jc w:val="center"/>
              <w:rPr>
                <w:b/>
                <w:bCs w:val="0"/>
                <w:szCs w:val="21"/>
                <w:u w:val="single"/>
              </w:rPr>
            </w:pPr>
            <w:r>
              <w:rPr>
                <w:b/>
                <w:bCs w:val="0"/>
                <w:szCs w:val="21"/>
                <w:u w:val="single"/>
              </w:rPr>
              <w:t>《土壤环境质量农用地土壤污染风险管控标准》（GB15618-2018）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7" w:type="dxa"/>
            <w:vAlign w:val="center"/>
          </w:tcPr>
          <w:p>
            <w:pPr>
              <w:spacing w:line="320" w:lineRule="exact"/>
              <w:jc w:val="center"/>
              <w:rPr>
                <w:b/>
                <w:bCs w:val="0"/>
                <w:szCs w:val="21"/>
                <w:u w:val="single"/>
              </w:rPr>
            </w:pPr>
            <w:r>
              <w:rPr>
                <w:b/>
                <w:bCs w:val="0"/>
                <w:szCs w:val="21"/>
                <w:u w:val="single"/>
              </w:rPr>
              <w:t>噪声</w:t>
            </w:r>
          </w:p>
        </w:tc>
        <w:tc>
          <w:tcPr>
            <w:tcW w:w="3423" w:type="dxa"/>
            <w:gridSpan w:val="3"/>
            <w:vAlign w:val="center"/>
          </w:tcPr>
          <w:p>
            <w:pPr>
              <w:spacing w:line="320" w:lineRule="exact"/>
              <w:jc w:val="center"/>
              <w:rPr>
                <w:b/>
                <w:bCs w:val="0"/>
                <w:szCs w:val="21"/>
                <w:u w:val="single"/>
              </w:rPr>
            </w:pPr>
            <w:r>
              <w:rPr>
                <w:b/>
                <w:bCs w:val="0"/>
                <w:szCs w:val="21"/>
                <w:u w:val="single"/>
              </w:rPr>
              <w:t>场区四周场界</w:t>
            </w:r>
          </w:p>
        </w:tc>
        <w:tc>
          <w:tcPr>
            <w:tcW w:w="893" w:type="dxa"/>
            <w:vAlign w:val="center"/>
          </w:tcPr>
          <w:p>
            <w:pPr>
              <w:spacing w:line="320" w:lineRule="exact"/>
              <w:jc w:val="center"/>
              <w:rPr>
                <w:b/>
                <w:bCs w:val="0"/>
                <w:szCs w:val="21"/>
                <w:u w:val="single"/>
              </w:rPr>
            </w:pPr>
            <w:r>
              <w:rPr>
                <w:b/>
                <w:bCs w:val="0"/>
                <w:szCs w:val="21"/>
                <w:u w:val="single"/>
              </w:rPr>
              <w:t>/</w:t>
            </w:r>
          </w:p>
        </w:tc>
        <w:tc>
          <w:tcPr>
            <w:tcW w:w="893" w:type="dxa"/>
            <w:vAlign w:val="center"/>
          </w:tcPr>
          <w:p>
            <w:pPr>
              <w:spacing w:line="320" w:lineRule="exact"/>
              <w:jc w:val="center"/>
              <w:rPr>
                <w:b/>
                <w:bCs w:val="0"/>
                <w:szCs w:val="21"/>
                <w:u w:val="single"/>
              </w:rPr>
            </w:pPr>
            <w:r>
              <w:rPr>
                <w:b/>
                <w:bCs w:val="0"/>
                <w:szCs w:val="21"/>
                <w:u w:val="single"/>
              </w:rPr>
              <w:t>/</w:t>
            </w:r>
          </w:p>
        </w:tc>
        <w:tc>
          <w:tcPr>
            <w:tcW w:w="2580" w:type="dxa"/>
            <w:vAlign w:val="center"/>
          </w:tcPr>
          <w:p>
            <w:pPr>
              <w:spacing w:line="320" w:lineRule="exact"/>
              <w:jc w:val="center"/>
              <w:rPr>
                <w:b/>
                <w:bCs w:val="0"/>
                <w:szCs w:val="21"/>
                <w:u w:val="single"/>
              </w:rPr>
            </w:pPr>
            <w:r>
              <w:rPr>
                <w:b/>
                <w:bCs w:val="0"/>
                <w:szCs w:val="21"/>
                <w:u w:val="single"/>
              </w:rPr>
              <w:t>《声环境质量标准》（GB3096-2008）2类</w:t>
            </w:r>
          </w:p>
        </w:tc>
      </w:tr>
    </w:tbl>
    <w:p>
      <w:pPr>
        <w:spacing w:line="500" w:lineRule="exact"/>
        <w:rPr>
          <w:bCs/>
          <w:szCs w:val="21"/>
        </w:rPr>
      </w:pPr>
    </w:p>
    <w:p>
      <w:pPr>
        <w:pStyle w:val="4"/>
        <w:tabs>
          <w:tab w:val="left" w:pos="3400"/>
        </w:tabs>
        <w:spacing w:before="156" w:after="156"/>
        <w:rPr>
          <w:rFonts w:hAnsi="Times New Roman"/>
          <w:color w:val="000000"/>
        </w:rPr>
      </w:pPr>
      <w:bookmarkStart w:id="37" w:name="_Toc3019522"/>
      <w:r>
        <w:rPr>
          <w:rFonts w:hAnsi="Times New Roman"/>
          <w:color w:val="000000"/>
        </w:rPr>
        <w:t>1.12 评价专题设置</w:t>
      </w:r>
      <w:bookmarkEnd w:id="37"/>
    </w:p>
    <w:p>
      <w:pPr>
        <w:spacing w:line="520" w:lineRule="exact"/>
        <w:ind w:firstLine="480" w:firstLineChars="200"/>
        <w:rPr>
          <w:color w:val="000000"/>
          <w:sz w:val="24"/>
        </w:rPr>
      </w:pPr>
      <w:r>
        <w:rPr>
          <w:color w:val="000000"/>
          <w:sz w:val="24"/>
        </w:rPr>
        <w:t>根据本项目特点及周围环境特点，按照建设项目环境影响报告书编制规范要求，本次评价拟设置以下专题。</w:t>
      </w:r>
    </w:p>
    <w:p>
      <w:pPr>
        <w:spacing w:line="520" w:lineRule="exact"/>
        <w:ind w:firstLine="480" w:firstLineChars="200"/>
        <w:rPr>
          <w:color w:val="000000"/>
          <w:sz w:val="24"/>
        </w:rPr>
      </w:pPr>
      <w:r>
        <w:rPr>
          <w:color w:val="000000"/>
          <w:sz w:val="24"/>
        </w:rPr>
        <w:t xml:space="preserve">第一章    </w:t>
      </w:r>
      <w:r>
        <w:rPr>
          <w:bCs/>
          <w:color w:val="000000"/>
          <w:sz w:val="24"/>
        </w:rPr>
        <w:t>总则</w:t>
      </w:r>
    </w:p>
    <w:p>
      <w:pPr>
        <w:spacing w:line="520" w:lineRule="exact"/>
        <w:ind w:firstLine="480" w:firstLineChars="200"/>
        <w:rPr>
          <w:color w:val="000000"/>
          <w:sz w:val="24"/>
        </w:rPr>
      </w:pPr>
      <w:r>
        <w:rPr>
          <w:color w:val="000000"/>
          <w:sz w:val="24"/>
        </w:rPr>
        <w:t>第二章    工程分析</w:t>
      </w:r>
    </w:p>
    <w:p>
      <w:pPr>
        <w:spacing w:line="520" w:lineRule="exact"/>
        <w:ind w:firstLine="480" w:firstLineChars="200"/>
        <w:rPr>
          <w:color w:val="000000"/>
          <w:sz w:val="24"/>
        </w:rPr>
      </w:pPr>
      <w:r>
        <w:rPr>
          <w:color w:val="000000"/>
          <w:sz w:val="24"/>
        </w:rPr>
        <w:t>第三章    环境现状调查与评价</w:t>
      </w:r>
    </w:p>
    <w:p>
      <w:pPr>
        <w:spacing w:line="520" w:lineRule="exact"/>
        <w:ind w:firstLine="480" w:firstLineChars="200"/>
        <w:rPr>
          <w:color w:val="000000"/>
          <w:sz w:val="24"/>
        </w:rPr>
      </w:pPr>
      <w:r>
        <w:rPr>
          <w:color w:val="000000"/>
          <w:sz w:val="24"/>
        </w:rPr>
        <w:t>第四章    环境</w:t>
      </w:r>
      <w:r>
        <w:rPr>
          <w:bCs/>
          <w:color w:val="000000"/>
          <w:sz w:val="24"/>
        </w:rPr>
        <w:t>影响预测与评价</w:t>
      </w:r>
    </w:p>
    <w:p>
      <w:pPr>
        <w:spacing w:line="520" w:lineRule="exact"/>
        <w:ind w:firstLine="480" w:firstLineChars="200"/>
        <w:rPr>
          <w:bCs/>
          <w:color w:val="000000"/>
          <w:sz w:val="24"/>
        </w:rPr>
      </w:pPr>
      <w:r>
        <w:rPr>
          <w:color w:val="000000"/>
          <w:sz w:val="24"/>
        </w:rPr>
        <w:t xml:space="preserve">第五章    </w:t>
      </w:r>
      <w:r>
        <w:rPr>
          <w:bCs/>
          <w:color w:val="000000"/>
          <w:sz w:val="24"/>
        </w:rPr>
        <w:t>环保措施及其可行性论证</w:t>
      </w:r>
    </w:p>
    <w:p>
      <w:pPr>
        <w:spacing w:line="520" w:lineRule="exact"/>
        <w:ind w:firstLine="480" w:firstLineChars="200"/>
        <w:rPr>
          <w:color w:val="000000"/>
          <w:sz w:val="24"/>
        </w:rPr>
      </w:pPr>
      <w:r>
        <w:rPr>
          <w:color w:val="000000"/>
          <w:sz w:val="24"/>
        </w:rPr>
        <w:t xml:space="preserve">第六章    </w:t>
      </w:r>
      <w:r>
        <w:rPr>
          <w:bCs/>
          <w:color w:val="000000"/>
          <w:sz w:val="24"/>
        </w:rPr>
        <w:t>环境管理与监测计划</w:t>
      </w:r>
    </w:p>
    <w:p>
      <w:pPr>
        <w:spacing w:line="520" w:lineRule="exact"/>
        <w:ind w:firstLine="480" w:firstLineChars="200"/>
        <w:rPr>
          <w:color w:val="000000"/>
          <w:sz w:val="24"/>
        </w:rPr>
      </w:pPr>
      <w:r>
        <w:rPr>
          <w:color w:val="000000"/>
          <w:sz w:val="24"/>
        </w:rPr>
        <w:t>第七章    环境经济损益分析</w:t>
      </w:r>
    </w:p>
    <w:p>
      <w:pPr>
        <w:spacing w:line="520" w:lineRule="exact"/>
        <w:ind w:firstLine="480" w:firstLineChars="200"/>
        <w:rPr>
          <w:bCs/>
          <w:color w:val="000000"/>
          <w:sz w:val="24"/>
        </w:rPr>
      </w:pPr>
      <w:r>
        <w:rPr>
          <w:color w:val="000000"/>
          <w:sz w:val="24"/>
        </w:rPr>
        <w:t>第八章    厂址选择及平面布置合理性分析</w:t>
      </w:r>
    </w:p>
    <w:p>
      <w:pPr>
        <w:spacing w:line="520" w:lineRule="exact"/>
        <w:ind w:firstLine="480" w:firstLineChars="200"/>
        <w:rPr>
          <w:bCs/>
          <w:color w:val="000000"/>
          <w:sz w:val="24"/>
        </w:rPr>
      </w:pPr>
      <w:r>
        <w:rPr>
          <w:color w:val="000000"/>
          <w:sz w:val="24"/>
        </w:rPr>
        <w:t>第九章    评价</w:t>
      </w:r>
      <w:r>
        <w:rPr>
          <w:bCs/>
          <w:color w:val="000000"/>
          <w:sz w:val="24"/>
        </w:rPr>
        <w:t>结论与建议</w:t>
      </w:r>
    </w:p>
    <w:bookmarkEnd w:id="36"/>
    <w:p>
      <w:pPr>
        <w:pStyle w:val="4"/>
        <w:spacing w:before="156" w:after="156"/>
        <w:rPr>
          <w:rFonts w:hAnsi="Times New Roman"/>
          <w:color w:val="000000"/>
        </w:rPr>
      </w:pPr>
      <w:bookmarkStart w:id="38" w:name="_Toc3019523"/>
      <w:bookmarkStart w:id="39" w:name="_Toc375206156"/>
      <w:r>
        <w:rPr>
          <w:rFonts w:hAnsi="Times New Roman"/>
          <w:color w:val="000000"/>
        </w:rPr>
        <w:t>1.13 评</w:t>
      </w:r>
      <w:r>
        <w:rPr>
          <w:rFonts w:hAnsi="Times New Roman"/>
          <w:bCs w:val="0"/>
          <w:color w:val="000000"/>
        </w:rPr>
        <w:t>价方法及</w:t>
      </w:r>
      <w:r>
        <w:rPr>
          <w:rFonts w:hAnsi="Times New Roman"/>
          <w:color w:val="000000"/>
        </w:rPr>
        <w:t>工作程序</w:t>
      </w:r>
      <w:bookmarkEnd w:id="38"/>
      <w:bookmarkEnd w:id="39"/>
    </w:p>
    <w:p>
      <w:pPr>
        <w:spacing w:line="520" w:lineRule="exact"/>
        <w:ind w:firstLine="480" w:firstLineChars="200"/>
        <w:rPr>
          <w:bCs/>
          <w:color w:val="000000"/>
          <w:sz w:val="24"/>
        </w:rPr>
      </w:pPr>
      <w:r>
        <w:rPr>
          <w:bCs/>
          <w:color w:val="000000"/>
          <w:sz w:val="24"/>
        </w:rPr>
        <w:t>以国家法律、法规为依据，征询有关主管部门对工程建设工作的意见；考察、踏勘、监测本工程所选场址及运输线路周围的环境现状；以牧原已建工程为参考依据，分析该项目建设可能带来的环境问题；结合当地实际，确定主要影响因素，运用合适的预测模式预测环境影响程度、范围，以清洁生产、循环经济为原则，分析工程污染治理措施的可行性，提出相应的对策、措施、建议，在以上工作的基础上做出项目建设可行与否的评价结论。本次评价工作程序见图1-1。</w:t>
      </w:r>
    </w:p>
    <w:p>
      <w:pPr>
        <w:widowControl/>
        <w:jc w:val="left"/>
        <w:rPr>
          <w:bCs/>
          <w:color w:val="000000"/>
          <w:sz w:val="24"/>
        </w:rPr>
      </w:pPr>
      <w:r>
        <w:rPr>
          <w:bCs/>
          <w:color w:val="000000"/>
          <w:sz w:val="24"/>
        </w:rPr>
        <w:br w:type="page"/>
      </w:r>
    </w:p>
    <w:p>
      <w:pPr>
        <w:spacing w:line="520" w:lineRule="exact"/>
        <w:ind w:firstLine="422" w:firstLineChars="200"/>
        <w:jc w:val="center"/>
        <w:rPr>
          <w:b/>
          <w:bCs/>
          <w:color w:val="000000"/>
          <w:szCs w:val="21"/>
        </w:rPr>
      </w:pPr>
      <w:r>
        <w:rPr>
          <w:b/>
          <w:bCs/>
          <w:color w:val="000000"/>
          <w:szCs w:val="21"/>
        </w:rPr>
        <w:drawing>
          <wp:anchor distT="0" distB="0" distL="114300" distR="114300" simplePos="0" relativeHeight="251678720" behindDoc="0" locked="0" layoutInCell="1" allowOverlap="0">
            <wp:simplePos x="0" y="0"/>
            <wp:positionH relativeFrom="column">
              <wp:posOffset>-514350</wp:posOffset>
            </wp:positionH>
            <wp:positionV relativeFrom="paragraph">
              <wp:posOffset>86360</wp:posOffset>
            </wp:positionV>
            <wp:extent cx="6345555" cy="6705600"/>
            <wp:effectExtent l="19050" t="0" r="0" b="0"/>
            <wp:wrapNone/>
            <wp:docPr id="1582" name="图片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图片 1582"/>
                    <pic:cNvPicPr>
                      <a:picLocks noChangeAspect="1" noChangeArrowheads="1"/>
                    </pic:cNvPicPr>
                  </pic:nvPicPr>
                  <pic:blipFill>
                    <a:blip r:embed="rId9" cstate="print"/>
                    <a:srcRect l="1767" r="1767" b="1538"/>
                    <a:stretch>
                      <a:fillRect/>
                    </a:stretch>
                  </pic:blipFill>
                  <pic:spPr>
                    <a:xfrm>
                      <a:off x="0" y="0"/>
                      <a:ext cx="6355365" cy="6715954"/>
                    </a:xfrm>
                    <a:prstGeom prst="rect">
                      <a:avLst/>
                    </a:prstGeom>
                    <a:noFill/>
                    <a:ln w="9525">
                      <a:noFill/>
                      <a:miter lim="800000"/>
                      <a:headEnd/>
                      <a:tailEnd/>
                    </a:ln>
                  </pic:spPr>
                </pic:pic>
              </a:graphicData>
            </a:graphic>
          </wp:anchor>
        </w:drawing>
      </w:r>
    </w:p>
    <w:p>
      <w:pPr>
        <w:spacing w:line="520" w:lineRule="exact"/>
        <w:ind w:firstLine="422" w:firstLineChars="200"/>
        <w:jc w:val="center"/>
        <w:rPr>
          <w:b/>
          <w:bCs/>
          <w:color w:val="000000"/>
          <w:szCs w:val="21"/>
        </w:rPr>
      </w:pPr>
    </w:p>
    <w:p>
      <w:pPr>
        <w:spacing w:line="520" w:lineRule="exact"/>
        <w:ind w:firstLine="422" w:firstLineChars="200"/>
        <w:jc w:val="center"/>
        <w:rPr>
          <w:b/>
          <w:bCs/>
          <w:color w:val="000000"/>
          <w:szCs w:val="21"/>
        </w:rPr>
      </w:pPr>
    </w:p>
    <w:p>
      <w:pPr>
        <w:spacing w:line="520" w:lineRule="exact"/>
        <w:ind w:firstLine="422" w:firstLineChars="200"/>
        <w:jc w:val="center"/>
        <w:rPr>
          <w:b/>
          <w:bCs/>
          <w:color w:val="000000"/>
          <w:szCs w:val="21"/>
        </w:rPr>
      </w:pPr>
    </w:p>
    <w:p>
      <w:pPr>
        <w:spacing w:line="520" w:lineRule="exact"/>
        <w:ind w:firstLine="422" w:firstLineChars="200"/>
        <w:jc w:val="center"/>
        <w:rPr>
          <w:b/>
          <w:bCs/>
          <w:color w:val="000000"/>
          <w:szCs w:val="21"/>
        </w:rPr>
      </w:pPr>
    </w:p>
    <w:p>
      <w:pPr>
        <w:spacing w:line="520" w:lineRule="exact"/>
        <w:ind w:firstLine="422" w:firstLineChars="200"/>
        <w:jc w:val="center"/>
        <w:rPr>
          <w:b/>
          <w:bCs/>
          <w:color w:val="000000"/>
          <w:szCs w:val="21"/>
        </w:rPr>
      </w:pPr>
    </w:p>
    <w:p>
      <w:pPr>
        <w:spacing w:line="520" w:lineRule="exact"/>
        <w:ind w:firstLine="422" w:firstLineChars="200"/>
        <w:jc w:val="center"/>
        <w:rPr>
          <w:b/>
          <w:bCs/>
          <w:color w:val="000000"/>
          <w:szCs w:val="21"/>
        </w:rPr>
      </w:pPr>
    </w:p>
    <w:p>
      <w:pPr>
        <w:spacing w:line="520" w:lineRule="exact"/>
        <w:ind w:firstLine="422" w:firstLineChars="200"/>
        <w:jc w:val="center"/>
        <w:rPr>
          <w:b/>
          <w:bCs/>
          <w:color w:val="000000"/>
          <w:szCs w:val="21"/>
        </w:rPr>
      </w:pPr>
    </w:p>
    <w:p>
      <w:pPr>
        <w:spacing w:line="520" w:lineRule="exact"/>
        <w:ind w:firstLine="422" w:firstLineChars="200"/>
        <w:jc w:val="center"/>
        <w:rPr>
          <w:b/>
          <w:bCs/>
          <w:color w:val="000000"/>
          <w:szCs w:val="21"/>
        </w:rPr>
      </w:pPr>
    </w:p>
    <w:p>
      <w:pPr>
        <w:spacing w:line="520" w:lineRule="exact"/>
        <w:ind w:firstLine="422" w:firstLineChars="200"/>
        <w:jc w:val="center"/>
        <w:rPr>
          <w:b/>
          <w:bCs/>
          <w:color w:val="000000"/>
          <w:szCs w:val="21"/>
        </w:rPr>
      </w:pPr>
    </w:p>
    <w:p>
      <w:pPr>
        <w:spacing w:line="520" w:lineRule="exact"/>
        <w:ind w:firstLine="883" w:firstLineChars="200"/>
        <w:jc w:val="center"/>
        <w:rPr>
          <w:b/>
          <w:bCs/>
          <w:color w:val="000000"/>
          <w:szCs w:val="21"/>
        </w:rPr>
      </w:pPr>
      <w:r>
        <w:rPr>
          <w:b/>
          <w:sz w:val="44"/>
          <w:szCs w:val="44"/>
        </w:rPr>
        <w:pict>
          <v:shape id="_x0000_s3731" o:spid="_x0000_s3731" o:spt="202" type="#_x0000_t202" style="position:absolute;left:0pt;margin-left:73.6pt;margin-top:25pt;height:22.75pt;width:241.4pt;z-index:251685888;mso-width-relative:margin;mso-height-relative:margin;mso-height-percent:200;" stroked="f" coordsize="21600,21600">
            <v:path/>
            <v:fill focussize="0,0"/>
            <v:stroke on="f" joinstyle="miter"/>
            <v:imagedata o:title=""/>
            <o:lock v:ext="edit"/>
            <v:textbox style="mso-fit-shape-to-text:t;">
              <w:txbxContent>
                <w:p>
                  <w:pPr>
                    <w:rPr>
                      <w:b/>
                    </w:rPr>
                  </w:pPr>
                  <w:r>
                    <w:rPr>
                      <w:rFonts w:hint="eastAsia"/>
                      <w:b/>
                      <w:bCs/>
                      <w:color w:val="000000"/>
                      <w:sz w:val="24"/>
                    </w:rPr>
                    <w:t>图1-1       本次</w:t>
                  </w:r>
                  <w:r>
                    <w:rPr>
                      <w:b/>
                      <w:bCs/>
                      <w:color w:val="000000"/>
                      <w:sz w:val="24"/>
                    </w:rPr>
                    <w:t>评价工作</w:t>
                  </w:r>
                  <w:r>
                    <w:rPr>
                      <w:rFonts w:hint="eastAsia"/>
                      <w:b/>
                      <w:bCs/>
                      <w:color w:val="000000"/>
                      <w:sz w:val="24"/>
                    </w:rPr>
                    <w:t>流程图</w:t>
                  </w:r>
                </w:p>
              </w:txbxContent>
            </v:textbox>
          </v:shape>
        </w:pict>
      </w:r>
    </w:p>
    <w:p>
      <w:pPr>
        <w:widowControl/>
        <w:jc w:val="left"/>
        <w:rPr>
          <w:b/>
          <w:sz w:val="44"/>
          <w:szCs w:val="44"/>
        </w:rPr>
      </w:pPr>
      <w:r>
        <w:rPr>
          <w:b/>
          <w:sz w:val="44"/>
          <w:szCs w:val="44"/>
        </w:rPr>
        <w:br w:type="page"/>
      </w:r>
    </w:p>
    <w:p>
      <w:pPr>
        <w:keepNext/>
        <w:keepLines/>
        <w:spacing w:before="100" w:beforeAutospacing="1" w:after="100" w:afterAutospacing="1"/>
        <w:jc w:val="center"/>
        <w:outlineLvl w:val="0"/>
        <w:rPr>
          <w:b/>
          <w:sz w:val="44"/>
          <w:szCs w:val="44"/>
        </w:rPr>
      </w:pPr>
      <w:bookmarkStart w:id="40" w:name="_Toc3019524"/>
      <w:r>
        <w:rPr>
          <w:b/>
          <w:sz w:val="44"/>
          <w:szCs w:val="44"/>
        </w:rPr>
        <w:t>第二章  工程分析</w:t>
      </w:r>
      <w:bookmarkEnd w:id="1"/>
      <w:bookmarkEnd w:id="2"/>
      <w:bookmarkEnd w:id="3"/>
      <w:bookmarkEnd w:id="4"/>
      <w:bookmarkEnd w:id="40"/>
    </w:p>
    <w:p>
      <w:pPr>
        <w:pStyle w:val="4"/>
        <w:spacing w:before="156" w:after="156"/>
        <w:rPr>
          <w:rFonts w:hAnsi="Times New Roman"/>
          <w:color w:val="000000"/>
        </w:rPr>
      </w:pPr>
      <w:bookmarkStart w:id="41" w:name="_Toc311979906"/>
      <w:bookmarkStart w:id="42" w:name="_Toc10904"/>
      <w:bookmarkStart w:id="43" w:name="_Toc311979838"/>
      <w:bookmarkStart w:id="44" w:name="_Toc388881894"/>
      <w:bookmarkStart w:id="45" w:name="_Toc485996375"/>
      <w:bookmarkStart w:id="46" w:name="_Toc406847391"/>
      <w:bookmarkStart w:id="47" w:name="_Toc3019525"/>
      <w:bookmarkStart w:id="48" w:name="_Toc407001384"/>
      <w:bookmarkStart w:id="49" w:name="_Toc413166111"/>
      <w:bookmarkStart w:id="50" w:name="_Toc443924633"/>
      <w:bookmarkStart w:id="51" w:name="_Toc311979792"/>
      <w:bookmarkStart w:id="52" w:name="_Toc3256"/>
      <w:r>
        <w:rPr>
          <w:rFonts w:hAnsi="Times New Roman"/>
          <w:color w:val="000000"/>
        </w:rPr>
        <w:t>2.1 建设项目概况</w:t>
      </w:r>
      <w:bookmarkEnd w:id="41"/>
      <w:bookmarkEnd w:id="42"/>
      <w:bookmarkEnd w:id="43"/>
      <w:bookmarkEnd w:id="44"/>
      <w:bookmarkEnd w:id="45"/>
      <w:bookmarkEnd w:id="46"/>
      <w:bookmarkEnd w:id="47"/>
      <w:bookmarkEnd w:id="48"/>
      <w:bookmarkEnd w:id="49"/>
      <w:bookmarkEnd w:id="50"/>
      <w:bookmarkEnd w:id="51"/>
      <w:bookmarkEnd w:id="52"/>
    </w:p>
    <w:p>
      <w:pPr>
        <w:pStyle w:val="5"/>
        <w:snapToGrid w:val="0"/>
        <w:spacing w:before="0" w:after="0" w:line="520" w:lineRule="exact"/>
        <w:rPr>
          <w:rFonts w:eastAsia="黑体"/>
          <w:b w:val="0"/>
          <w:bCs w:val="0"/>
          <w:sz w:val="24"/>
          <w:szCs w:val="24"/>
        </w:rPr>
      </w:pPr>
      <w:bookmarkStart w:id="53" w:name="_Toc311979793"/>
      <w:bookmarkStart w:id="54" w:name="_Toc311979907"/>
      <w:bookmarkStart w:id="55" w:name="_Toc406847392"/>
      <w:bookmarkStart w:id="56" w:name="_Toc311979839"/>
      <w:bookmarkStart w:id="57" w:name="_Toc388881895"/>
      <w:bookmarkStart w:id="58" w:name="_Toc413166112"/>
      <w:bookmarkStart w:id="59" w:name="_Toc407001385"/>
      <w:r>
        <w:rPr>
          <w:rFonts w:eastAsia="黑体"/>
          <w:b w:val="0"/>
          <w:bCs w:val="0"/>
          <w:sz w:val="24"/>
          <w:szCs w:val="24"/>
        </w:rPr>
        <w:t>2.1.1</w:t>
      </w:r>
      <w:bookmarkEnd w:id="53"/>
      <w:bookmarkEnd w:id="54"/>
      <w:bookmarkEnd w:id="55"/>
      <w:bookmarkEnd w:id="56"/>
      <w:bookmarkEnd w:id="57"/>
      <w:bookmarkEnd w:id="58"/>
      <w:bookmarkEnd w:id="59"/>
      <w:r>
        <w:rPr>
          <w:rFonts w:eastAsia="黑体"/>
          <w:b w:val="0"/>
          <w:bCs w:val="0"/>
          <w:sz w:val="24"/>
          <w:szCs w:val="24"/>
        </w:rPr>
        <w:t>工程基本概况</w:t>
      </w:r>
    </w:p>
    <w:p>
      <w:pPr>
        <w:tabs>
          <w:tab w:val="left" w:pos="0"/>
        </w:tabs>
        <w:snapToGrid w:val="0"/>
        <w:spacing w:line="500" w:lineRule="exact"/>
        <w:ind w:firstLine="480" w:firstLineChars="200"/>
        <w:rPr>
          <w:kern w:val="0"/>
          <w:sz w:val="24"/>
        </w:rPr>
      </w:pPr>
      <w:r>
        <w:rPr>
          <w:kern w:val="0"/>
          <w:sz w:val="24"/>
        </w:rPr>
        <w:t>项目工程基本情况一览表2.1-1。</w:t>
      </w:r>
    </w:p>
    <w:p>
      <w:pPr>
        <w:spacing w:line="500" w:lineRule="exact"/>
        <w:jc w:val="center"/>
        <w:rPr>
          <w:b/>
          <w:sz w:val="24"/>
        </w:rPr>
      </w:pPr>
      <w:r>
        <w:rPr>
          <w:b/>
          <w:sz w:val="24"/>
        </w:rPr>
        <w:t>表2.1-1   项目基本信息一览表</w:t>
      </w:r>
    </w:p>
    <w:tbl>
      <w:tblPr>
        <w:tblStyle w:val="44"/>
        <w:tblW w:w="8962" w:type="dxa"/>
        <w:tblInd w:w="-1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8"/>
        <w:gridCol w:w="1952"/>
        <w:gridCol w:w="64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序号</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项    目</w:t>
            </w:r>
          </w:p>
        </w:tc>
        <w:tc>
          <w:tcPr>
            <w:tcW w:w="647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1</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工程名称</w:t>
            </w:r>
          </w:p>
        </w:tc>
        <w:tc>
          <w:tcPr>
            <w:tcW w:w="6472" w:type="dxa"/>
            <w:tcMar>
              <w:top w:w="0" w:type="dxa"/>
              <w:left w:w="57" w:type="dxa"/>
              <w:bottom w:w="0" w:type="dxa"/>
              <w:right w:w="57" w:type="dxa"/>
            </w:tcMar>
            <w:vAlign w:val="center"/>
          </w:tcPr>
          <w:p>
            <w:pPr>
              <w:adjustRightInd w:val="0"/>
              <w:snapToGrid w:val="0"/>
              <w:spacing w:line="360" w:lineRule="exact"/>
              <w:rPr>
                <w:szCs w:val="21"/>
              </w:rPr>
            </w:pPr>
            <w:r>
              <w:rPr>
                <w:szCs w:val="21"/>
              </w:rPr>
              <w:t>平舆牧原农牧有限公司平舆二十场生猪养殖项目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2</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工程建设单位</w:t>
            </w:r>
          </w:p>
        </w:tc>
        <w:tc>
          <w:tcPr>
            <w:tcW w:w="6472" w:type="dxa"/>
            <w:tcMar>
              <w:top w:w="0" w:type="dxa"/>
              <w:left w:w="57" w:type="dxa"/>
              <w:bottom w:w="0" w:type="dxa"/>
              <w:right w:w="57" w:type="dxa"/>
            </w:tcMar>
            <w:vAlign w:val="center"/>
          </w:tcPr>
          <w:p>
            <w:pPr>
              <w:adjustRightInd w:val="0"/>
              <w:snapToGrid w:val="0"/>
              <w:spacing w:line="360" w:lineRule="exact"/>
              <w:rPr>
                <w:szCs w:val="21"/>
              </w:rPr>
            </w:pPr>
            <w:r>
              <w:rPr>
                <w:szCs w:val="21"/>
              </w:rPr>
              <w:t>平舆牧原农牧有限公司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3</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建设性质</w:t>
            </w:r>
          </w:p>
        </w:tc>
        <w:tc>
          <w:tcPr>
            <w:tcW w:w="6472" w:type="dxa"/>
            <w:tcMar>
              <w:top w:w="0" w:type="dxa"/>
              <w:left w:w="57" w:type="dxa"/>
              <w:bottom w:w="0" w:type="dxa"/>
              <w:right w:w="57" w:type="dxa"/>
            </w:tcMar>
            <w:vAlign w:val="center"/>
          </w:tcPr>
          <w:p>
            <w:pPr>
              <w:adjustRightInd w:val="0"/>
              <w:snapToGrid w:val="0"/>
              <w:spacing w:line="360" w:lineRule="exact"/>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4</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行业类别</w:t>
            </w:r>
          </w:p>
        </w:tc>
        <w:tc>
          <w:tcPr>
            <w:tcW w:w="6472" w:type="dxa"/>
            <w:tcMar>
              <w:top w:w="0" w:type="dxa"/>
              <w:left w:w="57" w:type="dxa"/>
              <w:bottom w:w="0" w:type="dxa"/>
              <w:right w:w="57" w:type="dxa"/>
            </w:tcMar>
            <w:vAlign w:val="center"/>
          </w:tcPr>
          <w:p>
            <w:pPr>
              <w:adjustRightInd w:val="0"/>
              <w:snapToGrid w:val="0"/>
              <w:spacing w:line="360" w:lineRule="exact"/>
              <w:rPr>
                <w:szCs w:val="21"/>
              </w:rPr>
            </w:pPr>
            <w:r>
              <w:rPr>
                <w:szCs w:val="21"/>
              </w:rPr>
              <w:t>畜牧业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5</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建设地点</w:t>
            </w:r>
          </w:p>
        </w:tc>
        <w:tc>
          <w:tcPr>
            <w:tcW w:w="6472" w:type="dxa"/>
            <w:tcMar>
              <w:top w:w="0" w:type="dxa"/>
              <w:left w:w="57" w:type="dxa"/>
              <w:bottom w:w="0" w:type="dxa"/>
              <w:right w:w="57" w:type="dxa"/>
            </w:tcMar>
            <w:vAlign w:val="center"/>
          </w:tcPr>
          <w:p>
            <w:pPr>
              <w:adjustRightInd w:val="0"/>
              <w:snapToGrid w:val="0"/>
              <w:spacing w:line="360" w:lineRule="exact"/>
              <w:rPr>
                <w:szCs w:val="21"/>
              </w:rPr>
            </w:pPr>
            <w:r>
              <w:t>驻马店市</w:t>
            </w:r>
            <w:r>
              <w:rPr>
                <w:szCs w:val="21"/>
              </w:rPr>
              <w:t>平舆县</w:t>
            </w:r>
            <w:r>
              <w:rPr>
                <w:rFonts w:hint="eastAsia"/>
                <w:szCs w:val="21"/>
                <w:lang w:val="zh-CN"/>
              </w:rPr>
              <w:t>东和店镇邢岗村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6</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占地</w:t>
            </w:r>
          </w:p>
        </w:tc>
        <w:tc>
          <w:tcPr>
            <w:tcW w:w="6472" w:type="dxa"/>
            <w:tcMar>
              <w:top w:w="0" w:type="dxa"/>
              <w:left w:w="57" w:type="dxa"/>
              <w:bottom w:w="0" w:type="dxa"/>
              <w:right w:w="57" w:type="dxa"/>
            </w:tcMar>
            <w:vAlign w:val="center"/>
          </w:tcPr>
          <w:p>
            <w:pPr>
              <w:adjustRightInd w:val="0"/>
              <w:snapToGrid w:val="0"/>
              <w:spacing w:line="360" w:lineRule="exact"/>
              <w:rPr>
                <w:color w:val="000000"/>
                <w:szCs w:val="21"/>
              </w:rPr>
            </w:pPr>
            <w:r>
              <w:rPr>
                <w:color w:val="000000" w:themeColor="text1"/>
              </w:rPr>
              <w:t>2</w:t>
            </w:r>
            <w:r>
              <w:rPr>
                <w:rFonts w:hint="eastAsia"/>
                <w:color w:val="000000" w:themeColor="text1"/>
              </w:rPr>
              <w:t>03</w:t>
            </w:r>
            <w:r>
              <w:rPr>
                <w:color w:val="000000" w:themeColor="text1"/>
              </w:rPr>
              <w:t>亩</w:t>
            </w:r>
            <w:r>
              <w:rPr>
                <w:color w:val="000000" w:themeColor="text1"/>
                <w:szCs w:val="21"/>
              </w:rPr>
              <w:t>，约1</w:t>
            </w:r>
            <w:r>
              <w:rPr>
                <w:rFonts w:hint="eastAsia"/>
                <w:color w:val="000000" w:themeColor="text1"/>
                <w:szCs w:val="21"/>
              </w:rPr>
              <w:t>35333</w:t>
            </w:r>
            <w:r>
              <w:rPr>
                <w:color w:val="000000" w:themeColor="text1"/>
                <w:szCs w:val="21"/>
              </w:rPr>
              <w:t>m</w:t>
            </w:r>
            <w:r>
              <w:rPr>
                <w:color w:val="000000" w:themeColor="text1"/>
                <w:szCs w:val="21"/>
                <w:vertAlign w:val="superscript"/>
              </w:rPr>
              <w:t>2</w:t>
            </w:r>
            <w:r>
              <w:rPr>
                <w:color w:val="000000"/>
                <w:szCs w:val="21"/>
              </w:rPr>
              <w:t>，一般农田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7</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建筑面积</w:t>
            </w:r>
          </w:p>
        </w:tc>
        <w:tc>
          <w:tcPr>
            <w:tcW w:w="6472" w:type="dxa"/>
            <w:tcMar>
              <w:top w:w="0" w:type="dxa"/>
              <w:left w:w="57" w:type="dxa"/>
              <w:bottom w:w="0" w:type="dxa"/>
              <w:right w:w="57" w:type="dxa"/>
            </w:tcMar>
            <w:vAlign w:val="center"/>
          </w:tcPr>
          <w:p>
            <w:pPr>
              <w:adjustRightInd w:val="0"/>
              <w:snapToGrid w:val="0"/>
              <w:spacing w:line="360" w:lineRule="exact"/>
              <w:rPr>
                <w:color w:val="000000" w:themeColor="text1"/>
                <w:szCs w:val="21"/>
              </w:rPr>
            </w:pPr>
            <w:r>
              <w:rPr>
                <w:color w:val="000000" w:themeColor="text1"/>
                <w:szCs w:val="21"/>
              </w:rPr>
              <w:t>45225.34m</w:t>
            </w:r>
            <w:r>
              <w:rPr>
                <w:color w:val="000000" w:themeColor="text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8</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投资</w:t>
            </w:r>
          </w:p>
        </w:tc>
        <w:tc>
          <w:tcPr>
            <w:tcW w:w="6472" w:type="dxa"/>
            <w:tcMar>
              <w:top w:w="0" w:type="dxa"/>
              <w:left w:w="57" w:type="dxa"/>
              <w:bottom w:w="0" w:type="dxa"/>
              <w:right w:w="57" w:type="dxa"/>
            </w:tcMar>
            <w:vAlign w:val="center"/>
          </w:tcPr>
          <w:p>
            <w:pPr>
              <w:adjustRightInd w:val="0"/>
              <w:snapToGrid w:val="0"/>
              <w:spacing w:line="360" w:lineRule="exact"/>
              <w:rPr>
                <w:color w:val="000000" w:themeColor="text1"/>
                <w:szCs w:val="21"/>
              </w:rPr>
            </w:pPr>
            <w:r>
              <w:rPr>
                <w:rFonts w:eastAsia="仿宋"/>
                <w:color w:val="000000" w:themeColor="text1"/>
                <w:szCs w:val="21"/>
              </w:rPr>
              <w:t>12000万</w:t>
            </w:r>
            <w:r>
              <w:rPr>
                <w:rFonts w:eastAsiaTheme="minorEastAsia"/>
                <w:color w:val="000000" w:themeColor="text1"/>
                <w:szCs w:val="21"/>
              </w:rPr>
              <w:t>元，</w:t>
            </w:r>
            <w:r>
              <w:rPr>
                <w:color w:val="000000" w:themeColor="text1"/>
                <w:szCs w:val="21"/>
              </w:rPr>
              <w:t>企业自筹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9</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规模</w:t>
            </w:r>
          </w:p>
        </w:tc>
        <w:tc>
          <w:tcPr>
            <w:tcW w:w="6472" w:type="dxa"/>
            <w:tcMar>
              <w:top w:w="0" w:type="dxa"/>
              <w:left w:w="57" w:type="dxa"/>
              <w:bottom w:w="0" w:type="dxa"/>
              <w:right w:w="57" w:type="dxa"/>
            </w:tcMar>
            <w:vAlign w:val="center"/>
          </w:tcPr>
          <w:p>
            <w:pPr>
              <w:adjustRightInd w:val="0"/>
              <w:snapToGrid w:val="0"/>
              <w:spacing w:line="360" w:lineRule="exact"/>
              <w:rPr>
                <w:szCs w:val="21"/>
              </w:rPr>
            </w:pPr>
            <w:r>
              <w:rPr>
                <w:szCs w:val="21"/>
              </w:rPr>
              <w:t>养殖场设计规模为年出栏12.5万</w:t>
            </w:r>
            <w:r>
              <w:rPr>
                <w:bCs/>
                <w:szCs w:val="21"/>
              </w:rPr>
              <w:t>头生猪，年存栏60000头，其中保育猪16667头，育肥猪33333头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10</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劳动定员及工作制度</w:t>
            </w:r>
          </w:p>
        </w:tc>
        <w:tc>
          <w:tcPr>
            <w:tcW w:w="6472" w:type="dxa"/>
            <w:tcMar>
              <w:top w:w="0" w:type="dxa"/>
              <w:left w:w="57" w:type="dxa"/>
              <w:bottom w:w="0" w:type="dxa"/>
              <w:right w:w="57" w:type="dxa"/>
            </w:tcMar>
            <w:vAlign w:val="center"/>
          </w:tcPr>
          <w:p>
            <w:pPr>
              <w:adjustRightInd w:val="0"/>
              <w:snapToGrid w:val="0"/>
              <w:spacing w:line="360" w:lineRule="exact"/>
              <w:rPr>
                <w:color w:val="FF0000"/>
                <w:szCs w:val="21"/>
              </w:rPr>
            </w:pPr>
            <w:r>
              <w:rPr>
                <w:szCs w:val="21"/>
              </w:rPr>
              <w:t>年工作日365天，8小时白班工作制，全场劳动定员</w:t>
            </w:r>
            <w:r>
              <w:rPr>
                <w:rFonts w:hint="eastAsia"/>
                <w:szCs w:val="21"/>
              </w:rPr>
              <w:t>49</w:t>
            </w:r>
            <w:r>
              <w:rPr>
                <w:szCs w:val="21"/>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11</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选址及周边环境现状</w:t>
            </w:r>
          </w:p>
        </w:tc>
        <w:tc>
          <w:tcPr>
            <w:tcW w:w="6472" w:type="dxa"/>
            <w:tcMar>
              <w:top w:w="0" w:type="dxa"/>
              <w:left w:w="57" w:type="dxa"/>
              <w:bottom w:w="0" w:type="dxa"/>
              <w:right w:w="57" w:type="dxa"/>
            </w:tcMar>
            <w:vAlign w:val="center"/>
          </w:tcPr>
          <w:p>
            <w:pPr>
              <w:adjustRightInd w:val="0"/>
              <w:snapToGrid w:val="0"/>
              <w:spacing w:line="360" w:lineRule="exact"/>
              <w:rPr>
                <w:szCs w:val="21"/>
              </w:rPr>
            </w:pPr>
            <w:r>
              <w:rPr>
                <w:szCs w:val="21"/>
              </w:rPr>
              <w:t>该项目位于平舆县</w:t>
            </w:r>
            <w:r>
              <w:rPr>
                <w:rFonts w:hint="eastAsia"/>
                <w:szCs w:val="21"/>
                <w:lang w:val="zh-CN"/>
              </w:rPr>
              <w:t>东和店镇邢岗村</w:t>
            </w:r>
            <w:r>
              <w:rPr>
                <w:szCs w:val="21"/>
              </w:rPr>
              <w:t>，场区四周农田围绕，地形相对平坦。种植作物有玉米、小麦等；场址周围敏感点有：</w:t>
            </w:r>
            <w:r>
              <w:rPr>
                <w:rFonts w:hint="eastAsia"/>
                <w:szCs w:val="21"/>
                <w:lang w:val="zh-CN"/>
              </w:rPr>
              <w:t>东南</w:t>
            </w:r>
            <w:r>
              <w:rPr>
                <w:szCs w:val="21"/>
                <w:lang w:val="zh-CN"/>
              </w:rPr>
              <w:t>侧</w:t>
            </w:r>
            <w:r>
              <w:rPr>
                <w:rFonts w:hint="eastAsia"/>
                <w:szCs w:val="21"/>
                <w:lang w:eastAsia="zh-CN"/>
              </w:rPr>
              <w:t>507</w:t>
            </w:r>
            <w:r>
              <w:rPr>
                <w:szCs w:val="21"/>
                <w:lang w:val="zh-CN"/>
              </w:rPr>
              <w:t>m处为</w:t>
            </w:r>
            <w:r>
              <w:rPr>
                <w:rFonts w:hint="eastAsia"/>
                <w:szCs w:val="21"/>
                <w:lang w:val="zh-CN"/>
              </w:rPr>
              <w:t>邢寨村</w:t>
            </w:r>
            <w:r>
              <w:rPr>
                <w:szCs w:val="21"/>
                <w:lang w:val="zh-CN"/>
              </w:rPr>
              <w:t>，</w:t>
            </w:r>
            <w:r>
              <w:rPr>
                <w:rFonts w:hint="eastAsia"/>
                <w:szCs w:val="21"/>
                <w:lang w:val="zh-CN"/>
              </w:rPr>
              <w:t>南</w:t>
            </w:r>
            <w:r>
              <w:rPr>
                <w:szCs w:val="21"/>
                <w:lang w:val="zh-CN"/>
              </w:rPr>
              <w:t>侧</w:t>
            </w:r>
            <w:r>
              <w:rPr>
                <w:rFonts w:hint="eastAsia"/>
                <w:szCs w:val="21"/>
              </w:rPr>
              <w:t>1140</w:t>
            </w:r>
            <w:r>
              <w:rPr>
                <w:szCs w:val="21"/>
                <w:lang w:val="zh-CN"/>
              </w:rPr>
              <w:t>m处为</w:t>
            </w:r>
            <w:r>
              <w:rPr>
                <w:rFonts w:hint="eastAsia"/>
                <w:szCs w:val="21"/>
                <w:lang w:val="zh-CN"/>
              </w:rPr>
              <w:t>老任村</w:t>
            </w:r>
            <w:r>
              <w:rPr>
                <w:szCs w:val="21"/>
                <w:lang w:val="zh-CN"/>
              </w:rPr>
              <w:t>，</w:t>
            </w:r>
            <w:r>
              <w:rPr>
                <w:rFonts w:hint="eastAsia"/>
                <w:szCs w:val="21"/>
                <w:lang w:val="zh-CN"/>
              </w:rPr>
              <w:t>西</w:t>
            </w:r>
            <w:r>
              <w:rPr>
                <w:szCs w:val="21"/>
                <w:lang w:val="zh-CN"/>
              </w:rPr>
              <w:t>侧</w:t>
            </w:r>
            <w:r>
              <w:rPr>
                <w:rFonts w:hint="eastAsia"/>
                <w:szCs w:val="21"/>
              </w:rPr>
              <w:t>1876</w:t>
            </w:r>
            <w:r>
              <w:rPr>
                <w:szCs w:val="21"/>
                <w:lang w:val="zh-CN"/>
              </w:rPr>
              <w:t>m处为</w:t>
            </w:r>
            <w:r>
              <w:rPr>
                <w:rFonts w:hint="eastAsia"/>
                <w:szCs w:val="21"/>
                <w:lang w:val="zh-CN"/>
              </w:rPr>
              <w:t>后湾村</w:t>
            </w:r>
            <w:r>
              <w:rPr>
                <w:szCs w:val="21"/>
                <w:lang w:val="zh-CN"/>
              </w:rPr>
              <w:t>，</w:t>
            </w:r>
            <w:r>
              <w:rPr>
                <w:rFonts w:hint="eastAsia"/>
                <w:szCs w:val="21"/>
                <w:lang w:val="zh-CN"/>
              </w:rPr>
              <w:t>北</w:t>
            </w:r>
            <w:r>
              <w:rPr>
                <w:szCs w:val="21"/>
                <w:lang w:val="zh-CN"/>
              </w:rPr>
              <w:t>侧</w:t>
            </w:r>
            <w:r>
              <w:rPr>
                <w:rFonts w:hint="eastAsia"/>
                <w:szCs w:val="21"/>
              </w:rPr>
              <w:t>955</w:t>
            </w:r>
            <w:r>
              <w:rPr>
                <w:szCs w:val="21"/>
                <w:lang w:val="zh-CN"/>
              </w:rPr>
              <w:t>m处为</w:t>
            </w:r>
            <w:r>
              <w:rPr>
                <w:rFonts w:hint="eastAsia"/>
                <w:szCs w:val="21"/>
                <w:lang w:val="zh-CN"/>
              </w:rPr>
              <w:t>仙翁庙村</w:t>
            </w: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12</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工程主要组成</w:t>
            </w:r>
          </w:p>
        </w:tc>
        <w:tc>
          <w:tcPr>
            <w:tcW w:w="6472" w:type="dxa"/>
            <w:tcMar>
              <w:top w:w="0" w:type="dxa"/>
              <w:left w:w="57" w:type="dxa"/>
              <w:bottom w:w="0" w:type="dxa"/>
              <w:right w:w="57" w:type="dxa"/>
            </w:tcMar>
            <w:vAlign w:val="center"/>
          </w:tcPr>
          <w:p>
            <w:pPr>
              <w:adjustRightInd w:val="0"/>
              <w:snapToGrid w:val="0"/>
              <w:spacing w:line="360" w:lineRule="exact"/>
              <w:rPr>
                <w:szCs w:val="21"/>
              </w:rPr>
            </w:pPr>
            <w:r>
              <w:rPr>
                <w:szCs w:val="21"/>
              </w:rPr>
              <w:t>建设保育育肥一体舍80</w:t>
            </w:r>
            <w:r>
              <w:rPr>
                <w:rFonts w:hint="eastAsia"/>
                <w:szCs w:val="21"/>
              </w:rPr>
              <w:t>栋</w:t>
            </w:r>
            <w:r>
              <w:rPr>
                <w:szCs w:val="21"/>
              </w:rPr>
              <w:t>，配套沼气工程；沼气的净化与利用设施；沼液综合利用设施；固粪处理区及其它辅助生产设施。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13</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排水去向</w:t>
            </w:r>
          </w:p>
        </w:tc>
        <w:tc>
          <w:tcPr>
            <w:tcW w:w="6472" w:type="dxa"/>
            <w:tcMar>
              <w:top w:w="0" w:type="dxa"/>
              <w:left w:w="57" w:type="dxa"/>
              <w:bottom w:w="0" w:type="dxa"/>
              <w:right w:w="57" w:type="dxa"/>
            </w:tcMar>
            <w:vAlign w:val="center"/>
          </w:tcPr>
          <w:p>
            <w:pPr>
              <w:adjustRightInd w:val="0"/>
              <w:snapToGrid w:val="0"/>
              <w:spacing w:line="360" w:lineRule="exact"/>
              <w:rPr>
                <w:szCs w:val="21"/>
              </w:rPr>
            </w:pPr>
            <w:r>
              <w:rPr>
                <w:szCs w:val="21"/>
              </w:rPr>
              <w:t>本工程废水经沼气工程处理后，全部实现还田利用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38"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14</w:t>
            </w:r>
          </w:p>
        </w:tc>
        <w:tc>
          <w:tcPr>
            <w:tcW w:w="1952" w:type="dxa"/>
            <w:tcMar>
              <w:top w:w="0" w:type="dxa"/>
              <w:left w:w="57" w:type="dxa"/>
              <w:bottom w:w="0" w:type="dxa"/>
              <w:right w:w="57" w:type="dxa"/>
            </w:tcMar>
            <w:vAlign w:val="center"/>
          </w:tcPr>
          <w:p>
            <w:pPr>
              <w:adjustRightInd w:val="0"/>
              <w:snapToGrid w:val="0"/>
              <w:spacing w:line="360" w:lineRule="exact"/>
              <w:jc w:val="center"/>
              <w:rPr>
                <w:szCs w:val="21"/>
              </w:rPr>
            </w:pPr>
            <w:r>
              <w:rPr>
                <w:szCs w:val="21"/>
              </w:rPr>
              <w:t>预计正式运行日期</w:t>
            </w:r>
          </w:p>
        </w:tc>
        <w:tc>
          <w:tcPr>
            <w:tcW w:w="6472" w:type="dxa"/>
            <w:tcMar>
              <w:top w:w="0" w:type="dxa"/>
              <w:left w:w="57" w:type="dxa"/>
              <w:bottom w:w="0" w:type="dxa"/>
              <w:right w:w="57" w:type="dxa"/>
            </w:tcMar>
            <w:vAlign w:val="center"/>
          </w:tcPr>
          <w:p>
            <w:pPr>
              <w:adjustRightInd w:val="0"/>
              <w:snapToGrid w:val="0"/>
              <w:spacing w:line="360" w:lineRule="exact"/>
              <w:rPr>
                <w:szCs w:val="21"/>
              </w:rPr>
            </w:pPr>
            <w:r>
              <w:rPr>
                <w:szCs w:val="21"/>
              </w:rPr>
              <w:t>20</w:t>
            </w:r>
            <w:r>
              <w:rPr>
                <w:rFonts w:hint="eastAsia"/>
                <w:szCs w:val="21"/>
              </w:rPr>
              <w:t>20</w:t>
            </w:r>
            <w:r>
              <w:rPr>
                <w:szCs w:val="21"/>
              </w:rPr>
              <w:t>年</w:t>
            </w:r>
            <w:r>
              <w:rPr>
                <w:rFonts w:hint="eastAsia"/>
                <w:szCs w:val="21"/>
              </w:rPr>
              <w:t>8</w:t>
            </w:r>
            <w:r>
              <w:rPr>
                <w:szCs w:val="21"/>
              </w:rPr>
              <w:t>月</w:t>
            </w:r>
          </w:p>
        </w:tc>
      </w:tr>
    </w:tbl>
    <w:p>
      <w:pPr>
        <w:pStyle w:val="2"/>
        <w:ind w:firstLine="400"/>
      </w:pPr>
    </w:p>
    <w:p>
      <w:pPr>
        <w:pStyle w:val="2"/>
        <w:ind w:firstLine="400"/>
      </w:pPr>
    </w:p>
    <w:p>
      <w:pPr>
        <w:pStyle w:val="2"/>
        <w:ind w:firstLine="400"/>
      </w:pPr>
    </w:p>
    <w:p>
      <w:pPr>
        <w:pStyle w:val="2"/>
        <w:ind w:firstLine="400"/>
      </w:pPr>
    </w:p>
    <w:p>
      <w:pPr>
        <w:pStyle w:val="5"/>
        <w:snapToGrid w:val="0"/>
        <w:spacing w:before="0" w:after="0" w:line="520" w:lineRule="exact"/>
        <w:rPr>
          <w:rFonts w:eastAsia="黑体"/>
          <w:b w:val="0"/>
          <w:bCs w:val="0"/>
          <w:sz w:val="24"/>
          <w:szCs w:val="24"/>
        </w:rPr>
      </w:pPr>
      <w:bookmarkStart w:id="60" w:name="_Toc3029"/>
      <w:bookmarkStart w:id="61" w:name="_Toc406847394"/>
      <w:bookmarkStart w:id="62" w:name="_Toc407001387"/>
      <w:bookmarkStart w:id="63" w:name="_Toc413166114"/>
      <w:r>
        <w:rPr>
          <w:rFonts w:eastAsia="黑体"/>
          <w:b w:val="0"/>
          <w:bCs w:val="0"/>
          <w:sz w:val="24"/>
          <w:szCs w:val="24"/>
        </w:rPr>
        <w:t>2.1.2 项目主要建设内容</w:t>
      </w:r>
      <w:bookmarkEnd w:id="60"/>
      <w:bookmarkEnd w:id="61"/>
      <w:bookmarkEnd w:id="62"/>
      <w:bookmarkEnd w:id="63"/>
    </w:p>
    <w:p>
      <w:pPr>
        <w:pStyle w:val="36"/>
        <w:spacing w:after="0" w:line="520" w:lineRule="exact"/>
        <w:ind w:firstLine="482" w:firstLineChars="200"/>
        <w:rPr>
          <w:b/>
          <w:bCs/>
          <w:sz w:val="24"/>
          <w:u w:val="single"/>
        </w:rPr>
      </w:pPr>
      <w:r>
        <w:rPr>
          <w:b/>
          <w:bCs/>
          <w:sz w:val="24"/>
          <w:u w:val="single"/>
        </w:rPr>
        <w:t>拟建项目占地</w:t>
      </w:r>
      <w:r>
        <w:rPr>
          <w:b/>
          <w:bCs/>
          <w:color w:val="000000"/>
          <w:sz w:val="24"/>
          <w:u w:val="single"/>
        </w:rPr>
        <w:t>2</w:t>
      </w:r>
      <w:r>
        <w:rPr>
          <w:rFonts w:hint="eastAsia"/>
          <w:b/>
          <w:bCs/>
          <w:color w:val="000000"/>
          <w:sz w:val="24"/>
          <w:u w:val="single"/>
        </w:rPr>
        <w:t>03</w:t>
      </w:r>
      <w:r>
        <w:rPr>
          <w:b/>
          <w:bCs/>
          <w:color w:val="000000"/>
          <w:sz w:val="24"/>
          <w:u w:val="single"/>
        </w:rPr>
        <w:t>亩</w:t>
      </w:r>
      <w:r>
        <w:rPr>
          <w:b/>
          <w:bCs/>
          <w:sz w:val="24"/>
          <w:u w:val="single"/>
        </w:rPr>
        <w:t>，拟建设年出栏12.5万头生猪养殖项目，存栏</w:t>
      </w:r>
      <w:r>
        <w:rPr>
          <w:b/>
          <w:bCs/>
          <w:color w:val="000000"/>
          <w:sz w:val="24"/>
          <w:u w:val="single"/>
        </w:rPr>
        <w:t>年存栏</w:t>
      </w:r>
      <w:r>
        <w:rPr>
          <w:rFonts w:hint="eastAsia"/>
          <w:b/>
          <w:bCs/>
          <w:color w:val="000000"/>
          <w:sz w:val="24"/>
          <w:u w:val="single"/>
        </w:rPr>
        <w:t>5</w:t>
      </w:r>
      <w:r>
        <w:rPr>
          <w:b/>
          <w:bCs/>
          <w:color w:val="000000"/>
          <w:sz w:val="24"/>
          <w:u w:val="single"/>
        </w:rPr>
        <w:t>0000头，其中保育猪</w:t>
      </w:r>
      <w:r>
        <w:rPr>
          <w:rFonts w:hint="eastAsia"/>
          <w:b/>
          <w:bCs/>
          <w:color w:val="000000"/>
          <w:sz w:val="24"/>
          <w:u w:val="single"/>
        </w:rPr>
        <w:t>16667</w:t>
      </w:r>
      <w:r>
        <w:rPr>
          <w:b/>
          <w:bCs/>
          <w:color w:val="000000"/>
          <w:sz w:val="24"/>
          <w:u w:val="single"/>
        </w:rPr>
        <w:t>头，育肥猪</w:t>
      </w:r>
      <w:r>
        <w:rPr>
          <w:rFonts w:hint="eastAsia"/>
          <w:b/>
          <w:bCs/>
          <w:color w:val="000000"/>
          <w:sz w:val="24"/>
          <w:u w:val="single"/>
        </w:rPr>
        <w:t>33333</w:t>
      </w:r>
      <w:r>
        <w:rPr>
          <w:b/>
          <w:bCs/>
          <w:color w:val="000000"/>
          <w:sz w:val="24"/>
          <w:u w:val="single"/>
        </w:rPr>
        <w:t>头</w:t>
      </w:r>
      <w:r>
        <w:rPr>
          <w:b/>
          <w:bCs/>
          <w:sz w:val="24"/>
          <w:u w:val="single"/>
        </w:rPr>
        <w:t>，主要建设内容包括建设保育育肥一体舍80</w:t>
      </w:r>
      <w:r>
        <w:rPr>
          <w:rFonts w:hint="eastAsia"/>
          <w:b/>
          <w:bCs/>
          <w:sz w:val="24"/>
          <w:u w:val="single"/>
        </w:rPr>
        <w:t>栋</w:t>
      </w:r>
      <w:r>
        <w:rPr>
          <w:b/>
          <w:bCs/>
          <w:color w:val="000000"/>
          <w:sz w:val="24"/>
          <w:u w:val="single"/>
        </w:rPr>
        <w:t>，其建筑面积为</w:t>
      </w:r>
      <w:r>
        <w:rPr>
          <w:b/>
          <w:bCs/>
          <w:color w:val="000000" w:themeColor="text1"/>
          <w:sz w:val="24"/>
          <w:u w:val="single"/>
        </w:rPr>
        <w:t>45225.34m</w:t>
      </w:r>
      <w:r>
        <w:rPr>
          <w:b/>
          <w:bCs/>
          <w:color w:val="000000" w:themeColor="text1"/>
          <w:sz w:val="24"/>
          <w:u w:val="single"/>
          <w:vertAlign w:val="superscript"/>
        </w:rPr>
        <w:t>2</w:t>
      </w:r>
      <w:r>
        <w:rPr>
          <w:b/>
          <w:bCs/>
          <w:color w:val="000000"/>
          <w:sz w:val="24"/>
          <w:u w:val="single"/>
        </w:rPr>
        <w:t>；</w:t>
      </w:r>
      <w:r>
        <w:rPr>
          <w:b/>
          <w:bCs/>
          <w:sz w:val="24"/>
          <w:u w:val="single"/>
        </w:rPr>
        <w:t>配套建设粪污处理设施等辅助工程及公用工程，项目主要建设内容见表2.1-2。</w:t>
      </w:r>
    </w:p>
    <w:p>
      <w:pPr>
        <w:spacing w:line="520" w:lineRule="exact"/>
        <w:jc w:val="center"/>
        <w:rPr>
          <w:b/>
          <w:bCs/>
          <w:sz w:val="24"/>
          <w:u w:val="single"/>
        </w:rPr>
      </w:pPr>
      <w:r>
        <w:rPr>
          <w:b/>
          <w:bCs/>
          <w:sz w:val="24"/>
          <w:u w:val="single"/>
        </w:rPr>
        <w:t>表2.1-2    项目主要建设内容</w:t>
      </w:r>
    </w:p>
    <w:tbl>
      <w:tblPr>
        <w:tblStyle w:val="44"/>
        <w:tblW w:w="881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9"/>
        <w:gridCol w:w="389"/>
        <w:gridCol w:w="1410"/>
        <w:gridCol w:w="59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1089" w:type="dxa"/>
            <w:tcMar>
              <w:top w:w="0" w:type="dxa"/>
              <w:left w:w="28" w:type="dxa"/>
              <w:bottom w:w="0" w:type="dxa"/>
              <w:right w:w="28" w:type="dxa"/>
            </w:tcMar>
            <w:vAlign w:val="center"/>
          </w:tcPr>
          <w:p>
            <w:pPr>
              <w:spacing w:line="360" w:lineRule="exact"/>
              <w:jc w:val="center"/>
              <w:rPr>
                <w:b/>
                <w:bCs/>
                <w:szCs w:val="21"/>
                <w:u w:val="single"/>
              </w:rPr>
            </w:pPr>
            <w:r>
              <w:rPr>
                <w:b/>
                <w:bCs/>
                <w:szCs w:val="21"/>
                <w:u w:val="single"/>
              </w:rPr>
              <w:t>项目组成</w:t>
            </w:r>
          </w:p>
        </w:tc>
        <w:tc>
          <w:tcPr>
            <w:tcW w:w="7728" w:type="dxa"/>
            <w:gridSpan w:val="3"/>
            <w:tcMar>
              <w:top w:w="0" w:type="dxa"/>
              <w:left w:w="28" w:type="dxa"/>
              <w:bottom w:w="0" w:type="dxa"/>
              <w:right w:w="28" w:type="dxa"/>
            </w:tcMar>
            <w:vAlign w:val="center"/>
          </w:tcPr>
          <w:p>
            <w:pPr>
              <w:spacing w:line="360" w:lineRule="exact"/>
              <w:jc w:val="center"/>
              <w:rPr>
                <w:b/>
                <w:bCs/>
                <w:szCs w:val="21"/>
                <w:u w:val="single"/>
              </w:rPr>
            </w:pPr>
            <w:r>
              <w:rPr>
                <w:b/>
                <w:bCs/>
                <w:szCs w:val="21"/>
                <w:u w:val="single"/>
              </w:rPr>
              <w:t>工程内容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tcMar>
              <w:top w:w="0" w:type="dxa"/>
              <w:left w:w="28" w:type="dxa"/>
              <w:bottom w:w="0" w:type="dxa"/>
              <w:right w:w="28" w:type="dxa"/>
            </w:tcMar>
            <w:vAlign w:val="center"/>
          </w:tcPr>
          <w:p>
            <w:pPr>
              <w:spacing w:line="360" w:lineRule="exact"/>
              <w:jc w:val="center"/>
              <w:rPr>
                <w:b/>
                <w:bCs/>
                <w:szCs w:val="21"/>
                <w:u w:val="single"/>
              </w:rPr>
            </w:pPr>
            <w:r>
              <w:rPr>
                <w:b/>
                <w:bCs/>
                <w:szCs w:val="21"/>
                <w:u w:val="single"/>
              </w:rPr>
              <w:t>主体工程</w:t>
            </w:r>
          </w:p>
        </w:tc>
        <w:tc>
          <w:tcPr>
            <w:tcW w:w="1799" w:type="dxa"/>
            <w:gridSpan w:val="2"/>
            <w:tcMar>
              <w:top w:w="0" w:type="dxa"/>
              <w:left w:w="28" w:type="dxa"/>
              <w:bottom w:w="0" w:type="dxa"/>
              <w:right w:w="28" w:type="dxa"/>
            </w:tcMar>
            <w:vAlign w:val="center"/>
          </w:tcPr>
          <w:p>
            <w:pPr>
              <w:jc w:val="center"/>
              <w:rPr>
                <w:b/>
                <w:bCs/>
                <w:szCs w:val="21"/>
                <w:u w:val="single"/>
              </w:rPr>
            </w:pPr>
            <w:r>
              <w:rPr>
                <w:b/>
                <w:bCs/>
                <w:szCs w:val="21"/>
                <w:u w:val="single"/>
              </w:rPr>
              <w:t>保育育肥一体舍</w:t>
            </w:r>
          </w:p>
        </w:tc>
        <w:tc>
          <w:tcPr>
            <w:tcW w:w="5929" w:type="dxa"/>
            <w:tcMar>
              <w:top w:w="0" w:type="dxa"/>
              <w:left w:w="28" w:type="dxa"/>
              <w:bottom w:w="0" w:type="dxa"/>
              <w:right w:w="28" w:type="dxa"/>
            </w:tcMar>
            <w:vAlign w:val="center"/>
          </w:tcPr>
          <w:p>
            <w:pPr>
              <w:kinsoku w:val="0"/>
              <w:overflowPunct w:val="0"/>
              <w:spacing w:line="300" w:lineRule="exact"/>
              <w:jc w:val="left"/>
              <w:rPr>
                <w:b/>
                <w:bCs/>
                <w:szCs w:val="21"/>
                <w:u w:val="single"/>
              </w:rPr>
            </w:pPr>
            <w:r>
              <w:rPr>
                <w:b/>
                <w:bCs/>
                <w:szCs w:val="21"/>
                <w:u w:val="single"/>
              </w:rPr>
              <w:t>新建：80座，规格为37.1m×14m，总建筑面积41552 m</w:t>
            </w:r>
            <w:r>
              <w:rPr>
                <w:b/>
                <w:bCs/>
                <w:szCs w:val="21"/>
                <w:u w:val="singl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restart"/>
            <w:tcMar>
              <w:top w:w="0" w:type="dxa"/>
              <w:left w:w="28" w:type="dxa"/>
              <w:bottom w:w="0" w:type="dxa"/>
              <w:right w:w="28" w:type="dxa"/>
            </w:tcMar>
            <w:vAlign w:val="center"/>
          </w:tcPr>
          <w:p>
            <w:pPr>
              <w:spacing w:line="360" w:lineRule="exact"/>
              <w:jc w:val="center"/>
              <w:rPr>
                <w:b/>
                <w:bCs/>
                <w:szCs w:val="21"/>
                <w:u w:val="single"/>
              </w:rPr>
            </w:pPr>
            <w:r>
              <w:rPr>
                <w:b/>
                <w:bCs/>
                <w:szCs w:val="21"/>
                <w:u w:val="single"/>
              </w:rPr>
              <w:t>辅助工程</w:t>
            </w:r>
          </w:p>
        </w:tc>
        <w:tc>
          <w:tcPr>
            <w:tcW w:w="1799" w:type="dxa"/>
            <w:gridSpan w:val="2"/>
            <w:tcMar>
              <w:top w:w="0" w:type="dxa"/>
              <w:left w:w="28" w:type="dxa"/>
              <w:bottom w:w="0" w:type="dxa"/>
              <w:right w:w="28" w:type="dxa"/>
            </w:tcMar>
            <w:vAlign w:val="center"/>
          </w:tcPr>
          <w:p>
            <w:pPr>
              <w:spacing w:line="360" w:lineRule="exact"/>
              <w:jc w:val="center"/>
              <w:rPr>
                <w:b/>
                <w:bCs/>
                <w:szCs w:val="21"/>
                <w:u w:val="single"/>
              </w:rPr>
            </w:pPr>
            <w:r>
              <w:rPr>
                <w:b/>
                <w:bCs/>
                <w:szCs w:val="21"/>
                <w:u w:val="single"/>
              </w:rPr>
              <w:t>办公宿舍楼（含食堂）</w:t>
            </w:r>
          </w:p>
        </w:tc>
        <w:tc>
          <w:tcPr>
            <w:tcW w:w="5929" w:type="dxa"/>
            <w:tcMar>
              <w:top w:w="0" w:type="dxa"/>
              <w:left w:w="28" w:type="dxa"/>
              <w:bottom w:w="0" w:type="dxa"/>
              <w:right w:w="28" w:type="dxa"/>
            </w:tcMar>
            <w:vAlign w:val="center"/>
          </w:tcPr>
          <w:p>
            <w:pPr>
              <w:spacing w:line="360" w:lineRule="exact"/>
              <w:jc w:val="left"/>
              <w:rPr>
                <w:b/>
                <w:bCs/>
                <w:szCs w:val="21"/>
                <w:u w:val="single"/>
              </w:rPr>
            </w:pPr>
            <w:r>
              <w:rPr>
                <w:b/>
                <w:bCs/>
                <w:szCs w:val="21"/>
                <w:u w:val="single"/>
              </w:rPr>
              <w:t>新建：1栋，2F，建筑面积共1763m</w:t>
            </w:r>
            <w:r>
              <w:rPr>
                <w:b/>
                <w:bCs/>
                <w:szCs w:val="21"/>
                <w:u w:val="single"/>
                <w:vertAlign w:val="superscript"/>
              </w:rPr>
              <w:t>2</w:t>
            </w:r>
            <w:r>
              <w:rPr>
                <w:b/>
                <w:bCs/>
                <w:szCs w:val="21"/>
                <w:u w:val="single"/>
              </w:rPr>
              <w:t>，员工冬季取暖采用空调。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Cs w:val="21"/>
                <w:u w:val="single"/>
              </w:rPr>
            </w:pPr>
          </w:p>
        </w:tc>
        <w:tc>
          <w:tcPr>
            <w:tcW w:w="1799" w:type="dxa"/>
            <w:gridSpan w:val="2"/>
            <w:tcMar>
              <w:top w:w="0" w:type="dxa"/>
              <w:left w:w="28" w:type="dxa"/>
              <w:bottom w:w="0" w:type="dxa"/>
              <w:right w:w="28" w:type="dxa"/>
            </w:tcMar>
            <w:vAlign w:val="center"/>
          </w:tcPr>
          <w:p>
            <w:pPr>
              <w:spacing w:line="360" w:lineRule="exact"/>
              <w:jc w:val="center"/>
              <w:rPr>
                <w:b/>
                <w:bCs/>
                <w:szCs w:val="21"/>
                <w:u w:val="single"/>
              </w:rPr>
            </w:pPr>
            <w:r>
              <w:rPr>
                <w:b/>
                <w:bCs/>
                <w:szCs w:val="21"/>
                <w:u w:val="single"/>
              </w:rPr>
              <w:t>仓库</w:t>
            </w:r>
          </w:p>
        </w:tc>
        <w:tc>
          <w:tcPr>
            <w:tcW w:w="5929" w:type="dxa"/>
            <w:tcMar>
              <w:top w:w="0" w:type="dxa"/>
              <w:left w:w="28" w:type="dxa"/>
              <w:bottom w:w="0" w:type="dxa"/>
              <w:right w:w="28" w:type="dxa"/>
            </w:tcMar>
            <w:vAlign w:val="center"/>
          </w:tcPr>
          <w:p>
            <w:pPr>
              <w:spacing w:line="360" w:lineRule="exact"/>
              <w:jc w:val="left"/>
              <w:rPr>
                <w:b/>
                <w:bCs/>
                <w:szCs w:val="21"/>
                <w:u w:val="single"/>
              </w:rPr>
            </w:pPr>
            <w:r>
              <w:rPr>
                <w:b/>
                <w:bCs/>
                <w:szCs w:val="21"/>
                <w:u w:val="single"/>
              </w:rPr>
              <w:t>新建：2个，建筑面积共900m</w:t>
            </w:r>
            <w:r>
              <w:rPr>
                <w:b/>
                <w:bCs/>
                <w:szCs w:val="21"/>
                <w:u w:val="singl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Cs w:val="21"/>
                <w:u w:val="single"/>
              </w:rPr>
            </w:pPr>
          </w:p>
        </w:tc>
        <w:tc>
          <w:tcPr>
            <w:tcW w:w="1799" w:type="dxa"/>
            <w:gridSpan w:val="2"/>
            <w:tcMar>
              <w:top w:w="0" w:type="dxa"/>
              <w:left w:w="28" w:type="dxa"/>
              <w:bottom w:w="0" w:type="dxa"/>
              <w:right w:w="28" w:type="dxa"/>
            </w:tcMar>
            <w:vAlign w:val="center"/>
          </w:tcPr>
          <w:p>
            <w:pPr>
              <w:spacing w:line="360" w:lineRule="exact"/>
              <w:jc w:val="center"/>
              <w:rPr>
                <w:b/>
                <w:bCs/>
                <w:szCs w:val="21"/>
                <w:u w:val="single"/>
              </w:rPr>
            </w:pPr>
            <w:r>
              <w:rPr>
                <w:b/>
                <w:bCs/>
                <w:szCs w:val="21"/>
                <w:u w:val="single"/>
              </w:rPr>
              <w:t>病死猪</w:t>
            </w:r>
            <w:r>
              <w:rPr>
                <w:rFonts w:hint="eastAsia"/>
                <w:b/>
                <w:bCs/>
                <w:szCs w:val="21"/>
                <w:u w:val="single"/>
              </w:rPr>
              <w:t>处置</w:t>
            </w:r>
            <w:r>
              <w:rPr>
                <w:b/>
                <w:bCs/>
                <w:szCs w:val="21"/>
                <w:u w:val="single"/>
              </w:rPr>
              <w:t>间</w:t>
            </w:r>
          </w:p>
        </w:tc>
        <w:tc>
          <w:tcPr>
            <w:tcW w:w="5929" w:type="dxa"/>
            <w:tcMar>
              <w:top w:w="0" w:type="dxa"/>
              <w:left w:w="28" w:type="dxa"/>
              <w:bottom w:w="0" w:type="dxa"/>
              <w:right w:w="28" w:type="dxa"/>
            </w:tcMar>
            <w:vAlign w:val="center"/>
          </w:tcPr>
          <w:p>
            <w:pPr>
              <w:spacing w:line="360" w:lineRule="exact"/>
              <w:jc w:val="left"/>
              <w:rPr>
                <w:b/>
                <w:bCs/>
                <w:szCs w:val="21"/>
                <w:u w:val="single"/>
              </w:rPr>
            </w:pPr>
            <w:r>
              <w:rPr>
                <w:b/>
                <w:bCs/>
                <w:szCs w:val="21"/>
                <w:u w:val="single"/>
              </w:rPr>
              <w:t>规格为16m×15m，总建筑面积240 m</w:t>
            </w:r>
            <w:r>
              <w:rPr>
                <w:b/>
                <w:bCs/>
                <w:szCs w:val="21"/>
                <w:u w:val="single"/>
                <w:vertAlign w:val="superscript"/>
              </w:rPr>
              <w:t>2</w:t>
            </w:r>
            <w:r>
              <w:rPr>
                <w:b/>
                <w:bCs/>
                <w:szCs w:val="21"/>
                <w:u w:val="single"/>
              </w:rPr>
              <w:t>；车间内设置</w:t>
            </w:r>
            <w:r>
              <w:rPr>
                <w:b/>
                <w:bCs/>
                <w:u w:val="single"/>
              </w:rPr>
              <w:t>高温降化制机</w:t>
            </w:r>
            <w:r>
              <w:rPr>
                <w:b/>
                <w:bCs/>
                <w:szCs w:val="21"/>
                <w:u w:val="single"/>
              </w:rPr>
              <w:t>一台，处理能力为每次2吨，每天8吨，仅处置场区内的病死猪。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Cs w:val="21"/>
                <w:u w:val="single"/>
              </w:rPr>
            </w:pPr>
          </w:p>
        </w:tc>
        <w:tc>
          <w:tcPr>
            <w:tcW w:w="1799" w:type="dxa"/>
            <w:gridSpan w:val="2"/>
            <w:tcMar>
              <w:top w:w="0" w:type="dxa"/>
              <w:left w:w="28" w:type="dxa"/>
              <w:bottom w:w="0" w:type="dxa"/>
              <w:right w:w="28" w:type="dxa"/>
            </w:tcMar>
            <w:vAlign w:val="center"/>
          </w:tcPr>
          <w:p>
            <w:pPr>
              <w:spacing w:line="360" w:lineRule="exact"/>
              <w:jc w:val="center"/>
              <w:rPr>
                <w:b/>
                <w:bCs/>
                <w:szCs w:val="21"/>
                <w:u w:val="single"/>
              </w:rPr>
            </w:pPr>
            <w:r>
              <w:rPr>
                <w:b/>
                <w:bCs/>
                <w:szCs w:val="21"/>
                <w:u w:val="single"/>
              </w:rPr>
              <w:t>高压冲洗房</w:t>
            </w:r>
          </w:p>
        </w:tc>
        <w:tc>
          <w:tcPr>
            <w:tcW w:w="5929" w:type="dxa"/>
            <w:tcMar>
              <w:top w:w="0" w:type="dxa"/>
              <w:left w:w="28" w:type="dxa"/>
              <w:bottom w:w="0" w:type="dxa"/>
              <w:right w:w="28" w:type="dxa"/>
            </w:tcMar>
            <w:vAlign w:val="center"/>
          </w:tcPr>
          <w:p>
            <w:pPr>
              <w:spacing w:line="360" w:lineRule="exact"/>
              <w:jc w:val="left"/>
              <w:rPr>
                <w:b/>
                <w:bCs/>
                <w:szCs w:val="21"/>
                <w:u w:val="single"/>
              </w:rPr>
            </w:pPr>
            <w:r>
              <w:rPr>
                <w:b/>
                <w:bCs/>
                <w:szCs w:val="21"/>
                <w:u w:val="single"/>
              </w:rPr>
              <w:t>新建：2个，建筑面积共60 m</w:t>
            </w:r>
            <w:r>
              <w:rPr>
                <w:b/>
                <w:bCs/>
                <w:szCs w:val="21"/>
                <w:u w:val="singl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Cs w:val="21"/>
                <w:u w:val="single"/>
              </w:rPr>
            </w:pPr>
          </w:p>
        </w:tc>
        <w:tc>
          <w:tcPr>
            <w:tcW w:w="1799" w:type="dxa"/>
            <w:gridSpan w:val="2"/>
            <w:tcMar>
              <w:top w:w="0" w:type="dxa"/>
              <w:left w:w="28" w:type="dxa"/>
              <w:bottom w:w="0" w:type="dxa"/>
              <w:right w:w="28" w:type="dxa"/>
            </w:tcMar>
            <w:vAlign w:val="center"/>
          </w:tcPr>
          <w:p>
            <w:pPr>
              <w:spacing w:line="360" w:lineRule="exact"/>
              <w:jc w:val="center"/>
              <w:rPr>
                <w:b/>
                <w:bCs/>
                <w:szCs w:val="21"/>
                <w:u w:val="single"/>
              </w:rPr>
            </w:pPr>
            <w:r>
              <w:rPr>
                <w:b/>
                <w:bCs/>
                <w:szCs w:val="21"/>
                <w:u w:val="single"/>
              </w:rPr>
              <w:t>沼气热水炉</w:t>
            </w:r>
          </w:p>
        </w:tc>
        <w:tc>
          <w:tcPr>
            <w:tcW w:w="5929" w:type="dxa"/>
            <w:tcMar>
              <w:top w:w="0" w:type="dxa"/>
              <w:left w:w="28" w:type="dxa"/>
              <w:bottom w:w="0" w:type="dxa"/>
              <w:right w:w="28" w:type="dxa"/>
            </w:tcMar>
            <w:vAlign w:val="center"/>
          </w:tcPr>
          <w:p>
            <w:pPr>
              <w:spacing w:line="360" w:lineRule="exact"/>
              <w:jc w:val="left"/>
              <w:rPr>
                <w:b/>
                <w:bCs/>
                <w:color w:val="000000" w:themeColor="text1"/>
                <w:szCs w:val="21"/>
                <w:u w:val="single"/>
              </w:rPr>
            </w:pPr>
            <w:r>
              <w:rPr>
                <w:b/>
                <w:bCs/>
                <w:color w:val="000000" w:themeColor="text1"/>
                <w:kern w:val="0"/>
                <w:szCs w:val="21"/>
                <w:u w:val="single"/>
              </w:rPr>
              <w:t>燃用项目产生的沼气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Cs w:val="21"/>
                <w:u w:val="single"/>
              </w:rPr>
            </w:pPr>
          </w:p>
        </w:tc>
        <w:tc>
          <w:tcPr>
            <w:tcW w:w="1799" w:type="dxa"/>
            <w:gridSpan w:val="2"/>
            <w:tcMar>
              <w:top w:w="0" w:type="dxa"/>
              <w:left w:w="28" w:type="dxa"/>
              <w:bottom w:w="0" w:type="dxa"/>
              <w:right w:w="28" w:type="dxa"/>
            </w:tcMar>
            <w:vAlign w:val="center"/>
          </w:tcPr>
          <w:p>
            <w:pPr>
              <w:spacing w:line="360" w:lineRule="exact"/>
              <w:jc w:val="center"/>
              <w:rPr>
                <w:b/>
                <w:bCs/>
                <w:szCs w:val="21"/>
                <w:u w:val="single"/>
              </w:rPr>
            </w:pPr>
            <w:r>
              <w:rPr>
                <w:rFonts w:hint="eastAsia"/>
                <w:b/>
                <w:bCs/>
                <w:szCs w:val="21"/>
                <w:u w:val="single"/>
              </w:rPr>
              <w:t>环保值班室</w:t>
            </w:r>
          </w:p>
        </w:tc>
        <w:tc>
          <w:tcPr>
            <w:tcW w:w="5929" w:type="dxa"/>
            <w:tcMar>
              <w:top w:w="0" w:type="dxa"/>
              <w:left w:w="28" w:type="dxa"/>
              <w:bottom w:w="0" w:type="dxa"/>
              <w:right w:w="28" w:type="dxa"/>
            </w:tcMar>
            <w:vAlign w:val="center"/>
          </w:tcPr>
          <w:p>
            <w:pPr>
              <w:spacing w:line="360" w:lineRule="exact"/>
              <w:jc w:val="left"/>
              <w:rPr>
                <w:b/>
                <w:bCs/>
                <w:szCs w:val="21"/>
                <w:u w:val="single"/>
              </w:rPr>
            </w:pPr>
            <w:r>
              <w:rPr>
                <w:b/>
                <w:bCs/>
                <w:szCs w:val="21"/>
                <w:u w:val="single"/>
              </w:rPr>
              <w:t>新建：1个，建筑面积共187.92m</w:t>
            </w:r>
            <w:r>
              <w:rPr>
                <w:b/>
                <w:bCs/>
                <w:szCs w:val="21"/>
                <w:u w:val="singl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Cs w:val="21"/>
                <w:u w:val="single"/>
              </w:rPr>
            </w:pPr>
          </w:p>
        </w:tc>
        <w:tc>
          <w:tcPr>
            <w:tcW w:w="1799" w:type="dxa"/>
            <w:gridSpan w:val="2"/>
            <w:tcMar>
              <w:top w:w="0" w:type="dxa"/>
              <w:left w:w="28" w:type="dxa"/>
              <w:bottom w:w="0" w:type="dxa"/>
              <w:right w:w="28" w:type="dxa"/>
            </w:tcMar>
            <w:vAlign w:val="center"/>
          </w:tcPr>
          <w:p>
            <w:pPr>
              <w:spacing w:line="360" w:lineRule="exact"/>
              <w:jc w:val="center"/>
              <w:rPr>
                <w:b/>
                <w:bCs/>
                <w:szCs w:val="21"/>
                <w:u w:val="single"/>
              </w:rPr>
            </w:pPr>
            <w:r>
              <w:rPr>
                <w:b/>
                <w:bCs/>
                <w:szCs w:val="21"/>
                <w:u w:val="single"/>
              </w:rPr>
              <w:t>门卫室</w:t>
            </w:r>
          </w:p>
        </w:tc>
        <w:tc>
          <w:tcPr>
            <w:tcW w:w="5929" w:type="dxa"/>
            <w:tcMar>
              <w:top w:w="0" w:type="dxa"/>
              <w:left w:w="28" w:type="dxa"/>
              <w:bottom w:w="0" w:type="dxa"/>
              <w:right w:w="28" w:type="dxa"/>
            </w:tcMar>
            <w:vAlign w:val="center"/>
          </w:tcPr>
          <w:p>
            <w:pPr>
              <w:spacing w:line="360" w:lineRule="exact"/>
              <w:jc w:val="left"/>
              <w:rPr>
                <w:b/>
                <w:bCs/>
                <w:szCs w:val="21"/>
                <w:u w:val="single"/>
              </w:rPr>
            </w:pPr>
            <w:r>
              <w:rPr>
                <w:b/>
                <w:bCs/>
                <w:szCs w:val="21"/>
                <w:u w:val="single"/>
              </w:rPr>
              <w:t>新建：1个，建筑面积共221.7m</w:t>
            </w:r>
            <w:r>
              <w:rPr>
                <w:b/>
                <w:bCs/>
                <w:szCs w:val="21"/>
                <w:u w:val="singl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Cs w:val="21"/>
                <w:u w:val="single"/>
              </w:rPr>
            </w:pPr>
          </w:p>
        </w:tc>
        <w:tc>
          <w:tcPr>
            <w:tcW w:w="1799" w:type="dxa"/>
            <w:gridSpan w:val="2"/>
            <w:tcMar>
              <w:top w:w="0" w:type="dxa"/>
              <w:left w:w="28" w:type="dxa"/>
              <w:bottom w:w="0" w:type="dxa"/>
              <w:right w:w="28" w:type="dxa"/>
            </w:tcMar>
            <w:vAlign w:val="center"/>
          </w:tcPr>
          <w:p>
            <w:pPr>
              <w:spacing w:line="360" w:lineRule="exact"/>
              <w:jc w:val="center"/>
              <w:rPr>
                <w:b/>
                <w:bCs/>
                <w:szCs w:val="21"/>
                <w:u w:val="single"/>
              </w:rPr>
            </w:pPr>
            <w:r>
              <w:rPr>
                <w:b/>
                <w:bCs/>
                <w:szCs w:val="21"/>
                <w:u w:val="single"/>
              </w:rPr>
              <w:t>集中供料站</w:t>
            </w:r>
          </w:p>
        </w:tc>
        <w:tc>
          <w:tcPr>
            <w:tcW w:w="5929" w:type="dxa"/>
            <w:tcMar>
              <w:top w:w="0" w:type="dxa"/>
              <w:left w:w="28" w:type="dxa"/>
              <w:bottom w:w="0" w:type="dxa"/>
              <w:right w:w="28" w:type="dxa"/>
            </w:tcMar>
            <w:vAlign w:val="center"/>
          </w:tcPr>
          <w:p>
            <w:pPr>
              <w:spacing w:line="360" w:lineRule="exact"/>
              <w:jc w:val="left"/>
              <w:rPr>
                <w:b/>
                <w:bCs/>
                <w:szCs w:val="21"/>
                <w:u w:val="single"/>
              </w:rPr>
            </w:pPr>
            <w:r>
              <w:rPr>
                <w:b/>
                <w:bCs/>
                <w:szCs w:val="21"/>
                <w:u w:val="single"/>
              </w:rPr>
              <w:t>新建：1个，建筑面积共144m</w:t>
            </w:r>
            <w:r>
              <w:rPr>
                <w:b/>
                <w:bCs/>
                <w:szCs w:val="21"/>
                <w:u w:val="singl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Cs w:val="21"/>
                <w:u w:val="single"/>
              </w:rPr>
            </w:pPr>
          </w:p>
        </w:tc>
        <w:tc>
          <w:tcPr>
            <w:tcW w:w="1799" w:type="dxa"/>
            <w:gridSpan w:val="2"/>
            <w:tcMar>
              <w:top w:w="0" w:type="dxa"/>
              <w:left w:w="28" w:type="dxa"/>
              <w:bottom w:w="0" w:type="dxa"/>
              <w:right w:w="28" w:type="dxa"/>
            </w:tcMar>
            <w:vAlign w:val="center"/>
          </w:tcPr>
          <w:p>
            <w:pPr>
              <w:spacing w:line="360" w:lineRule="exact"/>
              <w:jc w:val="center"/>
              <w:rPr>
                <w:b/>
                <w:bCs/>
                <w:szCs w:val="21"/>
                <w:u w:val="single"/>
              </w:rPr>
            </w:pPr>
            <w:r>
              <w:rPr>
                <w:b/>
                <w:bCs/>
                <w:szCs w:val="21"/>
                <w:u w:val="single"/>
              </w:rPr>
              <w:t>装猪台</w:t>
            </w:r>
          </w:p>
        </w:tc>
        <w:tc>
          <w:tcPr>
            <w:tcW w:w="5929" w:type="dxa"/>
            <w:tcMar>
              <w:top w:w="0" w:type="dxa"/>
              <w:left w:w="28" w:type="dxa"/>
              <w:bottom w:w="0" w:type="dxa"/>
              <w:right w:w="28" w:type="dxa"/>
            </w:tcMar>
            <w:vAlign w:val="center"/>
          </w:tcPr>
          <w:p>
            <w:pPr>
              <w:spacing w:line="360" w:lineRule="exact"/>
              <w:rPr>
                <w:b/>
                <w:bCs/>
                <w:szCs w:val="21"/>
                <w:u w:val="single"/>
              </w:rPr>
            </w:pPr>
            <w:r>
              <w:rPr>
                <w:b/>
                <w:bCs/>
                <w:szCs w:val="21"/>
                <w:u w:val="single"/>
              </w:rPr>
              <w:t>新建：1个，规格31.1m×45.2m，建筑面积472.72m</w:t>
            </w:r>
            <w:r>
              <w:rPr>
                <w:b/>
                <w:bCs/>
                <w:szCs w:val="21"/>
                <w:u w:val="singl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restart"/>
            <w:tcMar>
              <w:top w:w="0" w:type="dxa"/>
              <w:left w:w="28" w:type="dxa"/>
              <w:bottom w:w="0" w:type="dxa"/>
              <w:right w:w="28" w:type="dxa"/>
            </w:tcMar>
            <w:vAlign w:val="center"/>
          </w:tcPr>
          <w:p>
            <w:pPr>
              <w:spacing w:line="360" w:lineRule="exact"/>
              <w:jc w:val="center"/>
              <w:rPr>
                <w:b/>
                <w:bCs/>
                <w:szCs w:val="21"/>
                <w:u w:val="single"/>
              </w:rPr>
            </w:pPr>
            <w:r>
              <w:rPr>
                <w:b/>
                <w:bCs/>
                <w:szCs w:val="21"/>
                <w:u w:val="single"/>
              </w:rPr>
              <w:t>公用工程</w:t>
            </w:r>
          </w:p>
        </w:tc>
        <w:tc>
          <w:tcPr>
            <w:tcW w:w="1799" w:type="dxa"/>
            <w:gridSpan w:val="2"/>
            <w:tcMar>
              <w:top w:w="0" w:type="dxa"/>
              <w:left w:w="28" w:type="dxa"/>
              <w:bottom w:w="0" w:type="dxa"/>
              <w:right w:w="28" w:type="dxa"/>
            </w:tcMar>
            <w:vAlign w:val="center"/>
          </w:tcPr>
          <w:p>
            <w:pPr>
              <w:spacing w:line="360" w:lineRule="exact"/>
              <w:jc w:val="center"/>
              <w:rPr>
                <w:b/>
                <w:bCs/>
                <w:color w:val="000000"/>
                <w:szCs w:val="21"/>
                <w:u w:val="single"/>
              </w:rPr>
            </w:pPr>
            <w:r>
              <w:rPr>
                <w:b/>
                <w:bCs/>
                <w:color w:val="000000"/>
                <w:szCs w:val="21"/>
                <w:u w:val="single"/>
              </w:rPr>
              <w:t>给水工程</w:t>
            </w:r>
          </w:p>
        </w:tc>
        <w:tc>
          <w:tcPr>
            <w:tcW w:w="5929" w:type="dxa"/>
            <w:tcMar>
              <w:top w:w="0" w:type="dxa"/>
              <w:left w:w="28" w:type="dxa"/>
              <w:bottom w:w="0" w:type="dxa"/>
              <w:right w:w="28" w:type="dxa"/>
            </w:tcMar>
            <w:vAlign w:val="center"/>
          </w:tcPr>
          <w:p>
            <w:pPr>
              <w:spacing w:line="360" w:lineRule="exact"/>
              <w:jc w:val="left"/>
              <w:rPr>
                <w:b/>
                <w:bCs/>
                <w:color w:val="000000"/>
                <w:szCs w:val="21"/>
                <w:u w:val="single"/>
              </w:rPr>
            </w:pPr>
            <w:r>
              <w:rPr>
                <w:b/>
                <w:bCs/>
                <w:color w:val="000000"/>
                <w:szCs w:val="21"/>
                <w:u w:val="single"/>
              </w:rPr>
              <w:t>本项目用水由自备井供给，场区内拟建设1眼自备井，深200m，单井出水约为50m</w:t>
            </w:r>
            <w:r>
              <w:rPr>
                <w:b/>
                <w:bCs/>
                <w:color w:val="000000"/>
                <w:szCs w:val="21"/>
                <w:u w:val="single"/>
                <w:vertAlign w:val="superscript"/>
              </w:rPr>
              <w:t>3</w:t>
            </w:r>
            <w:r>
              <w:rPr>
                <w:b/>
                <w:bCs/>
                <w:color w:val="000000"/>
                <w:szCs w:val="21"/>
                <w:u w:val="single"/>
              </w:rPr>
              <w:t>/h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Cs w:val="21"/>
                <w:u w:val="single"/>
              </w:rPr>
            </w:pPr>
          </w:p>
        </w:tc>
        <w:tc>
          <w:tcPr>
            <w:tcW w:w="1799" w:type="dxa"/>
            <w:gridSpan w:val="2"/>
            <w:tcMar>
              <w:top w:w="0" w:type="dxa"/>
              <w:left w:w="28" w:type="dxa"/>
              <w:bottom w:w="0" w:type="dxa"/>
              <w:right w:w="28" w:type="dxa"/>
            </w:tcMar>
            <w:vAlign w:val="center"/>
          </w:tcPr>
          <w:p>
            <w:pPr>
              <w:spacing w:line="360" w:lineRule="exact"/>
              <w:ind w:firstLine="316" w:firstLineChars="150"/>
              <w:jc w:val="center"/>
              <w:rPr>
                <w:b/>
                <w:bCs/>
                <w:szCs w:val="21"/>
                <w:u w:val="single"/>
              </w:rPr>
            </w:pPr>
            <w:r>
              <w:rPr>
                <w:b/>
                <w:bCs/>
                <w:szCs w:val="21"/>
                <w:u w:val="single"/>
              </w:rPr>
              <w:t>排水工程</w:t>
            </w:r>
          </w:p>
        </w:tc>
        <w:tc>
          <w:tcPr>
            <w:tcW w:w="5929" w:type="dxa"/>
            <w:tcMar>
              <w:top w:w="0" w:type="dxa"/>
              <w:left w:w="28" w:type="dxa"/>
              <w:bottom w:w="0" w:type="dxa"/>
              <w:right w:w="28" w:type="dxa"/>
            </w:tcMar>
            <w:vAlign w:val="center"/>
          </w:tcPr>
          <w:p>
            <w:pPr>
              <w:spacing w:line="360" w:lineRule="exact"/>
              <w:rPr>
                <w:b/>
                <w:bCs/>
                <w:szCs w:val="21"/>
                <w:u w:val="single"/>
              </w:rPr>
            </w:pPr>
            <w:r>
              <w:rPr>
                <w:b/>
                <w:bCs/>
                <w:szCs w:val="21"/>
                <w:u w:val="single"/>
              </w:rPr>
              <w:t>本项目排水采用雨污分流，雨水经雨水管道排到厂区外部，养殖废水和生活污水经场区内盖泻湖沼气池处理后，生成沼液作为农肥综合利用，不外排。</w:t>
            </w:r>
          </w:p>
          <w:p>
            <w:pPr>
              <w:spacing w:line="360" w:lineRule="exact"/>
              <w:rPr>
                <w:b/>
                <w:bCs/>
                <w:szCs w:val="21"/>
                <w:u w:val="single"/>
              </w:rPr>
            </w:pPr>
            <w:r>
              <w:rPr>
                <w:b/>
                <w:bCs/>
                <w:szCs w:val="21"/>
                <w:u w:val="single"/>
              </w:rPr>
              <w:t>新建蓄水池1个，规格为￠14m ×4m容积</w:t>
            </w:r>
            <w:r>
              <w:rPr>
                <w:rFonts w:hint="eastAsia"/>
                <w:b/>
                <w:bCs/>
                <w:szCs w:val="21"/>
                <w:u w:val="single"/>
              </w:rPr>
              <w:t>395.64</w:t>
            </w:r>
            <w:r>
              <w:rPr>
                <w:b/>
                <w:bCs/>
                <w:szCs w:val="21"/>
                <w:u w:val="single"/>
              </w:rPr>
              <w:t xml:space="preserve"> m</w:t>
            </w:r>
            <w:r>
              <w:rPr>
                <w:b/>
                <w:bCs/>
                <w:szCs w:val="21"/>
                <w:u w:val="single"/>
                <w:vertAlign w:val="superscript"/>
              </w:rPr>
              <w:t>3</w:t>
            </w: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Cs w:val="21"/>
                <w:u w:val="single"/>
              </w:rPr>
            </w:pPr>
          </w:p>
        </w:tc>
        <w:tc>
          <w:tcPr>
            <w:tcW w:w="1799" w:type="dxa"/>
            <w:gridSpan w:val="2"/>
            <w:tcMar>
              <w:top w:w="0" w:type="dxa"/>
              <w:left w:w="28" w:type="dxa"/>
              <w:bottom w:w="0" w:type="dxa"/>
              <w:right w:w="28" w:type="dxa"/>
            </w:tcMar>
            <w:vAlign w:val="center"/>
          </w:tcPr>
          <w:p>
            <w:pPr>
              <w:spacing w:line="360" w:lineRule="exact"/>
              <w:jc w:val="center"/>
              <w:rPr>
                <w:b/>
                <w:bCs/>
                <w:szCs w:val="21"/>
                <w:u w:val="single"/>
              </w:rPr>
            </w:pPr>
            <w:r>
              <w:rPr>
                <w:b/>
                <w:bCs/>
                <w:szCs w:val="21"/>
                <w:u w:val="single"/>
              </w:rPr>
              <w:t>供电系统</w:t>
            </w:r>
          </w:p>
        </w:tc>
        <w:tc>
          <w:tcPr>
            <w:tcW w:w="5929" w:type="dxa"/>
            <w:tcMar>
              <w:top w:w="0" w:type="dxa"/>
              <w:left w:w="28" w:type="dxa"/>
              <w:bottom w:w="0" w:type="dxa"/>
              <w:right w:w="28" w:type="dxa"/>
            </w:tcMar>
            <w:vAlign w:val="center"/>
          </w:tcPr>
          <w:p>
            <w:pPr>
              <w:spacing w:line="360" w:lineRule="exact"/>
              <w:jc w:val="left"/>
              <w:rPr>
                <w:b/>
                <w:bCs/>
                <w:szCs w:val="21"/>
                <w:u w:val="single"/>
              </w:rPr>
            </w:pPr>
            <w:r>
              <w:rPr>
                <w:b/>
                <w:bCs/>
                <w:szCs w:val="21"/>
                <w:u w:val="single"/>
              </w:rPr>
              <w:t>本项目电源由</w:t>
            </w:r>
            <w:r>
              <w:rPr>
                <w:rFonts w:hint="eastAsia"/>
                <w:b/>
                <w:bCs/>
                <w:color w:val="000000"/>
                <w:szCs w:val="21"/>
                <w:u w:val="single"/>
              </w:rPr>
              <w:t>东和店</w:t>
            </w:r>
            <w:r>
              <w:rPr>
                <w:b/>
                <w:bCs/>
                <w:color w:val="000000"/>
                <w:szCs w:val="21"/>
                <w:u w:val="single"/>
              </w:rPr>
              <w:t>镇</w:t>
            </w:r>
            <w:r>
              <w:rPr>
                <w:b/>
                <w:bCs/>
                <w:szCs w:val="21"/>
                <w:u w:val="single"/>
              </w:rPr>
              <w:t>供电所专线供电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 w:val="24"/>
                <w:u w:val="single"/>
              </w:rPr>
            </w:pPr>
          </w:p>
        </w:tc>
        <w:tc>
          <w:tcPr>
            <w:tcW w:w="1799" w:type="dxa"/>
            <w:gridSpan w:val="2"/>
            <w:tcMar>
              <w:top w:w="0" w:type="dxa"/>
              <w:left w:w="28" w:type="dxa"/>
              <w:bottom w:w="0" w:type="dxa"/>
              <w:right w:w="28" w:type="dxa"/>
            </w:tcMar>
            <w:vAlign w:val="center"/>
          </w:tcPr>
          <w:p>
            <w:pPr>
              <w:spacing w:line="360" w:lineRule="exact"/>
              <w:jc w:val="center"/>
              <w:rPr>
                <w:b/>
                <w:bCs/>
                <w:szCs w:val="21"/>
                <w:u w:val="single"/>
              </w:rPr>
            </w:pPr>
            <w:r>
              <w:rPr>
                <w:b/>
                <w:bCs/>
                <w:szCs w:val="21"/>
                <w:u w:val="single"/>
              </w:rPr>
              <w:t>供热工程</w:t>
            </w:r>
          </w:p>
        </w:tc>
        <w:tc>
          <w:tcPr>
            <w:tcW w:w="5929" w:type="dxa"/>
            <w:tcMar>
              <w:top w:w="0" w:type="dxa"/>
              <w:left w:w="28" w:type="dxa"/>
              <w:bottom w:w="0" w:type="dxa"/>
              <w:right w:w="28" w:type="dxa"/>
            </w:tcMar>
            <w:vAlign w:val="center"/>
          </w:tcPr>
          <w:p>
            <w:pPr>
              <w:spacing w:line="360" w:lineRule="exact"/>
              <w:rPr>
                <w:b/>
                <w:bCs/>
                <w:szCs w:val="21"/>
                <w:u w:val="single"/>
              </w:rPr>
            </w:pPr>
            <w:r>
              <w:rPr>
                <w:b/>
                <w:bCs/>
                <w:szCs w:val="21"/>
                <w:u w:val="single"/>
              </w:rPr>
              <w:t>养殖舍：猪舍墙体为保温材料，可以减少猪舍热量损失，项目采用热交换系统用于冬季猪舍取暖。</w:t>
            </w:r>
          </w:p>
          <w:p>
            <w:pPr>
              <w:spacing w:line="360" w:lineRule="exact"/>
              <w:jc w:val="left"/>
              <w:rPr>
                <w:b/>
                <w:bCs/>
                <w:szCs w:val="21"/>
                <w:u w:val="single"/>
              </w:rPr>
            </w:pPr>
            <w:r>
              <w:rPr>
                <w:b/>
                <w:bCs/>
                <w:szCs w:val="21"/>
                <w:u w:val="single"/>
              </w:rPr>
              <w:t>办公生活区：本项目人员冬季取暖采用空调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 w:val="24"/>
                <w:u w:val="single"/>
              </w:rPr>
            </w:pPr>
          </w:p>
        </w:tc>
        <w:tc>
          <w:tcPr>
            <w:tcW w:w="1799" w:type="dxa"/>
            <w:gridSpan w:val="2"/>
            <w:tcMar>
              <w:top w:w="0" w:type="dxa"/>
              <w:left w:w="28" w:type="dxa"/>
              <w:bottom w:w="0" w:type="dxa"/>
              <w:right w:w="28" w:type="dxa"/>
            </w:tcMar>
            <w:vAlign w:val="center"/>
          </w:tcPr>
          <w:p>
            <w:pPr>
              <w:spacing w:line="360" w:lineRule="exact"/>
              <w:jc w:val="center"/>
              <w:rPr>
                <w:b/>
                <w:bCs/>
                <w:szCs w:val="21"/>
                <w:u w:val="single"/>
              </w:rPr>
            </w:pPr>
            <w:r>
              <w:rPr>
                <w:b/>
                <w:bCs/>
                <w:szCs w:val="21"/>
                <w:u w:val="single"/>
              </w:rPr>
              <w:t>沼气综合利用系统</w:t>
            </w:r>
          </w:p>
        </w:tc>
        <w:tc>
          <w:tcPr>
            <w:tcW w:w="5929" w:type="dxa"/>
            <w:tcMar>
              <w:top w:w="0" w:type="dxa"/>
              <w:left w:w="28" w:type="dxa"/>
              <w:bottom w:w="0" w:type="dxa"/>
              <w:right w:w="28" w:type="dxa"/>
            </w:tcMar>
            <w:vAlign w:val="center"/>
          </w:tcPr>
          <w:p>
            <w:pPr>
              <w:spacing w:line="360" w:lineRule="exact"/>
              <w:jc w:val="left"/>
              <w:rPr>
                <w:b/>
                <w:bCs/>
                <w:szCs w:val="21"/>
                <w:u w:val="single"/>
              </w:rPr>
            </w:pPr>
            <w:r>
              <w:rPr>
                <w:b/>
                <w:bCs/>
                <w:szCs w:val="21"/>
                <w:u w:val="single"/>
              </w:rPr>
              <w:t>新建：本项目盖泻湖沼气池产生的沼气经配套的沼气净化装置净化后用于职工食堂用作炊事燃料，多余的沼气用于沼气锅炉。场区配套沼气净化装置1套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 w:val="24"/>
                <w:u w:val="single"/>
              </w:rPr>
            </w:pPr>
          </w:p>
        </w:tc>
        <w:tc>
          <w:tcPr>
            <w:tcW w:w="1799" w:type="dxa"/>
            <w:gridSpan w:val="2"/>
            <w:vMerge w:val="restart"/>
            <w:tcMar>
              <w:top w:w="0" w:type="dxa"/>
              <w:left w:w="28" w:type="dxa"/>
              <w:bottom w:w="0" w:type="dxa"/>
              <w:right w:w="28" w:type="dxa"/>
            </w:tcMar>
            <w:vAlign w:val="center"/>
          </w:tcPr>
          <w:p>
            <w:pPr>
              <w:spacing w:line="360" w:lineRule="exact"/>
              <w:jc w:val="center"/>
              <w:rPr>
                <w:b/>
                <w:bCs/>
                <w:szCs w:val="21"/>
                <w:u w:val="single"/>
              </w:rPr>
            </w:pPr>
            <w:r>
              <w:rPr>
                <w:b/>
                <w:bCs/>
                <w:szCs w:val="21"/>
                <w:u w:val="single"/>
              </w:rPr>
              <w:t>沼液利用管网系统</w:t>
            </w:r>
          </w:p>
        </w:tc>
        <w:tc>
          <w:tcPr>
            <w:tcW w:w="5929" w:type="dxa"/>
            <w:tcMar>
              <w:top w:w="0" w:type="dxa"/>
              <w:left w:w="28" w:type="dxa"/>
              <w:bottom w:w="0" w:type="dxa"/>
              <w:right w:w="28" w:type="dxa"/>
            </w:tcMar>
            <w:vAlign w:val="center"/>
          </w:tcPr>
          <w:p>
            <w:pPr>
              <w:spacing w:line="360" w:lineRule="exact"/>
              <w:jc w:val="left"/>
              <w:rPr>
                <w:b/>
                <w:bCs/>
                <w:color w:val="000000" w:themeColor="text1"/>
                <w:szCs w:val="21"/>
                <w:u w:val="single"/>
                <w:vertAlign w:val="superscript"/>
              </w:rPr>
            </w:pPr>
            <w:r>
              <w:rPr>
                <w:b/>
                <w:bCs/>
                <w:color w:val="000000" w:themeColor="text1"/>
                <w:szCs w:val="21"/>
                <w:u w:val="single"/>
              </w:rPr>
              <w:t>沼液储存池1个，总容积64006m</w:t>
            </w:r>
            <w:r>
              <w:rPr>
                <w:b/>
                <w:bCs/>
                <w:color w:val="000000" w:themeColor="text1"/>
                <w:szCs w:val="21"/>
                <w:u w:val="single"/>
                <w:vertAlign w:val="superscript"/>
              </w:rPr>
              <w:t>3</w:t>
            </w:r>
          </w:p>
          <w:p>
            <w:pPr>
              <w:spacing w:line="360" w:lineRule="exact"/>
              <w:jc w:val="left"/>
              <w:rPr>
                <w:b/>
                <w:bCs/>
                <w:color w:val="000000" w:themeColor="text1"/>
                <w:szCs w:val="21"/>
                <w:u w:val="single"/>
              </w:rPr>
            </w:pPr>
            <w:r>
              <w:rPr>
                <w:b/>
                <w:bCs/>
                <w:color w:val="000000" w:themeColor="text1"/>
                <w:szCs w:val="21"/>
                <w:u w:val="single"/>
              </w:rPr>
              <w:t>沼液由沼液储存池引至施肥农田，沼液输送管道总干管长度</w:t>
            </w:r>
            <w:r>
              <w:rPr>
                <w:rFonts w:hint="eastAsia"/>
                <w:b/>
                <w:bCs/>
                <w:color w:val="000000" w:themeColor="text1"/>
                <w:szCs w:val="21"/>
                <w:u w:val="single"/>
              </w:rPr>
              <w:t>7000</w:t>
            </w:r>
            <w:r>
              <w:rPr>
                <w:b/>
                <w:bCs/>
                <w:color w:val="000000" w:themeColor="text1"/>
                <w:szCs w:val="21"/>
                <w:u w:val="single"/>
              </w:rPr>
              <w:t>m，主管</w:t>
            </w:r>
            <w:r>
              <w:rPr>
                <w:rFonts w:hint="eastAsia"/>
                <w:b/>
                <w:bCs/>
                <w:color w:val="000000" w:themeColor="text1"/>
                <w:szCs w:val="21"/>
                <w:u w:val="single"/>
              </w:rPr>
              <w:t>3600</w:t>
            </w:r>
            <w:r>
              <w:rPr>
                <w:b/>
                <w:bCs/>
                <w:color w:val="000000" w:themeColor="text1"/>
                <w:szCs w:val="21"/>
                <w:u w:val="single"/>
              </w:rPr>
              <w:t>米，支管</w:t>
            </w:r>
            <w:r>
              <w:rPr>
                <w:rFonts w:hint="eastAsia"/>
                <w:b/>
                <w:bCs/>
                <w:color w:val="000000" w:themeColor="text1"/>
                <w:szCs w:val="21"/>
                <w:u w:val="single"/>
              </w:rPr>
              <w:t>3400</w:t>
            </w:r>
            <w:r>
              <w:rPr>
                <w:b/>
                <w:bCs/>
                <w:color w:val="000000" w:themeColor="text1"/>
                <w:szCs w:val="21"/>
                <w:u w:val="single"/>
              </w:rPr>
              <w:t>m；主干管直径为1</w:t>
            </w:r>
            <w:r>
              <w:rPr>
                <w:rFonts w:hint="eastAsia"/>
                <w:b/>
                <w:bCs/>
                <w:color w:val="000000" w:themeColor="text1"/>
                <w:szCs w:val="21"/>
                <w:u w:val="single"/>
              </w:rPr>
              <w:t>1</w:t>
            </w:r>
            <w:r>
              <w:rPr>
                <w:b/>
                <w:bCs/>
                <w:color w:val="000000" w:themeColor="text1"/>
                <w:szCs w:val="21"/>
                <w:u w:val="single"/>
              </w:rPr>
              <w:t>0mm，支管直径为75mm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 w:val="24"/>
                <w:u w:val="single"/>
              </w:rPr>
            </w:pPr>
          </w:p>
        </w:tc>
        <w:tc>
          <w:tcPr>
            <w:tcW w:w="1799" w:type="dxa"/>
            <w:gridSpan w:val="2"/>
            <w:vMerge w:val="continue"/>
            <w:tcMar>
              <w:top w:w="0" w:type="dxa"/>
              <w:left w:w="28" w:type="dxa"/>
              <w:bottom w:w="0" w:type="dxa"/>
              <w:right w:w="28" w:type="dxa"/>
            </w:tcMar>
            <w:vAlign w:val="center"/>
          </w:tcPr>
          <w:p>
            <w:pPr>
              <w:spacing w:line="360" w:lineRule="exact"/>
              <w:jc w:val="center"/>
              <w:rPr>
                <w:b/>
                <w:bCs/>
                <w:color w:val="FF0000"/>
                <w:sz w:val="24"/>
                <w:u w:val="single"/>
              </w:rPr>
            </w:pPr>
          </w:p>
        </w:tc>
        <w:tc>
          <w:tcPr>
            <w:tcW w:w="5929" w:type="dxa"/>
            <w:tcMar>
              <w:top w:w="0" w:type="dxa"/>
              <w:left w:w="28" w:type="dxa"/>
              <w:bottom w:w="0" w:type="dxa"/>
              <w:right w:w="28" w:type="dxa"/>
            </w:tcMar>
            <w:vAlign w:val="center"/>
          </w:tcPr>
          <w:p>
            <w:pPr>
              <w:spacing w:line="360" w:lineRule="exact"/>
              <w:jc w:val="left"/>
              <w:rPr>
                <w:b/>
                <w:bCs/>
                <w:color w:val="000000" w:themeColor="text1"/>
                <w:szCs w:val="21"/>
                <w:u w:val="single"/>
              </w:rPr>
            </w:pPr>
            <w:r>
              <w:rPr>
                <w:b/>
                <w:bCs/>
                <w:color w:val="000000" w:themeColor="text1"/>
                <w:szCs w:val="21"/>
                <w:u w:val="single"/>
              </w:rPr>
              <w:t>沼液消纳地</w:t>
            </w:r>
            <w:r>
              <w:rPr>
                <w:rFonts w:hint="eastAsia"/>
                <w:b/>
                <w:bCs/>
                <w:color w:val="000000" w:themeColor="text1"/>
                <w:szCs w:val="21"/>
                <w:u w:val="single"/>
              </w:rPr>
              <w:t>3200亩</w:t>
            </w:r>
            <w:r>
              <w:rPr>
                <w:b/>
                <w:bCs/>
                <w:color w:val="000000" w:themeColor="text1"/>
                <w:szCs w:val="21"/>
                <w:u w:val="single"/>
              </w:rPr>
              <w:t>，主要分布于养殖场东侧区域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restart"/>
            <w:tcMar>
              <w:top w:w="0" w:type="dxa"/>
              <w:left w:w="28" w:type="dxa"/>
              <w:bottom w:w="0" w:type="dxa"/>
              <w:right w:w="28" w:type="dxa"/>
            </w:tcMar>
            <w:vAlign w:val="center"/>
          </w:tcPr>
          <w:p>
            <w:pPr>
              <w:spacing w:line="360" w:lineRule="exact"/>
              <w:jc w:val="center"/>
              <w:rPr>
                <w:b/>
                <w:bCs/>
                <w:sz w:val="24"/>
                <w:u w:val="single"/>
              </w:rPr>
            </w:pPr>
            <w:r>
              <w:rPr>
                <w:b/>
                <w:bCs/>
                <w:sz w:val="24"/>
                <w:u w:val="single"/>
              </w:rPr>
              <w:t>环保工程</w:t>
            </w:r>
          </w:p>
        </w:tc>
        <w:tc>
          <w:tcPr>
            <w:tcW w:w="1799" w:type="dxa"/>
            <w:gridSpan w:val="2"/>
            <w:tcMar>
              <w:top w:w="0" w:type="dxa"/>
              <w:left w:w="28" w:type="dxa"/>
              <w:bottom w:w="0" w:type="dxa"/>
              <w:right w:w="28" w:type="dxa"/>
            </w:tcMar>
            <w:vAlign w:val="center"/>
          </w:tcPr>
          <w:p>
            <w:pPr>
              <w:spacing w:line="360" w:lineRule="exact"/>
              <w:jc w:val="center"/>
              <w:rPr>
                <w:b/>
                <w:bCs/>
                <w:szCs w:val="21"/>
                <w:u w:val="single"/>
              </w:rPr>
            </w:pPr>
            <w:r>
              <w:rPr>
                <w:b/>
                <w:bCs/>
                <w:szCs w:val="21"/>
                <w:u w:val="single"/>
              </w:rPr>
              <w:t>废水处理</w:t>
            </w:r>
          </w:p>
        </w:tc>
        <w:tc>
          <w:tcPr>
            <w:tcW w:w="5929" w:type="dxa"/>
            <w:tcMar>
              <w:top w:w="0" w:type="dxa"/>
              <w:left w:w="28" w:type="dxa"/>
              <w:bottom w:w="0" w:type="dxa"/>
              <w:right w:w="28" w:type="dxa"/>
            </w:tcMar>
            <w:vAlign w:val="center"/>
          </w:tcPr>
          <w:p>
            <w:pPr>
              <w:spacing w:line="360" w:lineRule="exact"/>
              <w:jc w:val="left"/>
              <w:rPr>
                <w:b/>
                <w:bCs/>
                <w:color w:val="000000"/>
                <w:szCs w:val="21"/>
                <w:u w:val="single"/>
              </w:rPr>
            </w:pPr>
            <w:r>
              <w:rPr>
                <w:b/>
                <w:bCs/>
                <w:color w:val="000000"/>
                <w:szCs w:val="21"/>
                <w:u w:val="single"/>
              </w:rPr>
              <w:t>污水处理系统1套，黑膜沼气池1座，容积10243 m</w:t>
            </w:r>
            <w:r>
              <w:rPr>
                <w:b/>
                <w:bCs/>
                <w:color w:val="000000"/>
                <w:szCs w:val="21"/>
                <w:u w:val="single"/>
                <w:vertAlign w:val="superscript"/>
              </w:rPr>
              <w:t>3</w:t>
            </w:r>
            <w:r>
              <w:rPr>
                <w:b/>
                <w:bCs/>
                <w:color w:val="000000"/>
                <w:szCs w:val="21"/>
                <w:u w:val="single"/>
              </w:rPr>
              <w:t>，沼液储存池1个，总容积64006m</w:t>
            </w:r>
            <w:r>
              <w:rPr>
                <w:b/>
                <w:bCs/>
                <w:color w:val="000000"/>
                <w:szCs w:val="21"/>
                <w:u w:val="singl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 w:val="24"/>
                <w:u w:val="single"/>
              </w:rPr>
            </w:pPr>
          </w:p>
        </w:tc>
        <w:tc>
          <w:tcPr>
            <w:tcW w:w="389" w:type="dxa"/>
            <w:vMerge w:val="restart"/>
            <w:tcMar>
              <w:top w:w="0" w:type="dxa"/>
              <w:left w:w="28" w:type="dxa"/>
              <w:bottom w:w="0" w:type="dxa"/>
              <w:right w:w="28" w:type="dxa"/>
            </w:tcMar>
            <w:vAlign w:val="center"/>
          </w:tcPr>
          <w:p>
            <w:pPr>
              <w:spacing w:line="360" w:lineRule="exact"/>
              <w:jc w:val="center"/>
              <w:rPr>
                <w:b/>
                <w:bCs/>
                <w:szCs w:val="21"/>
                <w:u w:val="single"/>
              </w:rPr>
            </w:pPr>
            <w:r>
              <w:rPr>
                <w:b/>
                <w:bCs/>
                <w:szCs w:val="21"/>
                <w:u w:val="single"/>
              </w:rPr>
              <w:t>固废</w:t>
            </w:r>
          </w:p>
        </w:tc>
        <w:tc>
          <w:tcPr>
            <w:tcW w:w="1410" w:type="dxa"/>
            <w:tcMar>
              <w:top w:w="0" w:type="dxa"/>
              <w:left w:w="28" w:type="dxa"/>
              <w:bottom w:w="0" w:type="dxa"/>
              <w:right w:w="28" w:type="dxa"/>
            </w:tcMar>
            <w:vAlign w:val="center"/>
          </w:tcPr>
          <w:p>
            <w:pPr>
              <w:spacing w:line="360" w:lineRule="exact"/>
              <w:jc w:val="center"/>
              <w:rPr>
                <w:b/>
                <w:bCs/>
                <w:color w:val="000000"/>
                <w:szCs w:val="21"/>
                <w:u w:val="single"/>
              </w:rPr>
            </w:pPr>
            <w:r>
              <w:rPr>
                <w:b/>
                <w:bCs/>
                <w:color w:val="000000"/>
                <w:szCs w:val="21"/>
                <w:u w:val="single"/>
              </w:rPr>
              <w:t>医疗废物</w:t>
            </w:r>
          </w:p>
        </w:tc>
        <w:tc>
          <w:tcPr>
            <w:tcW w:w="5929" w:type="dxa"/>
            <w:tcMar>
              <w:top w:w="0" w:type="dxa"/>
              <w:left w:w="28" w:type="dxa"/>
              <w:bottom w:w="0" w:type="dxa"/>
              <w:right w:w="28" w:type="dxa"/>
            </w:tcMar>
            <w:vAlign w:val="center"/>
          </w:tcPr>
          <w:p>
            <w:pPr>
              <w:spacing w:line="360" w:lineRule="exact"/>
              <w:jc w:val="left"/>
              <w:rPr>
                <w:b/>
                <w:bCs/>
                <w:color w:val="000000"/>
                <w:szCs w:val="21"/>
                <w:u w:val="single"/>
              </w:rPr>
            </w:pPr>
            <w:r>
              <w:rPr>
                <w:b/>
                <w:bCs/>
                <w:color w:val="000000"/>
                <w:szCs w:val="21"/>
                <w:u w:val="single"/>
              </w:rPr>
              <w:t>危废暂存间1个，占地面积6m</w:t>
            </w:r>
            <w:r>
              <w:rPr>
                <w:b/>
                <w:bCs/>
                <w:color w:val="000000"/>
                <w:szCs w:val="21"/>
                <w:u w:val="single"/>
                <w:vertAlign w:val="superscript"/>
              </w:rPr>
              <w:t>2</w:t>
            </w:r>
            <w:r>
              <w:rPr>
                <w:b/>
                <w:bCs/>
                <w:color w:val="000000"/>
                <w:szCs w:val="21"/>
                <w:u w:val="single"/>
              </w:rPr>
              <w:t>，并按照危废贮存的要求设计，危废暂存间符合《危险废物贮存污染控制标准》（GB18597-2001）要求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 w:val="24"/>
                <w:u w:val="single"/>
              </w:rPr>
            </w:pPr>
          </w:p>
        </w:tc>
        <w:tc>
          <w:tcPr>
            <w:tcW w:w="389" w:type="dxa"/>
            <w:vMerge w:val="continue"/>
            <w:tcMar>
              <w:top w:w="0" w:type="dxa"/>
              <w:left w:w="28" w:type="dxa"/>
              <w:bottom w:w="0" w:type="dxa"/>
              <w:right w:w="28" w:type="dxa"/>
            </w:tcMar>
            <w:vAlign w:val="center"/>
          </w:tcPr>
          <w:p>
            <w:pPr>
              <w:spacing w:line="360" w:lineRule="exact"/>
              <w:jc w:val="center"/>
              <w:rPr>
                <w:b/>
                <w:bCs/>
                <w:szCs w:val="21"/>
                <w:u w:val="single"/>
              </w:rPr>
            </w:pPr>
          </w:p>
        </w:tc>
        <w:tc>
          <w:tcPr>
            <w:tcW w:w="1410" w:type="dxa"/>
            <w:tcMar>
              <w:top w:w="0" w:type="dxa"/>
              <w:left w:w="28" w:type="dxa"/>
              <w:bottom w:w="0" w:type="dxa"/>
              <w:right w:w="28" w:type="dxa"/>
            </w:tcMar>
            <w:vAlign w:val="center"/>
          </w:tcPr>
          <w:p>
            <w:pPr>
              <w:spacing w:line="360" w:lineRule="exact"/>
              <w:jc w:val="center"/>
              <w:rPr>
                <w:b/>
                <w:bCs/>
                <w:color w:val="000000"/>
                <w:szCs w:val="21"/>
                <w:u w:val="single"/>
              </w:rPr>
            </w:pPr>
            <w:r>
              <w:rPr>
                <w:b/>
                <w:bCs/>
                <w:color w:val="000000"/>
                <w:szCs w:val="21"/>
                <w:u w:val="single"/>
              </w:rPr>
              <w:t>病死猪</w:t>
            </w:r>
          </w:p>
        </w:tc>
        <w:tc>
          <w:tcPr>
            <w:tcW w:w="5929" w:type="dxa"/>
            <w:tcMar>
              <w:top w:w="0" w:type="dxa"/>
              <w:left w:w="28" w:type="dxa"/>
              <w:bottom w:w="0" w:type="dxa"/>
              <w:right w:w="28" w:type="dxa"/>
            </w:tcMar>
            <w:vAlign w:val="center"/>
          </w:tcPr>
          <w:p>
            <w:pPr>
              <w:spacing w:line="360" w:lineRule="exact"/>
              <w:jc w:val="left"/>
              <w:rPr>
                <w:b/>
                <w:bCs/>
                <w:color w:val="000000"/>
                <w:szCs w:val="21"/>
                <w:u w:val="single"/>
              </w:rPr>
            </w:pPr>
            <w:r>
              <w:rPr>
                <w:b/>
                <w:bCs/>
                <w:szCs w:val="21"/>
                <w:u w:val="single"/>
              </w:rPr>
              <w:t>病死猪送至场区配套建设的无害化处理中心的高温化制机处理设施处置。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9" w:type="dxa"/>
            <w:vMerge w:val="continue"/>
            <w:tcMar>
              <w:top w:w="0" w:type="dxa"/>
              <w:left w:w="28" w:type="dxa"/>
              <w:bottom w:w="0" w:type="dxa"/>
              <w:right w:w="28" w:type="dxa"/>
            </w:tcMar>
            <w:vAlign w:val="center"/>
          </w:tcPr>
          <w:p>
            <w:pPr>
              <w:spacing w:line="360" w:lineRule="exact"/>
              <w:jc w:val="center"/>
              <w:rPr>
                <w:b/>
                <w:bCs/>
                <w:color w:val="FF0000"/>
                <w:sz w:val="24"/>
                <w:u w:val="single"/>
              </w:rPr>
            </w:pPr>
          </w:p>
        </w:tc>
        <w:tc>
          <w:tcPr>
            <w:tcW w:w="389" w:type="dxa"/>
            <w:vMerge w:val="continue"/>
            <w:tcMar>
              <w:top w:w="0" w:type="dxa"/>
              <w:left w:w="28" w:type="dxa"/>
              <w:bottom w:w="0" w:type="dxa"/>
              <w:right w:w="28" w:type="dxa"/>
            </w:tcMar>
            <w:vAlign w:val="center"/>
          </w:tcPr>
          <w:p>
            <w:pPr>
              <w:spacing w:line="360" w:lineRule="exact"/>
              <w:jc w:val="center"/>
              <w:rPr>
                <w:b/>
                <w:bCs/>
                <w:szCs w:val="21"/>
                <w:u w:val="single"/>
              </w:rPr>
            </w:pPr>
          </w:p>
        </w:tc>
        <w:tc>
          <w:tcPr>
            <w:tcW w:w="1410" w:type="dxa"/>
            <w:tcMar>
              <w:top w:w="0" w:type="dxa"/>
              <w:left w:w="28" w:type="dxa"/>
              <w:bottom w:w="0" w:type="dxa"/>
              <w:right w:w="28" w:type="dxa"/>
            </w:tcMar>
            <w:vAlign w:val="center"/>
          </w:tcPr>
          <w:p>
            <w:pPr>
              <w:jc w:val="center"/>
              <w:rPr>
                <w:b/>
                <w:bCs/>
                <w:szCs w:val="21"/>
                <w:u w:val="single"/>
              </w:rPr>
            </w:pPr>
            <w:r>
              <w:rPr>
                <w:b/>
                <w:bCs/>
                <w:szCs w:val="21"/>
                <w:u w:val="single"/>
              </w:rPr>
              <w:t>猪粪及沼渣</w:t>
            </w:r>
          </w:p>
        </w:tc>
        <w:tc>
          <w:tcPr>
            <w:tcW w:w="5929" w:type="dxa"/>
            <w:tcMar>
              <w:top w:w="0" w:type="dxa"/>
              <w:left w:w="28" w:type="dxa"/>
              <w:bottom w:w="0" w:type="dxa"/>
              <w:right w:w="28" w:type="dxa"/>
            </w:tcMar>
            <w:vAlign w:val="center"/>
          </w:tcPr>
          <w:p>
            <w:pPr>
              <w:kinsoku w:val="0"/>
              <w:overflowPunct w:val="0"/>
              <w:spacing w:line="300" w:lineRule="exact"/>
              <w:jc w:val="left"/>
              <w:rPr>
                <w:b/>
                <w:bCs/>
                <w:szCs w:val="21"/>
                <w:u w:val="single"/>
              </w:rPr>
            </w:pPr>
            <w:r>
              <w:rPr>
                <w:b/>
                <w:bCs/>
                <w:color w:val="000000"/>
                <w:szCs w:val="21"/>
                <w:u w:val="single"/>
              </w:rPr>
              <w:t>固粪处理区1座，按“三防”要求设计，设置顶棚，底部防渗，四周有围挡，占地面积</w:t>
            </w:r>
            <w:r>
              <w:rPr>
                <w:rFonts w:hint="eastAsia"/>
                <w:b/>
                <w:bCs/>
                <w:color w:val="000000"/>
                <w:szCs w:val="21"/>
                <w:u w:val="single"/>
              </w:rPr>
              <w:t>728</w:t>
            </w:r>
            <w:r>
              <w:rPr>
                <w:b/>
                <w:bCs/>
                <w:color w:val="000000"/>
                <w:szCs w:val="21"/>
                <w:u w:val="single"/>
              </w:rPr>
              <w:t>m</w:t>
            </w:r>
            <w:r>
              <w:rPr>
                <w:b/>
                <w:bCs/>
                <w:color w:val="000000"/>
                <w:szCs w:val="21"/>
                <w:u w:val="single"/>
                <w:vertAlign w:val="superscript"/>
              </w:rPr>
              <w:t>2</w:t>
            </w:r>
          </w:p>
        </w:tc>
      </w:tr>
    </w:tbl>
    <w:p>
      <w:pPr>
        <w:pStyle w:val="5"/>
        <w:snapToGrid w:val="0"/>
        <w:spacing w:before="0" w:after="0" w:line="520" w:lineRule="exact"/>
        <w:rPr>
          <w:rFonts w:eastAsia="黑体"/>
          <w:b/>
          <w:bCs/>
          <w:sz w:val="24"/>
          <w:szCs w:val="24"/>
          <w:u w:val="single"/>
        </w:rPr>
      </w:pPr>
      <w:bookmarkStart w:id="64" w:name="_Toc407001392"/>
      <w:bookmarkStart w:id="65" w:name="_Toc311979913"/>
      <w:bookmarkStart w:id="66" w:name="_Toc388881900"/>
      <w:bookmarkStart w:id="67" w:name="_Toc269400661"/>
      <w:bookmarkStart w:id="68" w:name="_Toc311979845"/>
      <w:bookmarkStart w:id="69" w:name="_Toc311979799"/>
      <w:bookmarkStart w:id="70" w:name="_Toc23842"/>
      <w:bookmarkStart w:id="71" w:name="_Toc413166119"/>
      <w:bookmarkStart w:id="72" w:name="_Toc406847399"/>
      <w:r>
        <w:rPr>
          <w:rFonts w:eastAsia="黑体"/>
          <w:b/>
          <w:bCs/>
          <w:sz w:val="24"/>
          <w:szCs w:val="24"/>
          <w:u w:val="single"/>
        </w:rPr>
        <w:t>2.1.3 项目主要生产设备</w:t>
      </w:r>
      <w:bookmarkEnd w:id="64"/>
      <w:bookmarkEnd w:id="65"/>
      <w:bookmarkEnd w:id="66"/>
      <w:bookmarkEnd w:id="67"/>
      <w:bookmarkEnd w:id="68"/>
      <w:bookmarkEnd w:id="69"/>
      <w:bookmarkEnd w:id="70"/>
      <w:bookmarkEnd w:id="71"/>
      <w:bookmarkEnd w:id="72"/>
    </w:p>
    <w:p>
      <w:pPr>
        <w:pStyle w:val="6"/>
        <w:spacing w:before="0" w:after="0" w:line="520" w:lineRule="exact"/>
        <w:rPr>
          <w:rFonts w:hAnsi="Times New Roman" w:eastAsia="宋体"/>
          <w:b/>
          <w:bCs/>
          <w:sz w:val="24"/>
          <w:szCs w:val="24"/>
          <w:u w:val="single"/>
        </w:rPr>
      </w:pPr>
      <w:r>
        <w:rPr>
          <w:rFonts w:hAnsi="Times New Roman" w:eastAsia="宋体"/>
          <w:b/>
          <w:bCs/>
          <w:sz w:val="24"/>
          <w:szCs w:val="24"/>
          <w:u w:val="single"/>
        </w:rPr>
        <w:t>2.1.3.1 养殖设备</w:t>
      </w:r>
    </w:p>
    <w:p>
      <w:pPr>
        <w:spacing w:line="520" w:lineRule="exact"/>
        <w:jc w:val="center"/>
        <w:rPr>
          <w:b/>
          <w:bCs/>
          <w:sz w:val="24"/>
          <w:u w:val="single"/>
        </w:rPr>
      </w:pPr>
      <w:r>
        <w:rPr>
          <w:b/>
          <w:bCs/>
          <w:sz w:val="24"/>
          <w:u w:val="single"/>
        </w:rPr>
        <w:t>本项目生产设备主要包括主体工程及辅助工程的设备，详细见表2.1-3。</w:t>
      </w:r>
    </w:p>
    <w:p>
      <w:pPr>
        <w:spacing w:afterLines="30" w:line="500" w:lineRule="exact"/>
        <w:jc w:val="center"/>
        <w:rPr>
          <w:b/>
          <w:bCs/>
          <w:color w:val="000000"/>
          <w:sz w:val="24"/>
          <w:u w:val="single"/>
        </w:rPr>
      </w:pPr>
      <w:r>
        <w:rPr>
          <w:b/>
          <w:bCs/>
          <w:color w:val="000000"/>
          <w:sz w:val="24"/>
          <w:u w:val="single"/>
        </w:rPr>
        <w:t>表2.1-3      项目主要设备一览表</w:t>
      </w:r>
    </w:p>
    <w:tbl>
      <w:tblPr>
        <w:tblStyle w:val="44"/>
        <w:tblW w:w="8948" w:type="dxa"/>
        <w:tblInd w:w="0" w:type="dxa"/>
        <w:tblLayout w:type="fixed"/>
        <w:tblCellMar>
          <w:top w:w="0" w:type="dxa"/>
          <w:left w:w="108" w:type="dxa"/>
          <w:bottom w:w="0" w:type="dxa"/>
          <w:right w:w="108" w:type="dxa"/>
        </w:tblCellMar>
      </w:tblPr>
      <w:tblGrid>
        <w:gridCol w:w="1809"/>
        <w:gridCol w:w="740"/>
        <w:gridCol w:w="1705"/>
        <w:gridCol w:w="1047"/>
        <w:gridCol w:w="911"/>
        <w:gridCol w:w="913"/>
        <w:gridCol w:w="909"/>
        <w:gridCol w:w="914"/>
      </w:tblGrid>
      <w:tr>
        <w:tblPrEx>
          <w:tblCellMar>
            <w:top w:w="0" w:type="dxa"/>
            <w:left w:w="108" w:type="dxa"/>
            <w:bottom w:w="0" w:type="dxa"/>
            <w:right w:w="108" w:type="dxa"/>
          </w:tblCellMar>
        </w:tblPrEx>
        <w:trPr>
          <w:trHeight w:val="285" w:hRule="atLeast"/>
        </w:trPr>
        <w:tc>
          <w:tcPr>
            <w:tcW w:w="18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6"/>
              <w:rPr>
                <w:b/>
                <w:bCs/>
                <w:u w:val="single"/>
              </w:rPr>
            </w:pPr>
            <w:r>
              <w:rPr>
                <w:b/>
                <w:bCs/>
                <w:u w:val="single"/>
              </w:rPr>
              <w:t>名称</w:t>
            </w:r>
          </w:p>
        </w:tc>
        <w:tc>
          <w:tcPr>
            <w:tcW w:w="740" w:type="dxa"/>
            <w:vMerge w:val="restart"/>
            <w:tcBorders>
              <w:top w:val="single" w:color="auto" w:sz="4" w:space="0"/>
              <w:left w:val="single" w:color="auto" w:sz="4" w:space="0"/>
              <w:bottom w:val="single" w:color="auto" w:sz="4" w:space="0"/>
              <w:right w:val="single" w:color="000000" w:sz="4" w:space="0"/>
            </w:tcBorders>
            <w:shd w:val="clear" w:color="auto" w:fill="auto"/>
            <w:vAlign w:val="center"/>
          </w:tcPr>
          <w:p>
            <w:pPr>
              <w:pStyle w:val="106"/>
              <w:rPr>
                <w:b/>
                <w:bCs/>
                <w:u w:val="single"/>
              </w:rPr>
            </w:pPr>
            <w:r>
              <w:rPr>
                <w:b/>
                <w:bCs/>
                <w:u w:val="single"/>
              </w:rPr>
              <w:t>数量</w:t>
            </w:r>
          </w:p>
        </w:tc>
        <w:tc>
          <w:tcPr>
            <w:tcW w:w="2752" w:type="dxa"/>
            <w:gridSpan w:val="2"/>
            <w:tcBorders>
              <w:top w:val="single" w:color="auto" w:sz="4" w:space="0"/>
              <w:left w:val="nil"/>
              <w:bottom w:val="single" w:color="auto" w:sz="4" w:space="0"/>
              <w:right w:val="single" w:color="auto" w:sz="4" w:space="0"/>
            </w:tcBorders>
            <w:shd w:val="clear" w:color="auto" w:fill="auto"/>
            <w:vAlign w:val="center"/>
          </w:tcPr>
          <w:p>
            <w:pPr>
              <w:pStyle w:val="106"/>
              <w:rPr>
                <w:b/>
                <w:bCs/>
                <w:u w:val="single"/>
              </w:rPr>
            </w:pPr>
            <w:r>
              <w:rPr>
                <w:b/>
                <w:bCs/>
                <w:u w:val="single"/>
              </w:rPr>
              <w:t>饲料罐（个）</w:t>
            </w:r>
          </w:p>
        </w:tc>
        <w:tc>
          <w:tcPr>
            <w:tcW w:w="1824" w:type="dxa"/>
            <w:gridSpan w:val="2"/>
            <w:tcBorders>
              <w:top w:val="single" w:color="auto" w:sz="4" w:space="0"/>
              <w:left w:val="nil"/>
              <w:bottom w:val="single" w:color="auto" w:sz="4" w:space="0"/>
              <w:right w:val="single" w:color="auto" w:sz="4" w:space="0"/>
            </w:tcBorders>
            <w:shd w:val="clear" w:color="auto" w:fill="auto"/>
            <w:vAlign w:val="center"/>
          </w:tcPr>
          <w:p>
            <w:pPr>
              <w:pStyle w:val="106"/>
              <w:rPr>
                <w:b/>
                <w:bCs/>
                <w:u w:val="single"/>
              </w:rPr>
            </w:pPr>
            <w:r>
              <w:rPr>
                <w:b/>
                <w:bCs/>
                <w:u w:val="single"/>
              </w:rPr>
              <w:t>风机（个）</w:t>
            </w:r>
          </w:p>
        </w:tc>
        <w:tc>
          <w:tcPr>
            <w:tcW w:w="182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06"/>
              <w:rPr>
                <w:b/>
                <w:bCs/>
                <w:u w:val="single"/>
              </w:rPr>
            </w:pPr>
            <w:r>
              <w:rPr>
                <w:b/>
                <w:bCs/>
                <w:u w:val="single"/>
              </w:rPr>
              <w:t>饮水器（个）</w:t>
            </w:r>
          </w:p>
        </w:tc>
      </w:tr>
      <w:tr>
        <w:tblPrEx>
          <w:tblCellMar>
            <w:top w:w="0" w:type="dxa"/>
            <w:left w:w="108" w:type="dxa"/>
            <w:bottom w:w="0" w:type="dxa"/>
            <w:right w:w="108" w:type="dxa"/>
          </w:tblCellMar>
        </w:tblPrEx>
        <w:trPr>
          <w:trHeight w:val="285" w:hRule="atLeast"/>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pStyle w:val="106"/>
              <w:rPr>
                <w:b/>
                <w:bCs/>
                <w:u w:val="single"/>
              </w:rPr>
            </w:pPr>
          </w:p>
        </w:tc>
        <w:tc>
          <w:tcPr>
            <w:tcW w:w="740" w:type="dxa"/>
            <w:vMerge w:val="continue"/>
            <w:tcBorders>
              <w:top w:val="single" w:color="auto" w:sz="4" w:space="0"/>
              <w:left w:val="single" w:color="auto" w:sz="4" w:space="0"/>
              <w:bottom w:val="single" w:color="auto" w:sz="4" w:space="0"/>
              <w:right w:val="single" w:color="000000" w:sz="4" w:space="0"/>
            </w:tcBorders>
            <w:vAlign w:val="center"/>
          </w:tcPr>
          <w:p>
            <w:pPr>
              <w:pStyle w:val="106"/>
              <w:rPr>
                <w:b/>
                <w:bCs/>
                <w:u w:val="single"/>
              </w:rPr>
            </w:pPr>
          </w:p>
        </w:tc>
        <w:tc>
          <w:tcPr>
            <w:tcW w:w="1705" w:type="dxa"/>
            <w:tcBorders>
              <w:top w:val="nil"/>
              <w:left w:val="nil"/>
              <w:bottom w:val="single" w:color="auto" w:sz="4" w:space="0"/>
              <w:right w:val="single" w:color="auto" w:sz="4" w:space="0"/>
            </w:tcBorders>
            <w:shd w:val="clear" w:color="auto" w:fill="auto"/>
            <w:vAlign w:val="center"/>
          </w:tcPr>
          <w:p>
            <w:pPr>
              <w:pStyle w:val="106"/>
              <w:rPr>
                <w:b/>
                <w:bCs/>
                <w:u w:val="single"/>
              </w:rPr>
            </w:pPr>
            <w:r>
              <w:rPr>
                <w:b/>
                <w:bCs/>
                <w:u w:val="single"/>
              </w:rPr>
              <w:t>每舍</w:t>
            </w:r>
          </w:p>
        </w:tc>
        <w:tc>
          <w:tcPr>
            <w:tcW w:w="1047" w:type="dxa"/>
            <w:tcBorders>
              <w:top w:val="nil"/>
              <w:left w:val="nil"/>
              <w:bottom w:val="single" w:color="auto" w:sz="4" w:space="0"/>
              <w:right w:val="single" w:color="auto" w:sz="4" w:space="0"/>
            </w:tcBorders>
            <w:shd w:val="clear" w:color="auto" w:fill="auto"/>
            <w:vAlign w:val="center"/>
          </w:tcPr>
          <w:p>
            <w:pPr>
              <w:pStyle w:val="106"/>
              <w:rPr>
                <w:b/>
                <w:bCs/>
                <w:u w:val="single"/>
              </w:rPr>
            </w:pPr>
            <w:r>
              <w:rPr>
                <w:b/>
                <w:bCs/>
                <w:u w:val="single"/>
              </w:rPr>
              <w:t>总数</w:t>
            </w:r>
          </w:p>
        </w:tc>
        <w:tc>
          <w:tcPr>
            <w:tcW w:w="911" w:type="dxa"/>
            <w:tcBorders>
              <w:top w:val="nil"/>
              <w:left w:val="nil"/>
              <w:bottom w:val="single" w:color="auto" w:sz="4" w:space="0"/>
              <w:right w:val="single" w:color="auto" w:sz="4" w:space="0"/>
            </w:tcBorders>
            <w:shd w:val="clear" w:color="auto" w:fill="auto"/>
            <w:vAlign w:val="center"/>
          </w:tcPr>
          <w:p>
            <w:pPr>
              <w:pStyle w:val="106"/>
              <w:rPr>
                <w:b/>
                <w:bCs/>
                <w:u w:val="single"/>
              </w:rPr>
            </w:pPr>
            <w:r>
              <w:rPr>
                <w:b/>
                <w:bCs/>
                <w:u w:val="single"/>
              </w:rPr>
              <w:t>每舍</w:t>
            </w:r>
          </w:p>
        </w:tc>
        <w:tc>
          <w:tcPr>
            <w:tcW w:w="913" w:type="dxa"/>
            <w:tcBorders>
              <w:top w:val="nil"/>
              <w:left w:val="nil"/>
              <w:bottom w:val="single" w:color="auto" w:sz="4" w:space="0"/>
              <w:right w:val="nil"/>
            </w:tcBorders>
            <w:shd w:val="clear" w:color="auto" w:fill="auto"/>
            <w:vAlign w:val="center"/>
          </w:tcPr>
          <w:p>
            <w:pPr>
              <w:pStyle w:val="106"/>
              <w:rPr>
                <w:b/>
                <w:bCs/>
                <w:u w:val="single"/>
              </w:rPr>
            </w:pPr>
            <w:r>
              <w:rPr>
                <w:b/>
                <w:bCs/>
                <w:u w:val="single"/>
              </w:rPr>
              <w:t>总数</w:t>
            </w:r>
          </w:p>
        </w:tc>
        <w:tc>
          <w:tcPr>
            <w:tcW w:w="909" w:type="dxa"/>
            <w:tcBorders>
              <w:top w:val="nil"/>
              <w:left w:val="single" w:color="auto" w:sz="4" w:space="0"/>
              <w:bottom w:val="single" w:color="auto" w:sz="4" w:space="0"/>
              <w:right w:val="single" w:color="auto" w:sz="4" w:space="0"/>
            </w:tcBorders>
            <w:shd w:val="clear" w:color="auto" w:fill="auto"/>
            <w:vAlign w:val="center"/>
          </w:tcPr>
          <w:p>
            <w:pPr>
              <w:pStyle w:val="106"/>
              <w:rPr>
                <w:b/>
                <w:bCs/>
                <w:u w:val="single"/>
              </w:rPr>
            </w:pPr>
            <w:r>
              <w:rPr>
                <w:b/>
                <w:bCs/>
                <w:u w:val="single"/>
              </w:rPr>
              <w:t>每舍</w:t>
            </w:r>
          </w:p>
        </w:tc>
        <w:tc>
          <w:tcPr>
            <w:tcW w:w="914" w:type="dxa"/>
            <w:tcBorders>
              <w:top w:val="nil"/>
              <w:left w:val="nil"/>
              <w:bottom w:val="single" w:color="auto" w:sz="4" w:space="0"/>
              <w:right w:val="single" w:color="auto" w:sz="4" w:space="0"/>
            </w:tcBorders>
            <w:shd w:val="clear" w:color="auto" w:fill="auto"/>
            <w:vAlign w:val="center"/>
          </w:tcPr>
          <w:p>
            <w:pPr>
              <w:pStyle w:val="106"/>
              <w:rPr>
                <w:b/>
                <w:bCs/>
                <w:u w:val="single"/>
              </w:rPr>
            </w:pPr>
            <w:r>
              <w:rPr>
                <w:b/>
                <w:bCs/>
                <w:u w:val="single"/>
              </w:rPr>
              <w:t>总数</w:t>
            </w:r>
          </w:p>
        </w:tc>
      </w:tr>
      <w:tr>
        <w:tblPrEx>
          <w:tblCellMar>
            <w:top w:w="0" w:type="dxa"/>
            <w:left w:w="108" w:type="dxa"/>
            <w:bottom w:w="0" w:type="dxa"/>
            <w:right w:w="108" w:type="dxa"/>
          </w:tblCellMar>
        </w:tblPrEx>
        <w:trPr>
          <w:trHeight w:val="510" w:hRule="atLeast"/>
        </w:trPr>
        <w:tc>
          <w:tcPr>
            <w:tcW w:w="1809" w:type="dxa"/>
            <w:tcBorders>
              <w:top w:val="nil"/>
              <w:left w:val="single" w:color="auto" w:sz="4" w:space="0"/>
              <w:bottom w:val="single" w:color="auto" w:sz="4" w:space="0"/>
              <w:right w:val="single" w:color="auto" w:sz="4" w:space="0"/>
            </w:tcBorders>
            <w:shd w:val="clear" w:color="auto" w:fill="auto"/>
            <w:vAlign w:val="center"/>
          </w:tcPr>
          <w:p>
            <w:pPr>
              <w:widowControl/>
              <w:jc w:val="center"/>
              <w:rPr>
                <w:b/>
                <w:bCs/>
                <w:kern w:val="0"/>
                <w:szCs w:val="21"/>
                <w:u w:val="single"/>
              </w:rPr>
            </w:pPr>
            <w:r>
              <w:rPr>
                <w:b/>
                <w:bCs/>
                <w:kern w:val="0"/>
                <w:szCs w:val="21"/>
                <w:u w:val="single"/>
              </w:rPr>
              <w:t>保育</w:t>
            </w:r>
            <w:r>
              <w:rPr>
                <w:b/>
                <w:bCs/>
                <w:color w:val="000000" w:themeColor="text1"/>
                <w:kern w:val="0"/>
                <w:szCs w:val="21"/>
                <w:u w:val="single"/>
              </w:rPr>
              <w:t>育肥一体</w:t>
            </w:r>
            <w:r>
              <w:rPr>
                <w:b/>
                <w:bCs/>
                <w:kern w:val="0"/>
                <w:szCs w:val="21"/>
                <w:u w:val="single"/>
              </w:rPr>
              <w:t>舍</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b/>
                <w:bCs/>
                <w:kern w:val="0"/>
                <w:szCs w:val="21"/>
                <w:u w:val="single"/>
              </w:rPr>
            </w:pPr>
            <w:r>
              <w:rPr>
                <w:b/>
                <w:bCs/>
                <w:kern w:val="0"/>
                <w:szCs w:val="21"/>
                <w:u w:val="single"/>
              </w:rPr>
              <w:t>80</w:t>
            </w:r>
          </w:p>
        </w:tc>
        <w:tc>
          <w:tcPr>
            <w:tcW w:w="1705" w:type="dxa"/>
            <w:tcBorders>
              <w:top w:val="nil"/>
              <w:left w:val="nil"/>
              <w:bottom w:val="single" w:color="auto" w:sz="4" w:space="0"/>
              <w:right w:val="single" w:color="auto" w:sz="4" w:space="0"/>
            </w:tcBorders>
            <w:shd w:val="clear" w:color="auto" w:fill="auto"/>
            <w:vAlign w:val="center"/>
          </w:tcPr>
          <w:p>
            <w:pPr>
              <w:widowControl/>
              <w:jc w:val="center"/>
              <w:rPr>
                <w:b/>
                <w:bCs/>
                <w:kern w:val="0"/>
                <w:szCs w:val="21"/>
                <w:u w:val="single"/>
              </w:rPr>
            </w:pPr>
            <w:r>
              <w:rPr>
                <w:b/>
                <w:bCs/>
                <w:kern w:val="0"/>
                <w:szCs w:val="21"/>
                <w:u w:val="single"/>
              </w:rPr>
              <w:t>集中饲喂</w:t>
            </w:r>
          </w:p>
        </w:tc>
        <w:tc>
          <w:tcPr>
            <w:tcW w:w="1047" w:type="dxa"/>
            <w:tcBorders>
              <w:top w:val="nil"/>
              <w:left w:val="nil"/>
              <w:bottom w:val="single" w:color="auto" w:sz="4" w:space="0"/>
              <w:right w:val="single" w:color="auto" w:sz="4" w:space="0"/>
            </w:tcBorders>
            <w:shd w:val="clear" w:color="auto" w:fill="auto"/>
            <w:vAlign w:val="center"/>
          </w:tcPr>
          <w:p>
            <w:pPr>
              <w:widowControl/>
              <w:jc w:val="center"/>
              <w:rPr>
                <w:b/>
                <w:bCs/>
                <w:kern w:val="0"/>
                <w:szCs w:val="21"/>
                <w:u w:val="single"/>
              </w:rPr>
            </w:pPr>
            <w:r>
              <w:rPr>
                <w:b/>
                <w:bCs/>
                <w:kern w:val="0"/>
                <w:szCs w:val="21"/>
                <w:u w:val="single"/>
              </w:rPr>
              <w:t>40</w:t>
            </w:r>
          </w:p>
        </w:tc>
        <w:tc>
          <w:tcPr>
            <w:tcW w:w="911" w:type="dxa"/>
            <w:tcBorders>
              <w:top w:val="nil"/>
              <w:left w:val="nil"/>
              <w:bottom w:val="single" w:color="auto" w:sz="4" w:space="0"/>
              <w:right w:val="single" w:color="auto" w:sz="4" w:space="0"/>
            </w:tcBorders>
            <w:shd w:val="clear" w:color="auto" w:fill="auto"/>
            <w:vAlign w:val="center"/>
          </w:tcPr>
          <w:p>
            <w:pPr>
              <w:widowControl/>
              <w:jc w:val="center"/>
              <w:rPr>
                <w:b/>
                <w:bCs/>
                <w:kern w:val="0"/>
                <w:szCs w:val="21"/>
                <w:u w:val="single"/>
              </w:rPr>
            </w:pPr>
            <w:r>
              <w:rPr>
                <w:b/>
                <w:bCs/>
                <w:kern w:val="0"/>
                <w:szCs w:val="21"/>
                <w:u w:val="single"/>
              </w:rPr>
              <w:t>5</w:t>
            </w:r>
          </w:p>
        </w:tc>
        <w:tc>
          <w:tcPr>
            <w:tcW w:w="913" w:type="dxa"/>
            <w:tcBorders>
              <w:top w:val="nil"/>
              <w:left w:val="nil"/>
              <w:bottom w:val="single" w:color="auto" w:sz="4" w:space="0"/>
              <w:right w:val="nil"/>
            </w:tcBorders>
            <w:shd w:val="clear" w:color="auto" w:fill="auto"/>
            <w:vAlign w:val="center"/>
          </w:tcPr>
          <w:p>
            <w:pPr>
              <w:widowControl/>
              <w:jc w:val="center"/>
              <w:rPr>
                <w:b/>
                <w:bCs/>
                <w:kern w:val="0"/>
                <w:szCs w:val="21"/>
                <w:u w:val="single"/>
              </w:rPr>
            </w:pPr>
            <w:r>
              <w:rPr>
                <w:b/>
                <w:bCs/>
                <w:kern w:val="0"/>
                <w:szCs w:val="21"/>
                <w:u w:val="single"/>
              </w:rPr>
              <w:t>400</w:t>
            </w:r>
          </w:p>
        </w:tc>
        <w:tc>
          <w:tcPr>
            <w:tcW w:w="909" w:type="dxa"/>
            <w:tcBorders>
              <w:top w:val="nil"/>
              <w:left w:val="single" w:color="auto" w:sz="4" w:space="0"/>
              <w:bottom w:val="single" w:color="auto" w:sz="4" w:space="0"/>
              <w:right w:val="single" w:color="auto" w:sz="4" w:space="0"/>
            </w:tcBorders>
            <w:shd w:val="clear" w:color="auto" w:fill="auto"/>
            <w:vAlign w:val="center"/>
          </w:tcPr>
          <w:p>
            <w:pPr>
              <w:widowControl/>
              <w:jc w:val="center"/>
              <w:rPr>
                <w:b/>
                <w:bCs/>
                <w:kern w:val="0"/>
                <w:szCs w:val="21"/>
                <w:u w:val="single"/>
              </w:rPr>
            </w:pPr>
            <w:r>
              <w:rPr>
                <w:b/>
                <w:bCs/>
                <w:kern w:val="0"/>
                <w:szCs w:val="21"/>
                <w:u w:val="single"/>
              </w:rPr>
              <w:t>14</w:t>
            </w:r>
          </w:p>
        </w:tc>
        <w:tc>
          <w:tcPr>
            <w:tcW w:w="914" w:type="dxa"/>
            <w:tcBorders>
              <w:top w:val="nil"/>
              <w:left w:val="nil"/>
              <w:bottom w:val="single" w:color="auto" w:sz="4" w:space="0"/>
              <w:right w:val="single" w:color="auto" w:sz="4" w:space="0"/>
            </w:tcBorders>
            <w:shd w:val="clear" w:color="auto" w:fill="auto"/>
            <w:vAlign w:val="center"/>
          </w:tcPr>
          <w:p>
            <w:pPr>
              <w:widowControl/>
              <w:jc w:val="center"/>
              <w:rPr>
                <w:b/>
                <w:bCs/>
                <w:kern w:val="0"/>
                <w:szCs w:val="21"/>
                <w:u w:val="single"/>
              </w:rPr>
            </w:pPr>
            <w:r>
              <w:rPr>
                <w:b/>
                <w:bCs/>
                <w:kern w:val="0"/>
                <w:szCs w:val="21"/>
                <w:u w:val="single"/>
              </w:rPr>
              <w:t>1120</w:t>
            </w:r>
          </w:p>
        </w:tc>
      </w:tr>
    </w:tbl>
    <w:p>
      <w:pPr>
        <w:pStyle w:val="6"/>
        <w:spacing w:before="0" w:after="0" w:line="520" w:lineRule="exact"/>
        <w:rPr>
          <w:rFonts w:hAnsi="Times New Roman" w:eastAsia="宋体"/>
          <w:b/>
          <w:bCs/>
          <w:sz w:val="24"/>
          <w:szCs w:val="24"/>
          <w:u w:val="single"/>
        </w:rPr>
      </w:pPr>
      <w:r>
        <w:rPr>
          <w:rFonts w:hAnsi="Times New Roman" w:eastAsia="宋体"/>
          <w:b/>
          <w:bCs/>
          <w:sz w:val="24"/>
          <w:szCs w:val="24"/>
          <w:u w:val="single"/>
        </w:rPr>
        <w:t>2.1.3.2 治污设备</w:t>
      </w:r>
    </w:p>
    <w:p>
      <w:pPr>
        <w:pStyle w:val="98"/>
        <w:spacing w:line="520" w:lineRule="exact"/>
        <w:ind w:firstLine="480"/>
        <w:rPr>
          <w:b/>
          <w:bCs/>
          <w:u w:val="single"/>
        </w:rPr>
      </w:pPr>
      <w:r>
        <w:rPr>
          <w:b/>
          <w:bCs/>
          <w:u w:val="single"/>
        </w:rPr>
        <w:t>项目拟在场内设置1套污水处理系统，用于处理猪尿、猪舍冲洗水及生活废水等。项目治污设备见表2.1-4。</w:t>
      </w:r>
    </w:p>
    <w:p>
      <w:pPr>
        <w:spacing w:afterLines="30" w:line="500" w:lineRule="exact"/>
        <w:jc w:val="center"/>
        <w:rPr>
          <w:b/>
          <w:bCs/>
          <w:sz w:val="24"/>
          <w:u w:val="single"/>
        </w:rPr>
      </w:pPr>
      <w:r>
        <w:rPr>
          <w:b/>
          <w:bCs/>
          <w:sz w:val="24"/>
          <w:u w:val="single"/>
        </w:rPr>
        <w:t>表2.1-4项目治污设备一览表</w:t>
      </w:r>
    </w:p>
    <w:tbl>
      <w:tblPr>
        <w:tblStyle w:val="44"/>
        <w:tblW w:w="850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53"/>
        <w:gridCol w:w="2205"/>
        <w:gridCol w:w="825"/>
        <w:gridCol w:w="881"/>
        <w:gridCol w:w="394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653" w:type="dxa"/>
            <w:vAlign w:val="center"/>
          </w:tcPr>
          <w:p>
            <w:pPr>
              <w:jc w:val="center"/>
              <w:rPr>
                <w:b/>
                <w:bCs/>
                <w:color w:val="000000"/>
                <w:szCs w:val="21"/>
                <w:u w:val="single"/>
              </w:rPr>
            </w:pPr>
            <w:r>
              <w:rPr>
                <w:b/>
                <w:bCs/>
                <w:color w:val="000000"/>
                <w:szCs w:val="21"/>
                <w:u w:val="single"/>
              </w:rPr>
              <w:t>序号</w:t>
            </w:r>
          </w:p>
        </w:tc>
        <w:tc>
          <w:tcPr>
            <w:tcW w:w="2205" w:type="dxa"/>
            <w:vAlign w:val="center"/>
          </w:tcPr>
          <w:p>
            <w:pPr>
              <w:autoSpaceDN w:val="0"/>
              <w:jc w:val="center"/>
              <w:textAlignment w:val="center"/>
              <w:rPr>
                <w:b/>
                <w:bCs/>
                <w:color w:val="000000"/>
                <w:szCs w:val="21"/>
                <w:u w:val="single"/>
              </w:rPr>
            </w:pPr>
            <w:r>
              <w:rPr>
                <w:b/>
                <w:bCs/>
                <w:color w:val="000000"/>
                <w:szCs w:val="21"/>
                <w:u w:val="single"/>
              </w:rPr>
              <w:t>名称</w:t>
            </w:r>
          </w:p>
        </w:tc>
        <w:tc>
          <w:tcPr>
            <w:tcW w:w="825" w:type="dxa"/>
            <w:vAlign w:val="center"/>
          </w:tcPr>
          <w:p>
            <w:pPr>
              <w:autoSpaceDN w:val="0"/>
              <w:jc w:val="center"/>
              <w:textAlignment w:val="center"/>
              <w:rPr>
                <w:b/>
                <w:bCs/>
                <w:color w:val="000000"/>
                <w:szCs w:val="21"/>
                <w:u w:val="single"/>
              </w:rPr>
            </w:pPr>
            <w:r>
              <w:rPr>
                <w:b/>
                <w:bCs/>
                <w:color w:val="000000"/>
                <w:szCs w:val="21"/>
                <w:u w:val="single"/>
              </w:rPr>
              <w:t>单位</w:t>
            </w:r>
          </w:p>
        </w:tc>
        <w:tc>
          <w:tcPr>
            <w:tcW w:w="881" w:type="dxa"/>
            <w:vAlign w:val="center"/>
          </w:tcPr>
          <w:p>
            <w:pPr>
              <w:autoSpaceDN w:val="0"/>
              <w:jc w:val="center"/>
              <w:textAlignment w:val="center"/>
              <w:rPr>
                <w:b/>
                <w:bCs/>
                <w:color w:val="000000"/>
                <w:szCs w:val="21"/>
                <w:u w:val="single"/>
              </w:rPr>
            </w:pPr>
            <w:r>
              <w:rPr>
                <w:b/>
                <w:bCs/>
                <w:color w:val="000000"/>
                <w:szCs w:val="21"/>
                <w:u w:val="single"/>
              </w:rPr>
              <w:t>数量</w:t>
            </w:r>
          </w:p>
        </w:tc>
        <w:tc>
          <w:tcPr>
            <w:tcW w:w="3940" w:type="dxa"/>
            <w:vAlign w:val="center"/>
          </w:tcPr>
          <w:p>
            <w:pPr>
              <w:autoSpaceDN w:val="0"/>
              <w:jc w:val="center"/>
              <w:textAlignment w:val="center"/>
              <w:rPr>
                <w:b/>
                <w:bCs/>
                <w:color w:val="000000"/>
                <w:szCs w:val="21"/>
                <w:u w:val="single"/>
              </w:rPr>
            </w:pPr>
            <w:r>
              <w:rPr>
                <w:b/>
                <w:bCs/>
                <w:color w:val="000000"/>
                <w:szCs w:val="21"/>
                <w:u w:val="single"/>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bCs/>
                <w:color w:val="000000"/>
                <w:szCs w:val="21"/>
                <w:u w:val="single"/>
              </w:rPr>
            </w:pPr>
            <w:r>
              <w:rPr>
                <w:b/>
                <w:bCs/>
                <w:color w:val="000000"/>
                <w:szCs w:val="21"/>
                <w:u w:val="single"/>
              </w:rPr>
              <w:t>一</w:t>
            </w:r>
          </w:p>
        </w:tc>
        <w:tc>
          <w:tcPr>
            <w:tcW w:w="7851" w:type="dxa"/>
            <w:gridSpan w:val="4"/>
            <w:vAlign w:val="center"/>
          </w:tcPr>
          <w:p>
            <w:pPr>
              <w:autoSpaceDN w:val="0"/>
              <w:jc w:val="center"/>
              <w:textAlignment w:val="center"/>
              <w:rPr>
                <w:b/>
                <w:bCs/>
                <w:color w:val="000000"/>
                <w:szCs w:val="21"/>
                <w:u w:val="single"/>
              </w:rPr>
            </w:pPr>
            <w:r>
              <w:rPr>
                <w:b/>
                <w:bCs/>
                <w:color w:val="000000"/>
                <w:szCs w:val="21"/>
                <w:u w:val="single"/>
              </w:rPr>
              <w:t>粪尿收集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bCs/>
                <w:color w:val="000000"/>
                <w:szCs w:val="21"/>
                <w:u w:val="single"/>
              </w:rPr>
            </w:pPr>
            <w:r>
              <w:rPr>
                <w:b/>
                <w:bCs/>
                <w:color w:val="000000"/>
                <w:szCs w:val="21"/>
                <w:u w:val="single"/>
              </w:rPr>
              <w:t>1</w:t>
            </w:r>
          </w:p>
        </w:tc>
        <w:tc>
          <w:tcPr>
            <w:tcW w:w="2205" w:type="dxa"/>
            <w:vAlign w:val="center"/>
          </w:tcPr>
          <w:p>
            <w:pPr>
              <w:autoSpaceDN w:val="0"/>
              <w:jc w:val="center"/>
              <w:textAlignment w:val="center"/>
              <w:rPr>
                <w:b/>
                <w:bCs/>
                <w:color w:val="000000"/>
                <w:szCs w:val="21"/>
                <w:u w:val="single"/>
              </w:rPr>
            </w:pPr>
            <w:r>
              <w:rPr>
                <w:b/>
                <w:bCs/>
                <w:color w:val="000000"/>
                <w:szCs w:val="21"/>
                <w:u w:val="single"/>
              </w:rPr>
              <w:t>猪舍漏粪板</w:t>
            </w:r>
          </w:p>
        </w:tc>
        <w:tc>
          <w:tcPr>
            <w:tcW w:w="825" w:type="dxa"/>
            <w:vAlign w:val="center"/>
          </w:tcPr>
          <w:p>
            <w:pPr>
              <w:autoSpaceDN w:val="0"/>
              <w:jc w:val="center"/>
              <w:textAlignment w:val="center"/>
              <w:rPr>
                <w:b/>
                <w:bCs/>
                <w:color w:val="000000"/>
                <w:szCs w:val="21"/>
                <w:u w:val="single"/>
              </w:rPr>
            </w:pPr>
            <w:r>
              <w:rPr>
                <w:b/>
                <w:bCs/>
                <w:color w:val="000000"/>
                <w:szCs w:val="21"/>
                <w:u w:val="single"/>
              </w:rPr>
              <w:t>个</w:t>
            </w:r>
          </w:p>
        </w:tc>
        <w:tc>
          <w:tcPr>
            <w:tcW w:w="881" w:type="dxa"/>
            <w:vAlign w:val="center"/>
          </w:tcPr>
          <w:p>
            <w:pPr>
              <w:autoSpaceDN w:val="0"/>
              <w:jc w:val="center"/>
              <w:textAlignment w:val="center"/>
              <w:rPr>
                <w:b/>
                <w:bCs/>
                <w:color w:val="000000"/>
                <w:szCs w:val="21"/>
                <w:u w:val="single"/>
              </w:rPr>
            </w:pPr>
          </w:p>
        </w:tc>
        <w:tc>
          <w:tcPr>
            <w:tcW w:w="3940" w:type="dxa"/>
            <w:vAlign w:val="center"/>
          </w:tcPr>
          <w:p>
            <w:pPr>
              <w:autoSpaceDN w:val="0"/>
              <w:jc w:val="center"/>
              <w:textAlignment w:val="center"/>
              <w:rPr>
                <w:b/>
                <w:bCs/>
                <w:color w:val="000000"/>
                <w:szCs w:val="21"/>
                <w:u w:val="single"/>
              </w:rPr>
            </w:pPr>
            <w:r>
              <w:rPr>
                <w:b/>
                <w:bCs/>
                <w:color w:val="000000"/>
                <w:szCs w:val="21"/>
                <w:u w:val="single"/>
              </w:rPr>
              <w:t>牧原专用漏粪板</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bCs/>
                <w:color w:val="000000"/>
                <w:szCs w:val="21"/>
                <w:u w:val="single"/>
              </w:rPr>
            </w:pPr>
            <w:r>
              <w:rPr>
                <w:b/>
                <w:bCs/>
                <w:color w:val="000000"/>
                <w:szCs w:val="21"/>
                <w:u w:val="single"/>
              </w:rPr>
              <w:t>二</w:t>
            </w:r>
          </w:p>
        </w:tc>
        <w:tc>
          <w:tcPr>
            <w:tcW w:w="7851" w:type="dxa"/>
            <w:gridSpan w:val="4"/>
            <w:vAlign w:val="center"/>
          </w:tcPr>
          <w:p>
            <w:pPr>
              <w:autoSpaceDN w:val="0"/>
              <w:jc w:val="center"/>
              <w:textAlignment w:val="center"/>
              <w:rPr>
                <w:b/>
                <w:bCs/>
                <w:color w:val="000000"/>
                <w:szCs w:val="21"/>
                <w:u w:val="single"/>
              </w:rPr>
            </w:pPr>
            <w:r>
              <w:rPr>
                <w:b/>
                <w:bCs/>
                <w:color w:val="000000"/>
                <w:szCs w:val="21"/>
                <w:u w:val="single"/>
              </w:rPr>
              <w:t>污水处理工程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bCs/>
                <w:color w:val="000000"/>
                <w:szCs w:val="21"/>
                <w:u w:val="single"/>
              </w:rPr>
            </w:pPr>
            <w:r>
              <w:rPr>
                <w:b/>
                <w:bCs/>
                <w:color w:val="000000"/>
                <w:szCs w:val="21"/>
                <w:u w:val="single"/>
              </w:rPr>
              <w:t>1</w:t>
            </w:r>
          </w:p>
        </w:tc>
        <w:tc>
          <w:tcPr>
            <w:tcW w:w="2205" w:type="dxa"/>
            <w:vAlign w:val="center"/>
          </w:tcPr>
          <w:p>
            <w:pPr>
              <w:autoSpaceDN w:val="0"/>
              <w:jc w:val="center"/>
              <w:textAlignment w:val="center"/>
              <w:rPr>
                <w:b/>
                <w:bCs/>
                <w:color w:val="000000"/>
                <w:szCs w:val="21"/>
                <w:u w:val="single"/>
              </w:rPr>
            </w:pPr>
            <w:r>
              <w:rPr>
                <w:b/>
                <w:bCs/>
                <w:color w:val="000000"/>
                <w:szCs w:val="21"/>
                <w:u w:val="single"/>
              </w:rPr>
              <w:t>收集池</w:t>
            </w:r>
          </w:p>
        </w:tc>
        <w:tc>
          <w:tcPr>
            <w:tcW w:w="825" w:type="dxa"/>
            <w:vAlign w:val="center"/>
          </w:tcPr>
          <w:p>
            <w:pPr>
              <w:autoSpaceDN w:val="0"/>
              <w:jc w:val="center"/>
              <w:textAlignment w:val="center"/>
              <w:rPr>
                <w:b/>
                <w:bCs/>
                <w:color w:val="000000"/>
                <w:szCs w:val="21"/>
                <w:u w:val="single"/>
              </w:rPr>
            </w:pPr>
            <w:r>
              <w:rPr>
                <w:b/>
                <w:bCs/>
                <w:color w:val="000000"/>
                <w:szCs w:val="21"/>
                <w:u w:val="single"/>
              </w:rPr>
              <w:t>个</w:t>
            </w:r>
          </w:p>
        </w:tc>
        <w:tc>
          <w:tcPr>
            <w:tcW w:w="881" w:type="dxa"/>
            <w:vAlign w:val="center"/>
          </w:tcPr>
          <w:p>
            <w:pPr>
              <w:autoSpaceDN w:val="0"/>
              <w:jc w:val="center"/>
              <w:textAlignment w:val="center"/>
              <w:rPr>
                <w:b/>
                <w:bCs/>
                <w:color w:val="000000"/>
                <w:szCs w:val="21"/>
                <w:u w:val="single"/>
              </w:rPr>
            </w:pPr>
            <w:r>
              <w:rPr>
                <w:b/>
                <w:bCs/>
                <w:color w:val="000000"/>
                <w:szCs w:val="21"/>
                <w:u w:val="single"/>
              </w:rPr>
              <w:t>1</w:t>
            </w:r>
          </w:p>
        </w:tc>
        <w:tc>
          <w:tcPr>
            <w:tcW w:w="3940" w:type="dxa"/>
            <w:vAlign w:val="center"/>
          </w:tcPr>
          <w:p>
            <w:pPr>
              <w:autoSpaceDN w:val="0"/>
              <w:jc w:val="center"/>
              <w:textAlignment w:val="center"/>
              <w:rPr>
                <w:b/>
                <w:bCs/>
                <w:color w:val="000000"/>
                <w:szCs w:val="21"/>
                <w:u w:val="single"/>
              </w:rPr>
            </w:pPr>
            <w:r>
              <w:rPr>
                <w:b/>
                <w:bCs/>
                <w:color w:val="000000"/>
                <w:szCs w:val="21"/>
                <w:u w:val="single"/>
              </w:rPr>
              <w:t>规格为直径12m，深3.5m，容积395.64m</w:t>
            </w:r>
            <w:r>
              <w:rPr>
                <w:b/>
                <w:bCs/>
                <w:color w:val="000000"/>
                <w:szCs w:val="21"/>
                <w:u w:val="singl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bCs/>
                <w:color w:val="000000"/>
                <w:szCs w:val="21"/>
                <w:u w:val="single"/>
              </w:rPr>
            </w:pPr>
            <w:r>
              <w:rPr>
                <w:b/>
                <w:bCs/>
                <w:color w:val="000000"/>
                <w:szCs w:val="21"/>
                <w:u w:val="single"/>
              </w:rPr>
              <w:t>2</w:t>
            </w:r>
          </w:p>
        </w:tc>
        <w:tc>
          <w:tcPr>
            <w:tcW w:w="2205" w:type="dxa"/>
            <w:vAlign w:val="center"/>
          </w:tcPr>
          <w:p>
            <w:pPr>
              <w:autoSpaceDN w:val="0"/>
              <w:jc w:val="center"/>
              <w:textAlignment w:val="center"/>
              <w:rPr>
                <w:b/>
                <w:bCs/>
                <w:color w:val="000000"/>
                <w:szCs w:val="21"/>
                <w:u w:val="single"/>
              </w:rPr>
            </w:pPr>
            <w:r>
              <w:rPr>
                <w:b/>
                <w:bCs/>
                <w:color w:val="000000"/>
                <w:szCs w:val="21"/>
                <w:u w:val="single"/>
              </w:rPr>
              <w:t>固液分离机</w:t>
            </w:r>
          </w:p>
        </w:tc>
        <w:tc>
          <w:tcPr>
            <w:tcW w:w="825" w:type="dxa"/>
            <w:vAlign w:val="center"/>
          </w:tcPr>
          <w:p>
            <w:pPr>
              <w:autoSpaceDN w:val="0"/>
              <w:jc w:val="center"/>
              <w:textAlignment w:val="center"/>
              <w:rPr>
                <w:b/>
                <w:bCs/>
                <w:color w:val="000000"/>
                <w:szCs w:val="21"/>
                <w:u w:val="single"/>
              </w:rPr>
            </w:pPr>
            <w:r>
              <w:rPr>
                <w:b/>
                <w:bCs/>
                <w:color w:val="000000"/>
                <w:szCs w:val="21"/>
                <w:u w:val="single"/>
              </w:rPr>
              <w:t>台</w:t>
            </w:r>
          </w:p>
        </w:tc>
        <w:tc>
          <w:tcPr>
            <w:tcW w:w="881" w:type="dxa"/>
            <w:vAlign w:val="center"/>
          </w:tcPr>
          <w:p>
            <w:pPr>
              <w:autoSpaceDN w:val="0"/>
              <w:jc w:val="center"/>
              <w:textAlignment w:val="center"/>
              <w:rPr>
                <w:b/>
                <w:bCs/>
                <w:color w:val="000000"/>
                <w:szCs w:val="21"/>
                <w:u w:val="single"/>
              </w:rPr>
            </w:pPr>
            <w:r>
              <w:rPr>
                <w:b/>
                <w:bCs/>
                <w:color w:val="000000"/>
                <w:szCs w:val="21"/>
                <w:u w:val="single"/>
              </w:rPr>
              <w:t>1</w:t>
            </w:r>
          </w:p>
        </w:tc>
        <w:tc>
          <w:tcPr>
            <w:tcW w:w="3940" w:type="dxa"/>
            <w:vAlign w:val="center"/>
          </w:tcPr>
          <w:p>
            <w:pPr>
              <w:autoSpaceDN w:val="0"/>
              <w:jc w:val="center"/>
              <w:textAlignment w:val="center"/>
              <w:rPr>
                <w:b/>
                <w:bCs/>
                <w:color w:val="000000"/>
                <w:szCs w:val="21"/>
                <w:u w:val="single"/>
              </w:rPr>
            </w:pPr>
            <w:r>
              <w:rPr>
                <w:b/>
                <w:bCs/>
                <w:color w:val="000000"/>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bCs/>
                <w:color w:val="000000"/>
                <w:szCs w:val="21"/>
                <w:u w:val="single"/>
              </w:rPr>
            </w:pPr>
            <w:r>
              <w:rPr>
                <w:b/>
                <w:bCs/>
                <w:color w:val="000000"/>
                <w:szCs w:val="21"/>
                <w:u w:val="single"/>
              </w:rPr>
              <w:t>3</w:t>
            </w:r>
          </w:p>
        </w:tc>
        <w:tc>
          <w:tcPr>
            <w:tcW w:w="2205" w:type="dxa"/>
            <w:vAlign w:val="center"/>
          </w:tcPr>
          <w:p>
            <w:pPr>
              <w:autoSpaceDN w:val="0"/>
              <w:jc w:val="center"/>
              <w:textAlignment w:val="center"/>
              <w:rPr>
                <w:b/>
                <w:bCs/>
                <w:color w:val="000000"/>
                <w:szCs w:val="21"/>
                <w:u w:val="single"/>
              </w:rPr>
            </w:pPr>
            <w:r>
              <w:rPr>
                <w:b/>
                <w:bCs/>
                <w:color w:val="000000"/>
                <w:szCs w:val="21"/>
                <w:u w:val="single"/>
              </w:rPr>
              <w:t>盖泻湖沼气池</w:t>
            </w:r>
          </w:p>
        </w:tc>
        <w:tc>
          <w:tcPr>
            <w:tcW w:w="825" w:type="dxa"/>
            <w:vAlign w:val="center"/>
          </w:tcPr>
          <w:p>
            <w:pPr>
              <w:autoSpaceDN w:val="0"/>
              <w:jc w:val="center"/>
              <w:textAlignment w:val="center"/>
              <w:rPr>
                <w:b/>
                <w:bCs/>
                <w:color w:val="000000"/>
                <w:szCs w:val="21"/>
                <w:u w:val="single"/>
              </w:rPr>
            </w:pPr>
            <w:r>
              <w:rPr>
                <w:b/>
                <w:bCs/>
                <w:color w:val="000000"/>
                <w:szCs w:val="21"/>
                <w:u w:val="single"/>
              </w:rPr>
              <w:t>个</w:t>
            </w:r>
          </w:p>
        </w:tc>
        <w:tc>
          <w:tcPr>
            <w:tcW w:w="881" w:type="dxa"/>
            <w:vAlign w:val="center"/>
          </w:tcPr>
          <w:p>
            <w:pPr>
              <w:autoSpaceDN w:val="0"/>
              <w:jc w:val="center"/>
              <w:textAlignment w:val="center"/>
              <w:rPr>
                <w:b/>
                <w:bCs/>
                <w:color w:val="000000"/>
                <w:szCs w:val="21"/>
                <w:u w:val="single"/>
              </w:rPr>
            </w:pPr>
            <w:r>
              <w:rPr>
                <w:b/>
                <w:bCs/>
                <w:color w:val="000000"/>
                <w:szCs w:val="21"/>
                <w:u w:val="single"/>
              </w:rPr>
              <w:t>1</w:t>
            </w:r>
          </w:p>
        </w:tc>
        <w:tc>
          <w:tcPr>
            <w:tcW w:w="3940" w:type="dxa"/>
            <w:vAlign w:val="center"/>
          </w:tcPr>
          <w:p>
            <w:pPr>
              <w:autoSpaceDN w:val="0"/>
              <w:jc w:val="center"/>
              <w:textAlignment w:val="center"/>
              <w:rPr>
                <w:b/>
                <w:bCs/>
                <w:color w:val="000000"/>
                <w:szCs w:val="21"/>
                <w:u w:val="single"/>
              </w:rPr>
            </w:pPr>
            <w:r>
              <w:rPr>
                <w:b/>
                <w:bCs/>
                <w:color w:val="000000"/>
                <w:szCs w:val="21"/>
                <w:u w:val="single"/>
              </w:rPr>
              <w:t>容积为10243m</w:t>
            </w:r>
            <w:r>
              <w:rPr>
                <w:b/>
                <w:bCs/>
                <w:color w:val="000000"/>
                <w:szCs w:val="21"/>
                <w:u w:val="singl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bCs/>
                <w:color w:val="000000"/>
                <w:szCs w:val="21"/>
                <w:u w:val="single"/>
              </w:rPr>
            </w:pPr>
            <w:r>
              <w:rPr>
                <w:b/>
                <w:bCs/>
                <w:color w:val="000000"/>
                <w:szCs w:val="21"/>
                <w:u w:val="single"/>
              </w:rPr>
              <w:t>4</w:t>
            </w:r>
          </w:p>
        </w:tc>
        <w:tc>
          <w:tcPr>
            <w:tcW w:w="2205" w:type="dxa"/>
            <w:vAlign w:val="center"/>
          </w:tcPr>
          <w:p>
            <w:pPr>
              <w:autoSpaceDN w:val="0"/>
              <w:jc w:val="center"/>
              <w:textAlignment w:val="center"/>
              <w:rPr>
                <w:b/>
                <w:bCs/>
                <w:color w:val="000000"/>
                <w:szCs w:val="21"/>
                <w:u w:val="single"/>
              </w:rPr>
            </w:pPr>
            <w:r>
              <w:rPr>
                <w:b/>
                <w:bCs/>
                <w:color w:val="000000"/>
                <w:szCs w:val="21"/>
                <w:u w:val="single"/>
              </w:rPr>
              <w:t>沼液储存池</w:t>
            </w:r>
          </w:p>
        </w:tc>
        <w:tc>
          <w:tcPr>
            <w:tcW w:w="825" w:type="dxa"/>
            <w:vAlign w:val="center"/>
          </w:tcPr>
          <w:p>
            <w:pPr>
              <w:autoSpaceDN w:val="0"/>
              <w:jc w:val="center"/>
              <w:textAlignment w:val="center"/>
              <w:rPr>
                <w:b/>
                <w:bCs/>
                <w:color w:val="000000"/>
                <w:szCs w:val="21"/>
                <w:u w:val="single"/>
              </w:rPr>
            </w:pPr>
            <w:r>
              <w:rPr>
                <w:b/>
                <w:bCs/>
                <w:color w:val="000000"/>
                <w:szCs w:val="21"/>
                <w:u w:val="single"/>
              </w:rPr>
              <w:t>个</w:t>
            </w:r>
          </w:p>
        </w:tc>
        <w:tc>
          <w:tcPr>
            <w:tcW w:w="881" w:type="dxa"/>
            <w:vAlign w:val="center"/>
          </w:tcPr>
          <w:p>
            <w:pPr>
              <w:autoSpaceDN w:val="0"/>
              <w:jc w:val="center"/>
              <w:textAlignment w:val="center"/>
              <w:rPr>
                <w:b/>
                <w:bCs/>
                <w:color w:val="000000"/>
                <w:szCs w:val="21"/>
                <w:u w:val="single"/>
              </w:rPr>
            </w:pPr>
            <w:r>
              <w:rPr>
                <w:b/>
                <w:bCs/>
                <w:color w:val="000000"/>
                <w:szCs w:val="21"/>
                <w:u w:val="single"/>
              </w:rPr>
              <w:t>1</w:t>
            </w:r>
          </w:p>
        </w:tc>
        <w:tc>
          <w:tcPr>
            <w:tcW w:w="3940" w:type="dxa"/>
            <w:vAlign w:val="center"/>
          </w:tcPr>
          <w:p>
            <w:pPr>
              <w:autoSpaceDN w:val="0"/>
              <w:jc w:val="center"/>
              <w:textAlignment w:val="center"/>
              <w:rPr>
                <w:b/>
                <w:bCs/>
                <w:color w:val="000000"/>
                <w:szCs w:val="21"/>
                <w:u w:val="single"/>
              </w:rPr>
            </w:pPr>
            <w:r>
              <w:rPr>
                <w:b/>
                <w:bCs/>
                <w:color w:val="000000"/>
                <w:szCs w:val="21"/>
                <w:u w:val="single"/>
              </w:rPr>
              <w:t>容积64006m</w:t>
            </w:r>
            <w:r>
              <w:rPr>
                <w:b/>
                <w:bCs/>
                <w:color w:val="000000"/>
                <w:szCs w:val="21"/>
                <w:u w:val="singl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bCs/>
                <w:color w:val="000000"/>
                <w:szCs w:val="21"/>
                <w:u w:val="single"/>
              </w:rPr>
            </w:pPr>
            <w:r>
              <w:rPr>
                <w:b/>
                <w:bCs/>
                <w:color w:val="000000"/>
                <w:szCs w:val="21"/>
                <w:u w:val="single"/>
              </w:rPr>
              <w:t>三</w:t>
            </w:r>
          </w:p>
        </w:tc>
        <w:tc>
          <w:tcPr>
            <w:tcW w:w="7851" w:type="dxa"/>
            <w:gridSpan w:val="4"/>
            <w:vAlign w:val="center"/>
          </w:tcPr>
          <w:p>
            <w:pPr>
              <w:autoSpaceDN w:val="0"/>
              <w:jc w:val="center"/>
              <w:textAlignment w:val="center"/>
              <w:rPr>
                <w:b/>
                <w:bCs/>
                <w:color w:val="000000"/>
                <w:szCs w:val="21"/>
                <w:u w:val="single"/>
              </w:rPr>
            </w:pPr>
            <w:r>
              <w:rPr>
                <w:b/>
                <w:bCs/>
                <w:color w:val="000000"/>
                <w:szCs w:val="21"/>
                <w:u w:val="single"/>
              </w:rPr>
              <w:t>沼气工程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bCs/>
                <w:color w:val="000000"/>
                <w:szCs w:val="21"/>
                <w:u w:val="single"/>
              </w:rPr>
            </w:pPr>
            <w:r>
              <w:rPr>
                <w:b/>
                <w:bCs/>
                <w:color w:val="000000"/>
                <w:szCs w:val="21"/>
                <w:u w:val="single"/>
              </w:rPr>
              <w:t>1</w:t>
            </w:r>
          </w:p>
        </w:tc>
        <w:tc>
          <w:tcPr>
            <w:tcW w:w="2205" w:type="dxa"/>
            <w:vAlign w:val="center"/>
          </w:tcPr>
          <w:p>
            <w:pPr>
              <w:autoSpaceDN w:val="0"/>
              <w:jc w:val="center"/>
              <w:textAlignment w:val="center"/>
              <w:rPr>
                <w:b/>
                <w:bCs/>
                <w:color w:val="000000"/>
                <w:szCs w:val="21"/>
                <w:u w:val="single"/>
              </w:rPr>
            </w:pPr>
            <w:r>
              <w:rPr>
                <w:b/>
                <w:bCs/>
                <w:color w:val="000000"/>
                <w:szCs w:val="21"/>
                <w:u w:val="single"/>
              </w:rPr>
              <w:t>沼气脱硫器</w:t>
            </w:r>
          </w:p>
        </w:tc>
        <w:tc>
          <w:tcPr>
            <w:tcW w:w="825" w:type="dxa"/>
          </w:tcPr>
          <w:p>
            <w:pPr>
              <w:jc w:val="center"/>
              <w:rPr>
                <w:b/>
                <w:bCs/>
                <w:color w:val="000000"/>
                <w:szCs w:val="21"/>
                <w:u w:val="single"/>
              </w:rPr>
            </w:pPr>
            <w:r>
              <w:rPr>
                <w:b/>
                <w:bCs/>
                <w:color w:val="000000"/>
                <w:szCs w:val="21"/>
                <w:u w:val="single"/>
              </w:rPr>
              <w:t>台</w:t>
            </w:r>
          </w:p>
        </w:tc>
        <w:tc>
          <w:tcPr>
            <w:tcW w:w="881" w:type="dxa"/>
            <w:vAlign w:val="center"/>
          </w:tcPr>
          <w:p>
            <w:pPr>
              <w:autoSpaceDN w:val="0"/>
              <w:jc w:val="center"/>
              <w:textAlignment w:val="center"/>
              <w:rPr>
                <w:b/>
                <w:bCs/>
                <w:color w:val="000000"/>
                <w:szCs w:val="21"/>
                <w:u w:val="single"/>
              </w:rPr>
            </w:pPr>
            <w:r>
              <w:rPr>
                <w:b/>
                <w:bCs/>
                <w:color w:val="000000"/>
                <w:szCs w:val="21"/>
                <w:u w:val="single"/>
              </w:rPr>
              <w:t>1</w:t>
            </w:r>
          </w:p>
        </w:tc>
        <w:tc>
          <w:tcPr>
            <w:tcW w:w="3940" w:type="dxa"/>
            <w:vAlign w:val="center"/>
          </w:tcPr>
          <w:p>
            <w:pPr>
              <w:autoSpaceDN w:val="0"/>
              <w:jc w:val="center"/>
              <w:textAlignment w:val="center"/>
              <w:rPr>
                <w:b/>
                <w:bCs/>
                <w:color w:val="000000"/>
                <w:szCs w:val="21"/>
                <w:u w:val="single"/>
              </w:rPr>
            </w:pPr>
            <w:r>
              <w:rPr>
                <w:b/>
                <w:bCs/>
                <w:color w:val="000000"/>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bCs/>
                <w:color w:val="000000"/>
                <w:szCs w:val="21"/>
                <w:u w:val="single"/>
              </w:rPr>
            </w:pPr>
            <w:r>
              <w:rPr>
                <w:b/>
                <w:bCs/>
                <w:color w:val="000000"/>
                <w:szCs w:val="21"/>
                <w:u w:val="single"/>
              </w:rPr>
              <w:t>2</w:t>
            </w:r>
          </w:p>
        </w:tc>
        <w:tc>
          <w:tcPr>
            <w:tcW w:w="2205" w:type="dxa"/>
            <w:vAlign w:val="center"/>
          </w:tcPr>
          <w:p>
            <w:pPr>
              <w:autoSpaceDN w:val="0"/>
              <w:jc w:val="center"/>
              <w:textAlignment w:val="center"/>
              <w:rPr>
                <w:b/>
                <w:bCs/>
                <w:color w:val="000000"/>
                <w:szCs w:val="21"/>
                <w:u w:val="single"/>
              </w:rPr>
            </w:pPr>
            <w:r>
              <w:rPr>
                <w:b/>
                <w:bCs/>
                <w:color w:val="000000"/>
                <w:szCs w:val="21"/>
                <w:u w:val="single"/>
              </w:rPr>
              <w:t>沼气除水器</w:t>
            </w:r>
          </w:p>
        </w:tc>
        <w:tc>
          <w:tcPr>
            <w:tcW w:w="825" w:type="dxa"/>
          </w:tcPr>
          <w:p>
            <w:pPr>
              <w:jc w:val="center"/>
              <w:rPr>
                <w:b/>
                <w:bCs/>
                <w:color w:val="000000"/>
                <w:szCs w:val="21"/>
                <w:u w:val="single"/>
              </w:rPr>
            </w:pPr>
            <w:r>
              <w:rPr>
                <w:b/>
                <w:bCs/>
                <w:color w:val="000000"/>
                <w:szCs w:val="21"/>
                <w:u w:val="single"/>
              </w:rPr>
              <w:t>台</w:t>
            </w:r>
          </w:p>
        </w:tc>
        <w:tc>
          <w:tcPr>
            <w:tcW w:w="881" w:type="dxa"/>
            <w:vAlign w:val="center"/>
          </w:tcPr>
          <w:p>
            <w:pPr>
              <w:autoSpaceDN w:val="0"/>
              <w:jc w:val="center"/>
              <w:textAlignment w:val="center"/>
              <w:rPr>
                <w:b/>
                <w:bCs/>
                <w:color w:val="000000"/>
                <w:szCs w:val="21"/>
                <w:u w:val="single"/>
              </w:rPr>
            </w:pPr>
            <w:r>
              <w:rPr>
                <w:b/>
                <w:bCs/>
                <w:color w:val="000000"/>
                <w:szCs w:val="21"/>
                <w:u w:val="single"/>
              </w:rPr>
              <w:t>1</w:t>
            </w:r>
          </w:p>
        </w:tc>
        <w:tc>
          <w:tcPr>
            <w:tcW w:w="3940" w:type="dxa"/>
            <w:vAlign w:val="center"/>
          </w:tcPr>
          <w:p>
            <w:pPr>
              <w:autoSpaceDN w:val="0"/>
              <w:jc w:val="center"/>
              <w:textAlignment w:val="center"/>
              <w:rPr>
                <w:b/>
                <w:bCs/>
                <w:color w:val="000000"/>
                <w:szCs w:val="21"/>
                <w:u w:val="single"/>
              </w:rPr>
            </w:pPr>
            <w:r>
              <w:rPr>
                <w:b/>
                <w:bCs/>
                <w:color w:val="000000"/>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bCs/>
                <w:color w:val="000000"/>
                <w:szCs w:val="21"/>
                <w:u w:val="single"/>
              </w:rPr>
            </w:pPr>
            <w:r>
              <w:rPr>
                <w:b/>
                <w:bCs/>
                <w:color w:val="000000"/>
                <w:szCs w:val="21"/>
                <w:u w:val="single"/>
              </w:rPr>
              <w:t>3</w:t>
            </w:r>
          </w:p>
        </w:tc>
        <w:tc>
          <w:tcPr>
            <w:tcW w:w="2205" w:type="dxa"/>
            <w:vAlign w:val="center"/>
          </w:tcPr>
          <w:p>
            <w:pPr>
              <w:autoSpaceDN w:val="0"/>
              <w:jc w:val="center"/>
              <w:textAlignment w:val="center"/>
              <w:rPr>
                <w:b/>
                <w:bCs/>
                <w:color w:val="000000"/>
                <w:szCs w:val="21"/>
                <w:u w:val="single"/>
              </w:rPr>
            </w:pPr>
            <w:r>
              <w:rPr>
                <w:b/>
                <w:bCs/>
                <w:color w:val="000000"/>
                <w:szCs w:val="21"/>
                <w:u w:val="single"/>
              </w:rPr>
              <w:t>阻火器</w:t>
            </w:r>
          </w:p>
        </w:tc>
        <w:tc>
          <w:tcPr>
            <w:tcW w:w="825" w:type="dxa"/>
          </w:tcPr>
          <w:p>
            <w:pPr>
              <w:jc w:val="center"/>
              <w:rPr>
                <w:b/>
                <w:bCs/>
                <w:color w:val="000000"/>
                <w:szCs w:val="21"/>
                <w:u w:val="single"/>
              </w:rPr>
            </w:pPr>
            <w:r>
              <w:rPr>
                <w:b/>
                <w:bCs/>
                <w:color w:val="000000"/>
                <w:szCs w:val="21"/>
                <w:u w:val="single"/>
              </w:rPr>
              <w:t>台</w:t>
            </w:r>
          </w:p>
        </w:tc>
        <w:tc>
          <w:tcPr>
            <w:tcW w:w="881" w:type="dxa"/>
            <w:vAlign w:val="center"/>
          </w:tcPr>
          <w:p>
            <w:pPr>
              <w:autoSpaceDN w:val="0"/>
              <w:jc w:val="center"/>
              <w:textAlignment w:val="center"/>
              <w:rPr>
                <w:b/>
                <w:bCs/>
                <w:color w:val="000000"/>
                <w:szCs w:val="21"/>
                <w:u w:val="single"/>
              </w:rPr>
            </w:pPr>
            <w:r>
              <w:rPr>
                <w:b/>
                <w:bCs/>
                <w:color w:val="000000"/>
                <w:szCs w:val="21"/>
                <w:u w:val="single"/>
              </w:rPr>
              <w:t>1</w:t>
            </w:r>
          </w:p>
        </w:tc>
        <w:tc>
          <w:tcPr>
            <w:tcW w:w="3940" w:type="dxa"/>
            <w:vAlign w:val="center"/>
          </w:tcPr>
          <w:p>
            <w:pPr>
              <w:autoSpaceDN w:val="0"/>
              <w:jc w:val="center"/>
              <w:textAlignment w:val="center"/>
              <w:rPr>
                <w:b/>
                <w:bCs/>
                <w:color w:val="000000"/>
                <w:szCs w:val="21"/>
                <w:u w:val="single"/>
              </w:rPr>
            </w:pPr>
            <w:r>
              <w:rPr>
                <w:b/>
                <w:bCs/>
                <w:color w:val="000000"/>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bCs/>
                <w:color w:val="000000"/>
                <w:szCs w:val="21"/>
                <w:u w:val="single"/>
              </w:rPr>
            </w:pPr>
            <w:r>
              <w:rPr>
                <w:b/>
                <w:bCs/>
                <w:color w:val="000000"/>
                <w:szCs w:val="21"/>
                <w:u w:val="single"/>
              </w:rPr>
              <w:t>4</w:t>
            </w:r>
          </w:p>
        </w:tc>
        <w:tc>
          <w:tcPr>
            <w:tcW w:w="2205" w:type="dxa"/>
            <w:vAlign w:val="center"/>
          </w:tcPr>
          <w:p>
            <w:pPr>
              <w:autoSpaceDN w:val="0"/>
              <w:jc w:val="center"/>
              <w:textAlignment w:val="center"/>
              <w:rPr>
                <w:b/>
                <w:bCs/>
                <w:color w:val="000000"/>
                <w:szCs w:val="21"/>
                <w:u w:val="single"/>
              </w:rPr>
            </w:pPr>
            <w:r>
              <w:rPr>
                <w:b/>
                <w:bCs/>
                <w:color w:val="000000"/>
                <w:szCs w:val="21"/>
                <w:u w:val="single"/>
              </w:rPr>
              <w:t>沼气锅炉</w:t>
            </w:r>
          </w:p>
        </w:tc>
        <w:tc>
          <w:tcPr>
            <w:tcW w:w="825" w:type="dxa"/>
          </w:tcPr>
          <w:p>
            <w:pPr>
              <w:jc w:val="center"/>
              <w:rPr>
                <w:b/>
                <w:bCs/>
                <w:color w:val="000000"/>
                <w:szCs w:val="21"/>
                <w:u w:val="single"/>
              </w:rPr>
            </w:pPr>
            <w:r>
              <w:rPr>
                <w:b/>
                <w:bCs/>
                <w:color w:val="000000"/>
                <w:szCs w:val="21"/>
                <w:u w:val="single"/>
              </w:rPr>
              <w:t>台</w:t>
            </w:r>
          </w:p>
        </w:tc>
        <w:tc>
          <w:tcPr>
            <w:tcW w:w="881" w:type="dxa"/>
            <w:vAlign w:val="center"/>
          </w:tcPr>
          <w:p>
            <w:pPr>
              <w:autoSpaceDN w:val="0"/>
              <w:jc w:val="center"/>
              <w:textAlignment w:val="center"/>
              <w:rPr>
                <w:b/>
                <w:bCs/>
                <w:color w:val="000000"/>
                <w:szCs w:val="21"/>
                <w:u w:val="single"/>
              </w:rPr>
            </w:pPr>
            <w:r>
              <w:rPr>
                <w:b/>
                <w:bCs/>
                <w:color w:val="000000"/>
                <w:szCs w:val="21"/>
                <w:u w:val="single"/>
              </w:rPr>
              <w:t>1</w:t>
            </w:r>
          </w:p>
        </w:tc>
        <w:tc>
          <w:tcPr>
            <w:tcW w:w="3940" w:type="dxa"/>
            <w:vAlign w:val="center"/>
          </w:tcPr>
          <w:p>
            <w:pPr>
              <w:autoSpaceDN w:val="0"/>
              <w:jc w:val="center"/>
              <w:textAlignment w:val="center"/>
              <w:rPr>
                <w:b/>
                <w:bCs/>
                <w:color w:val="000000"/>
                <w:szCs w:val="21"/>
                <w:u w:val="single"/>
              </w:rPr>
            </w:pPr>
            <w:r>
              <w:rPr>
                <w:b/>
                <w:bCs/>
                <w:color w:val="000000"/>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bCs/>
                <w:szCs w:val="21"/>
                <w:u w:val="single"/>
              </w:rPr>
            </w:pPr>
            <w:r>
              <w:rPr>
                <w:b/>
                <w:bCs/>
                <w:szCs w:val="21"/>
                <w:u w:val="single"/>
              </w:rPr>
              <w:t>四</w:t>
            </w:r>
          </w:p>
        </w:tc>
        <w:tc>
          <w:tcPr>
            <w:tcW w:w="7851" w:type="dxa"/>
            <w:gridSpan w:val="4"/>
            <w:vAlign w:val="center"/>
          </w:tcPr>
          <w:p>
            <w:pPr>
              <w:autoSpaceDN w:val="0"/>
              <w:jc w:val="center"/>
              <w:textAlignment w:val="center"/>
              <w:rPr>
                <w:b/>
                <w:bCs/>
                <w:szCs w:val="21"/>
                <w:u w:val="single"/>
              </w:rPr>
            </w:pPr>
            <w:r>
              <w:rPr>
                <w:b/>
                <w:bCs/>
                <w:szCs w:val="21"/>
                <w:u w:val="single"/>
              </w:rPr>
              <w:t>有机肥发酵工程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91" w:hRule="atLeast"/>
          <w:jc w:val="center"/>
        </w:trPr>
        <w:tc>
          <w:tcPr>
            <w:tcW w:w="653" w:type="dxa"/>
            <w:vAlign w:val="center"/>
          </w:tcPr>
          <w:p>
            <w:pPr>
              <w:spacing w:beforeLines="20" w:afterLines="10" w:line="420" w:lineRule="exact"/>
              <w:jc w:val="center"/>
              <w:rPr>
                <w:b/>
                <w:bCs/>
                <w:szCs w:val="21"/>
                <w:u w:val="single"/>
              </w:rPr>
            </w:pPr>
            <w:r>
              <w:rPr>
                <w:b/>
                <w:bCs/>
                <w:szCs w:val="21"/>
                <w:u w:val="single"/>
              </w:rPr>
              <w:t>1</w:t>
            </w:r>
          </w:p>
        </w:tc>
        <w:tc>
          <w:tcPr>
            <w:tcW w:w="2205" w:type="dxa"/>
            <w:vAlign w:val="center"/>
          </w:tcPr>
          <w:p>
            <w:pPr>
              <w:spacing w:beforeLines="20" w:afterLines="10" w:line="420" w:lineRule="exact"/>
              <w:jc w:val="center"/>
              <w:rPr>
                <w:b/>
                <w:bCs/>
                <w:szCs w:val="21"/>
                <w:u w:val="single"/>
              </w:rPr>
            </w:pPr>
            <w:r>
              <w:rPr>
                <w:b/>
                <w:bCs/>
                <w:szCs w:val="21"/>
                <w:u w:val="single"/>
              </w:rPr>
              <w:t>铲车翻堆机</w:t>
            </w:r>
          </w:p>
        </w:tc>
        <w:tc>
          <w:tcPr>
            <w:tcW w:w="825" w:type="dxa"/>
          </w:tcPr>
          <w:p>
            <w:pPr>
              <w:spacing w:beforeLines="20" w:afterLines="10" w:line="420" w:lineRule="exact"/>
              <w:jc w:val="center"/>
              <w:rPr>
                <w:b/>
                <w:bCs/>
                <w:szCs w:val="21"/>
                <w:u w:val="single"/>
              </w:rPr>
            </w:pPr>
            <w:r>
              <w:rPr>
                <w:b/>
                <w:bCs/>
                <w:szCs w:val="21"/>
                <w:u w:val="single"/>
              </w:rPr>
              <w:t>台</w:t>
            </w:r>
          </w:p>
        </w:tc>
        <w:tc>
          <w:tcPr>
            <w:tcW w:w="881" w:type="dxa"/>
          </w:tcPr>
          <w:p>
            <w:pPr>
              <w:spacing w:beforeLines="20" w:afterLines="10" w:line="420" w:lineRule="exact"/>
              <w:jc w:val="center"/>
              <w:rPr>
                <w:b/>
                <w:bCs/>
                <w:szCs w:val="21"/>
                <w:u w:val="single"/>
              </w:rPr>
            </w:pPr>
            <w:r>
              <w:rPr>
                <w:b/>
                <w:bCs/>
                <w:szCs w:val="21"/>
                <w:u w:val="single"/>
              </w:rPr>
              <w:t>1</w:t>
            </w:r>
          </w:p>
        </w:tc>
        <w:tc>
          <w:tcPr>
            <w:tcW w:w="3940" w:type="dxa"/>
          </w:tcPr>
          <w:p>
            <w:pPr>
              <w:jc w:val="center"/>
              <w:rPr>
                <w:b/>
                <w:bCs/>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bCs/>
                <w:color w:val="000000"/>
                <w:szCs w:val="21"/>
                <w:u w:val="single"/>
              </w:rPr>
            </w:pPr>
            <w:r>
              <w:rPr>
                <w:b/>
                <w:bCs/>
                <w:color w:val="000000"/>
                <w:szCs w:val="21"/>
                <w:u w:val="single"/>
              </w:rPr>
              <w:t>五</w:t>
            </w:r>
          </w:p>
        </w:tc>
        <w:tc>
          <w:tcPr>
            <w:tcW w:w="7851" w:type="dxa"/>
            <w:gridSpan w:val="4"/>
            <w:vAlign w:val="center"/>
          </w:tcPr>
          <w:p>
            <w:pPr>
              <w:autoSpaceDN w:val="0"/>
              <w:jc w:val="center"/>
              <w:textAlignment w:val="center"/>
              <w:rPr>
                <w:b/>
                <w:bCs/>
                <w:color w:val="000000"/>
                <w:szCs w:val="21"/>
                <w:u w:val="single"/>
              </w:rPr>
            </w:pPr>
            <w:r>
              <w:rPr>
                <w:b/>
                <w:bCs/>
                <w:color w:val="000000"/>
                <w:szCs w:val="21"/>
                <w:u w:val="single"/>
              </w:rPr>
              <w:t>食堂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3" w:type="dxa"/>
            <w:vAlign w:val="center"/>
          </w:tcPr>
          <w:p>
            <w:pPr>
              <w:jc w:val="center"/>
              <w:rPr>
                <w:b/>
                <w:bCs/>
                <w:szCs w:val="21"/>
                <w:u w:val="single"/>
              </w:rPr>
            </w:pPr>
            <w:r>
              <w:rPr>
                <w:b/>
                <w:bCs/>
                <w:szCs w:val="21"/>
                <w:u w:val="single"/>
              </w:rPr>
              <w:t>1</w:t>
            </w:r>
          </w:p>
        </w:tc>
        <w:tc>
          <w:tcPr>
            <w:tcW w:w="2205" w:type="dxa"/>
            <w:vAlign w:val="center"/>
          </w:tcPr>
          <w:p>
            <w:pPr>
              <w:autoSpaceDN w:val="0"/>
              <w:jc w:val="center"/>
              <w:textAlignment w:val="center"/>
              <w:rPr>
                <w:b/>
                <w:bCs/>
                <w:szCs w:val="21"/>
                <w:u w:val="single"/>
              </w:rPr>
            </w:pPr>
            <w:r>
              <w:rPr>
                <w:b/>
                <w:bCs/>
                <w:szCs w:val="21"/>
                <w:u w:val="single"/>
              </w:rPr>
              <w:t>食堂油烟净化器</w:t>
            </w:r>
          </w:p>
        </w:tc>
        <w:tc>
          <w:tcPr>
            <w:tcW w:w="825" w:type="dxa"/>
          </w:tcPr>
          <w:p>
            <w:pPr>
              <w:jc w:val="center"/>
              <w:rPr>
                <w:b/>
                <w:bCs/>
                <w:szCs w:val="21"/>
                <w:u w:val="single"/>
              </w:rPr>
            </w:pPr>
            <w:r>
              <w:rPr>
                <w:b/>
                <w:bCs/>
                <w:szCs w:val="21"/>
                <w:u w:val="single"/>
              </w:rPr>
              <w:t>台</w:t>
            </w:r>
          </w:p>
        </w:tc>
        <w:tc>
          <w:tcPr>
            <w:tcW w:w="881" w:type="dxa"/>
            <w:vAlign w:val="center"/>
          </w:tcPr>
          <w:p>
            <w:pPr>
              <w:autoSpaceDN w:val="0"/>
              <w:jc w:val="center"/>
              <w:textAlignment w:val="center"/>
              <w:rPr>
                <w:b/>
                <w:bCs/>
                <w:szCs w:val="21"/>
                <w:u w:val="single"/>
              </w:rPr>
            </w:pPr>
            <w:r>
              <w:rPr>
                <w:b/>
                <w:bCs/>
                <w:szCs w:val="21"/>
                <w:u w:val="single"/>
              </w:rPr>
              <w:t>1</w:t>
            </w:r>
          </w:p>
        </w:tc>
        <w:tc>
          <w:tcPr>
            <w:tcW w:w="3940" w:type="dxa"/>
            <w:vAlign w:val="center"/>
          </w:tcPr>
          <w:p>
            <w:pPr>
              <w:autoSpaceDN w:val="0"/>
              <w:jc w:val="center"/>
              <w:textAlignment w:val="center"/>
              <w:rPr>
                <w:b/>
                <w:bCs/>
                <w:szCs w:val="21"/>
                <w:u w:val="single"/>
              </w:rPr>
            </w:pPr>
            <w:r>
              <w:rPr>
                <w:b/>
                <w:bCs/>
                <w:szCs w:val="21"/>
                <w:u w:val="single"/>
              </w:rPr>
              <w:t>用于净化食堂油烟</w:t>
            </w:r>
          </w:p>
        </w:tc>
      </w:tr>
    </w:tbl>
    <w:p>
      <w:pPr>
        <w:pStyle w:val="5"/>
        <w:snapToGrid w:val="0"/>
        <w:spacing w:before="0" w:after="0" w:line="520" w:lineRule="exact"/>
        <w:rPr>
          <w:rFonts w:eastAsia="黑体"/>
          <w:b/>
          <w:bCs/>
          <w:sz w:val="24"/>
          <w:szCs w:val="24"/>
          <w:u w:val="single"/>
        </w:rPr>
      </w:pPr>
      <w:bookmarkStart w:id="73" w:name="_Toc311979910"/>
      <w:bookmarkStart w:id="74" w:name="_Toc311979796"/>
      <w:bookmarkStart w:id="75" w:name="_Toc311979842"/>
      <w:bookmarkStart w:id="76" w:name="_Toc388881898"/>
      <w:bookmarkStart w:id="77" w:name="_Toc407001390"/>
      <w:bookmarkStart w:id="78" w:name="_Toc18756"/>
      <w:bookmarkStart w:id="79" w:name="_Toc413166117"/>
      <w:bookmarkStart w:id="80" w:name="_Toc406847397"/>
      <w:r>
        <w:rPr>
          <w:rFonts w:eastAsia="黑体"/>
          <w:b/>
          <w:bCs/>
          <w:sz w:val="24"/>
          <w:szCs w:val="24"/>
          <w:u w:val="single"/>
        </w:rPr>
        <w:t>2.1.4 项目</w:t>
      </w:r>
      <w:bookmarkEnd w:id="73"/>
      <w:bookmarkEnd w:id="74"/>
      <w:bookmarkEnd w:id="75"/>
      <w:bookmarkEnd w:id="76"/>
      <w:r>
        <w:rPr>
          <w:rFonts w:eastAsia="黑体"/>
          <w:b/>
          <w:bCs/>
          <w:sz w:val="24"/>
          <w:szCs w:val="24"/>
          <w:u w:val="single"/>
        </w:rPr>
        <w:t>主要产品方案、养殖规模</w:t>
      </w:r>
      <w:bookmarkEnd w:id="77"/>
      <w:bookmarkEnd w:id="78"/>
      <w:bookmarkEnd w:id="79"/>
      <w:bookmarkEnd w:id="80"/>
    </w:p>
    <w:p>
      <w:pPr>
        <w:pStyle w:val="98"/>
        <w:spacing w:line="520" w:lineRule="exact"/>
        <w:ind w:firstLine="480"/>
        <w:rPr>
          <w:b/>
          <w:bCs/>
          <w:u w:val="single"/>
        </w:rPr>
      </w:pPr>
      <w:r>
        <w:rPr>
          <w:b/>
          <w:bCs/>
          <w:u w:val="single"/>
        </w:rPr>
        <w:t>本项目包括保育猪、育肥猪，规划建设规模为常年存栏量种生猪</w:t>
      </w:r>
      <w:r>
        <w:rPr>
          <w:rFonts w:hint="eastAsia"/>
          <w:b/>
          <w:bCs/>
          <w:u w:val="single"/>
        </w:rPr>
        <w:t>5</w:t>
      </w:r>
      <w:r>
        <w:rPr>
          <w:b/>
          <w:bCs/>
          <w:u w:val="single"/>
        </w:rPr>
        <w:t>0000头，其中包括保育猪</w:t>
      </w:r>
      <w:r>
        <w:rPr>
          <w:rFonts w:hint="eastAsia"/>
          <w:b/>
          <w:bCs/>
          <w:u w:val="single"/>
        </w:rPr>
        <w:t>16667</w:t>
      </w:r>
      <w:r>
        <w:rPr>
          <w:b/>
          <w:bCs/>
          <w:u w:val="single"/>
        </w:rPr>
        <w:t>头，育肥猪</w:t>
      </w:r>
      <w:r>
        <w:rPr>
          <w:rFonts w:hint="eastAsia"/>
          <w:b/>
          <w:bCs/>
          <w:u w:val="single"/>
        </w:rPr>
        <w:t>33333</w:t>
      </w:r>
      <w:r>
        <w:rPr>
          <w:b/>
          <w:bCs/>
          <w:u w:val="single"/>
        </w:rPr>
        <w:t>头项目产品方案及养殖规模见表2.1-6。</w:t>
      </w:r>
    </w:p>
    <w:p>
      <w:pPr>
        <w:spacing w:line="500" w:lineRule="exact"/>
        <w:jc w:val="center"/>
        <w:rPr>
          <w:b/>
          <w:bCs/>
          <w:sz w:val="24"/>
          <w:u w:val="single"/>
        </w:rPr>
      </w:pPr>
      <w:r>
        <w:rPr>
          <w:b/>
          <w:bCs/>
          <w:sz w:val="24"/>
          <w:u w:val="single"/>
        </w:rPr>
        <w:t>表2.1-6     项目养殖规模一览表</w:t>
      </w:r>
    </w:p>
    <w:tbl>
      <w:tblPr>
        <w:tblStyle w:val="44"/>
        <w:tblW w:w="89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2040"/>
        <w:gridCol w:w="1612"/>
        <w:gridCol w:w="1538"/>
        <w:gridCol w:w="37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0" w:hRule="atLeast"/>
          <w:tblHeader/>
          <w:jc w:val="center"/>
        </w:trPr>
        <w:tc>
          <w:tcPr>
            <w:tcW w:w="2040" w:type="dxa"/>
            <w:vAlign w:val="center"/>
          </w:tcPr>
          <w:p>
            <w:pPr>
              <w:widowControl/>
              <w:adjustRightInd w:val="0"/>
              <w:snapToGrid w:val="0"/>
              <w:jc w:val="center"/>
              <w:textAlignment w:val="center"/>
              <w:rPr>
                <w:b/>
                <w:bCs/>
                <w:kern w:val="0"/>
                <w:szCs w:val="21"/>
                <w:u w:val="single"/>
              </w:rPr>
            </w:pPr>
            <w:r>
              <w:rPr>
                <w:b/>
                <w:bCs/>
                <w:kern w:val="0"/>
                <w:szCs w:val="21"/>
                <w:u w:val="single"/>
              </w:rPr>
              <w:t>猪舍类型</w:t>
            </w:r>
          </w:p>
        </w:tc>
        <w:tc>
          <w:tcPr>
            <w:tcW w:w="1612" w:type="dxa"/>
            <w:vAlign w:val="center"/>
          </w:tcPr>
          <w:p>
            <w:pPr>
              <w:widowControl/>
              <w:adjustRightInd w:val="0"/>
              <w:snapToGrid w:val="0"/>
              <w:jc w:val="center"/>
              <w:textAlignment w:val="center"/>
              <w:rPr>
                <w:b/>
                <w:bCs/>
                <w:kern w:val="0"/>
                <w:szCs w:val="21"/>
                <w:u w:val="single"/>
              </w:rPr>
            </w:pPr>
            <w:r>
              <w:rPr>
                <w:b/>
                <w:bCs/>
                <w:kern w:val="0"/>
                <w:szCs w:val="21"/>
                <w:u w:val="single"/>
              </w:rPr>
              <w:t>单元数（舍）</w:t>
            </w:r>
          </w:p>
        </w:tc>
        <w:tc>
          <w:tcPr>
            <w:tcW w:w="1538" w:type="dxa"/>
            <w:vAlign w:val="center"/>
          </w:tcPr>
          <w:p>
            <w:pPr>
              <w:widowControl/>
              <w:adjustRightInd w:val="0"/>
              <w:snapToGrid w:val="0"/>
              <w:jc w:val="center"/>
              <w:textAlignment w:val="center"/>
              <w:rPr>
                <w:b/>
                <w:bCs/>
                <w:kern w:val="0"/>
                <w:szCs w:val="21"/>
                <w:u w:val="single"/>
              </w:rPr>
            </w:pPr>
            <w:r>
              <w:rPr>
                <w:b/>
                <w:bCs/>
                <w:kern w:val="0"/>
                <w:szCs w:val="21"/>
                <w:u w:val="single"/>
              </w:rPr>
              <w:t>存栏数（头）</w:t>
            </w:r>
          </w:p>
        </w:tc>
        <w:tc>
          <w:tcPr>
            <w:tcW w:w="3758" w:type="dxa"/>
            <w:vAlign w:val="center"/>
          </w:tcPr>
          <w:p>
            <w:pPr>
              <w:widowControl/>
              <w:adjustRightInd w:val="0"/>
              <w:snapToGrid w:val="0"/>
              <w:jc w:val="center"/>
              <w:textAlignment w:val="center"/>
              <w:rPr>
                <w:b/>
                <w:bCs/>
                <w:kern w:val="0"/>
                <w:szCs w:val="21"/>
                <w:u w:val="single"/>
              </w:rPr>
            </w:pPr>
            <w:r>
              <w:rPr>
                <w:b/>
                <w:bCs/>
                <w:kern w:val="0"/>
                <w:szCs w:val="21"/>
                <w:u w:val="single"/>
              </w:rPr>
              <w:t>养殖规模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2040" w:type="dxa"/>
            <w:vAlign w:val="center"/>
          </w:tcPr>
          <w:p>
            <w:pPr>
              <w:jc w:val="center"/>
              <w:rPr>
                <w:b/>
                <w:bCs/>
                <w:szCs w:val="21"/>
                <w:u w:val="single"/>
              </w:rPr>
            </w:pPr>
            <w:r>
              <w:rPr>
                <w:b/>
                <w:bCs/>
                <w:szCs w:val="21"/>
                <w:u w:val="single"/>
              </w:rPr>
              <w:t>保育舍肥舍一体舍</w:t>
            </w:r>
          </w:p>
        </w:tc>
        <w:tc>
          <w:tcPr>
            <w:tcW w:w="1612" w:type="dxa"/>
            <w:vAlign w:val="center"/>
          </w:tcPr>
          <w:p>
            <w:pPr>
              <w:widowControl/>
              <w:jc w:val="center"/>
              <w:rPr>
                <w:b/>
                <w:bCs/>
                <w:kern w:val="0"/>
                <w:szCs w:val="21"/>
                <w:u w:val="single"/>
              </w:rPr>
            </w:pPr>
            <w:r>
              <w:rPr>
                <w:b/>
                <w:bCs/>
                <w:szCs w:val="21"/>
                <w:u w:val="single"/>
              </w:rPr>
              <w:t>80</w:t>
            </w:r>
          </w:p>
        </w:tc>
        <w:tc>
          <w:tcPr>
            <w:tcW w:w="1538" w:type="dxa"/>
            <w:vAlign w:val="center"/>
          </w:tcPr>
          <w:p>
            <w:pPr>
              <w:widowControl/>
              <w:adjustRightInd w:val="0"/>
              <w:snapToGrid w:val="0"/>
              <w:jc w:val="center"/>
              <w:textAlignment w:val="center"/>
              <w:rPr>
                <w:b/>
                <w:bCs/>
                <w:kern w:val="0"/>
                <w:szCs w:val="21"/>
                <w:u w:val="single"/>
              </w:rPr>
            </w:pPr>
            <w:r>
              <w:rPr>
                <w:rFonts w:hint="eastAsia"/>
                <w:b/>
                <w:bCs/>
                <w:kern w:val="0"/>
                <w:szCs w:val="21"/>
                <w:u w:val="single"/>
              </w:rPr>
              <w:t>5</w:t>
            </w:r>
            <w:r>
              <w:rPr>
                <w:b/>
                <w:bCs/>
                <w:kern w:val="0"/>
                <w:szCs w:val="21"/>
                <w:u w:val="single"/>
              </w:rPr>
              <w:t>0000</w:t>
            </w:r>
          </w:p>
        </w:tc>
        <w:tc>
          <w:tcPr>
            <w:tcW w:w="3758" w:type="dxa"/>
            <w:vAlign w:val="center"/>
          </w:tcPr>
          <w:p>
            <w:pPr>
              <w:widowControl/>
              <w:adjustRightInd w:val="0"/>
              <w:snapToGrid w:val="0"/>
              <w:jc w:val="center"/>
              <w:textAlignment w:val="center"/>
              <w:rPr>
                <w:b/>
                <w:bCs/>
                <w:kern w:val="0"/>
                <w:szCs w:val="21"/>
                <w:u w:val="single"/>
              </w:rPr>
            </w:pPr>
            <w:r>
              <w:rPr>
                <w:b/>
                <w:bCs/>
                <w:kern w:val="0"/>
                <w:szCs w:val="21"/>
                <w:u w:val="single"/>
              </w:rPr>
              <w:t>出栏</w:t>
            </w:r>
            <w:r>
              <w:rPr>
                <w:rFonts w:hint="eastAsia"/>
                <w:b/>
                <w:bCs/>
                <w:kern w:val="0"/>
                <w:szCs w:val="21"/>
                <w:u w:val="single"/>
              </w:rPr>
              <w:t>12.5万</w:t>
            </w:r>
            <w:r>
              <w:rPr>
                <w:b/>
                <w:bCs/>
                <w:kern w:val="0"/>
                <w:szCs w:val="21"/>
                <w:u w:val="single"/>
              </w:rPr>
              <w:t>/a头商品猪</w:t>
            </w:r>
          </w:p>
        </w:tc>
      </w:tr>
    </w:tbl>
    <w:p>
      <w:pPr>
        <w:spacing w:line="520" w:lineRule="exact"/>
        <w:ind w:firstLine="482" w:firstLineChars="200"/>
        <w:rPr>
          <w:rFonts w:hint="eastAsia" w:ascii="Times New Roman" w:hAnsi="Times New Roman"/>
          <w:b/>
          <w:bCs/>
          <w:sz w:val="24"/>
          <w:szCs w:val="24"/>
          <w:u w:val="single"/>
        </w:rPr>
      </w:pPr>
      <w:bookmarkStart w:id="81" w:name="_Toc16625"/>
      <w:bookmarkStart w:id="82" w:name="_Toc269400662"/>
      <w:r>
        <w:rPr>
          <w:rFonts w:hint="eastAsia" w:ascii="Times New Roman" w:hAnsi="Times New Roman"/>
          <w:b/>
          <w:bCs/>
          <w:sz w:val="24"/>
          <w:szCs w:val="24"/>
          <w:u w:val="single"/>
        </w:rPr>
        <w:t>项目养殖规模为年出栏</w:t>
      </w:r>
      <w:r>
        <w:rPr>
          <w:rFonts w:hint="eastAsia" w:ascii="Times New Roman" w:hAnsi="Times New Roman"/>
          <w:b/>
          <w:bCs/>
          <w:color w:val="000000"/>
          <w:sz w:val="24"/>
          <w:u w:val="single"/>
        </w:rPr>
        <w:t>1</w:t>
      </w:r>
      <w:r>
        <w:rPr>
          <w:rFonts w:hint="eastAsia"/>
          <w:b/>
          <w:bCs/>
          <w:color w:val="000000"/>
          <w:sz w:val="24"/>
          <w:u w:val="single"/>
          <w:lang w:val="en-US" w:eastAsia="zh-CN"/>
        </w:rPr>
        <w:t>2.5</w:t>
      </w:r>
      <w:r>
        <w:rPr>
          <w:rFonts w:ascii="Times New Roman" w:hAnsi="Times New Roman"/>
          <w:b/>
          <w:bCs/>
          <w:color w:val="000000"/>
          <w:sz w:val="24"/>
          <w:u w:val="single"/>
        </w:rPr>
        <w:t>万头育肥猪</w:t>
      </w:r>
      <w:r>
        <w:rPr>
          <w:rFonts w:hint="eastAsia" w:ascii="Times New Roman" w:hAnsi="Times New Roman"/>
          <w:b/>
          <w:bCs/>
          <w:color w:val="000000"/>
          <w:sz w:val="24"/>
          <w:u w:val="single"/>
        </w:rPr>
        <w:t>，项目位于农村地区，周边为大面积农田，根据本次评价核算，项目粪污经盖泄湖沼气池处理后所需农田消纳面积为2</w:t>
      </w:r>
      <w:r>
        <w:rPr>
          <w:rFonts w:hint="eastAsia"/>
          <w:b/>
          <w:bCs/>
          <w:color w:val="000000"/>
          <w:sz w:val="24"/>
          <w:u w:val="single"/>
          <w:lang w:val="en-US" w:eastAsia="zh-CN"/>
        </w:rPr>
        <w:t>105</w:t>
      </w:r>
      <w:r>
        <w:rPr>
          <w:rFonts w:hint="eastAsia" w:ascii="Times New Roman" w:hAnsi="Times New Roman"/>
          <w:b/>
          <w:bCs/>
          <w:color w:val="000000"/>
          <w:sz w:val="24"/>
          <w:u w:val="single"/>
        </w:rPr>
        <w:t>亩，根据建设单位提供资料，项目周边距离较近的</w:t>
      </w:r>
      <w:r>
        <w:rPr>
          <w:rFonts w:hint="eastAsia"/>
          <w:b/>
          <w:bCs w:val="0"/>
          <w:color w:val="000000" w:themeColor="text1"/>
          <w:sz w:val="24"/>
          <w:u w:val="single"/>
          <w:lang w:val="zh-CN"/>
        </w:rPr>
        <w:t>邢寨村</w:t>
      </w:r>
      <w:r>
        <w:rPr>
          <w:b/>
          <w:bCs w:val="0"/>
          <w:color w:val="000000" w:themeColor="text1"/>
          <w:sz w:val="24"/>
          <w:u w:val="single"/>
          <w:lang w:val="zh-CN"/>
        </w:rPr>
        <w:t>，</w:t>
      </w:r>
      <w:r>
        <w:rPr>
          <w:rFonts w:hint="eastAsia"/>
          <w:b/>
          <w:bCs w:val="0"/>
          <w:color w:val="000000" w:themeColor="text1"/>
          <w:sz w:val="24"/>
          <w:u w:val="single"/>
          <w:lang w:val="zh-CN"/>
        </w:rPr>
        <w:t>老任村</w:t>
      </w:r>
      <w:r>
        <w:rPr>
          <w:b/>
          <w:bCs w:val="0"/>
          <w:color w:val="000000" w:themeColor="text1"/>
          <w:sz w:val="24"/>
          <w:u w:val="single"/>
          <w:lang w:val="zh-CN"/>
        </w:rPr>
        <w:t>，</w:t>
      </w:r>
      <w:r>
        <w:rPr>
          <w:rFonts w:hint="eastAsia"/>
          <w:b/>
          <w:bCs w:val="0"/>
          <w:color w:val="000000" w:themeColor="text1"/>
          <w:sz w:val="24"/>
          <w:u w:val="single"/>
          <w:lang w:val="zh-CN"/>
        </w:rPr>
        <w:t>后湾村</w:t>
      </w:r>
      <w:r>
        <w:rPr>
          <w:b/>
          <w:bCs w:val="0"/>
          <w:color w:val="000000" w:themeColor="text1"/>
          <w:sz w:val="24"/>
          <w:u w:val="single"/>
          <w:lang w:val="zh-CN"/>
        </w:rPr>
        <w:t>，</w:t>
      </w:r>
      <w:r>
        <w:rPr>
          <w:rFonts w:hint="eastAsia"/>
          <w:b/>
          <w:bCs w:val="0"/>
          <w:color w:val="000000" w:themeColor="text1"/>
          <w:sz w:val="24"/>
          <w:u w:val="single"/>
          <w:lang w:val="zh-CN"/>
        </w:rPr>
        <w:t>仙翁庙村</w:t>
      </w:r>
      <w:r>
        <w:rPr>
          <w:rFonts w:hint="eastAsia" w:ascii="Times New Roman" w:hAnsi="Times New Roman"/>
          <w:b/>
          <w:bCs/>
          <w:color w:val="000000"/>
          <w:sz w:val="24"/>
          <w:u w:val="single"/>
        </w:rPr>
        <w:t>等村庄可利用的农田消纳面积约</w:t>
      </w:r>
      <w:r>
        <w:rPr>
          <w:rFonts w:hint="eastAsia"/>
          <w:b/>
          <w:bCs/>
          <w:color w:val="000000"/>
          <w:sz w:val="24"/>
          <w:u w:val="single"/>
          <w:lang w:val="en-US" w:eastAsia="zh-CN"/>
        </w:rPr>
        <w:t>65</w:t>
      </w:r>
      <w:r>
        <w:rPr>
          <w:rFonts w:hint="eastAsia" w:ascii="Times New Roman" w:hAnsi="Times New Roman"/>
          <w:b/>
          <w:bCs/>
          <w:color w:val="000000"/>
          <w:sz w:val="24"/>
          <w:u w:val="single"/>
        </w:rPr>
        <w:t>00亩，粪污消纳土地数量不会对本项目养殖规模产生制约，从粪污消纳角度考虑，项目养殖规模是合理的，本项目已签订沼液消纳面积3</w:t>
      </w:r>
      <w:r>
        <w:rPr>
          <w:rFonts w:hint="eastAsia"/>
          <w:b/>
          <w:bCs/>
          <w:color w:val="000000"/>
          <w:sz w:val="24"/>
          <w:u w:val="single"/>
          <w:lang w:val="en-US" w:eastAsia="zh-CN"/>
        </w:rPr>
        <w:t>200</w:t>
      </w:r>
      <w:r>
        <w:rPr>
          <w:rFonts w:hint="eastAsia" w:ascii="Times New Roman" w:hAnsi="Times New Roman"/>
          <w:b/>
          <w:bCs/>
          <w:color w:val="000000"/>
          <w:sz w:val="24"/>
          <w:u w:val="single"/>
        </w:rPr>
        <w:t>亩，可满足本项目粪污消纳需求。</w:t>
      </w:r>
    </w:p>
    <w:p>
      <w:pPr>
        <w:pStyle w:val="5"/>
        <w:snapToGrid w:val="0"/>
        <w:spacing w:before="0" w:after="0" w:line="520" w:lineRule="exact"/>
        <w:rPr>
          <w:rFonts w:eastAsia="黑体"/>
          <w:b/>
          <w:bCs/>
          <w:sz w:val="24"/>
          <w:szCs w:val="24"/>
          <w:u w:val="single"/>
        </w:rPr>
      </w:pPr>
      <w:r>
        <w:rPr>
          <w:rFonts w:eastAsia="黑体"/>
          <w:b/>
          <w:bCs/>
          <w:sz w:val="24"/>
          <w:szCs w:val="24"/>
          <w:u w:val="single"/>
        </w:rPr>
        <w:t>2.1.5 主要原辅材料及动力消耗</w:t>
      </w:r>
      <w:bookmarkEnd w:id="81"/>
    </w:p>
    <w:p>
      <w:pPr>
        <w:pStyle w:val="156"/>
        <w:rPr>
          <w:b/>
          <w:bCs/>
          <w:u w:val="single"/>
        </w:rPr>
      </w:pPr>
      <w:r>
        <w:rPr>
          <w:b/>
          <w:bCs/>
          <w:u w:val="single"/>
        </w:rPr>
        <w:t>（1）饲料来源及储存方式</w:t>
      </w:r>
    </w:p>
    <w:p>
      <w:pPr>
        <w:spacing w:line="520" w:lineRule="exact"/>
        <w:ind w:firstLine="472" w:firstLineChars="196"/>
        <w:rPr>
          <w:b/>
          <w:bCs/>
          <w:sz w:val="24"/>
          <w:u w:val="single"/>
        </w:rPr>
      </w:pPr>
      <w:r>
        <w:rPr>
          <w:b/>
          <w:bCs/>
          <w:sz w:val="24"/>
          <w:u w:val="single"/>
        </w:rPr>
        <w:t>本项目场区内不设饲料制作车间，全部饲料均由牧原配套的饲料加工厂统一配送，采用全自动配送上料系统和限位猪槽，机械化操作，定时定量供应饲料，保证生猪饮食需求。</w:t>
      </w:r>
    </w:p>
    <w:p>
      <w:pPr>
        <w:pStyle w:val="98"/>
        <w:spacing w:line="520" w:lineRule="exact"/>
        <w:ind w:firstLine="480"/>
        <w:rPr>
          <w:b/>
          <w:bCs/>
          <w:u w:val="single"/>
        </w:rPr>
      </w:pPr>
      <w:r>
        <w:rPr>
          <w:b/>
          <w:bCs/>
          <w:u w:val="single"/>
        </w:rPr>
        <w:t>项目饲料用量见表2.1-7。</w:t>
      </w:r>
    </w:p>
    <w:p>
      <w:pPr>
        <w:spacing w:afterLines="30" w:line="520" w:lineRule="exact"/>
        <w:jc w:val="center"/>
        <w:rPr>
          <w:b/>
          <w:bCs/>
          <w:sz w:val="24"/>
          <w:u w:val="single"/>
        </w:rPr>
      </w:pPr>
      <w:r>
        <w:rPr>
          <w:b/>
          <w:bCs/>
          <w:sz w:val="24"/>
          <w:u w:val="single"/>
        </w:rPr>
        <w:t>表2.1-7   项目饲料用量一览表</w:t>
      </w:r>
    </w:p>
    <w:tbl>
      <w:tblPr>
        <w:tblStyle w:val="44"/>
        <w:tblW w:w="89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1841"/>
        <w:gridCol w:w="1921"/>
        <w:gridCol w:w="1798"/>
        <w:gridCol w:w="1831"/>
        <w:gridCol w:w="15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tblHeader/>
          <w:jc w:val="center"/>
        </w:trPr>
        <w:tc>
          <w:tcPr>
            <w:tcW w:w="1841" w:type="dxa"/>
            <w:vAlign w:val="center"/>
          </w:tcPr>
          <w:p>
            <w:pPr>
              <w:jc w:val="center"/>
              <w:rPr>
                <w:b/>
                <w:bCs/>
                <w:szCs w:val="21"/>
                <w:u w:val="single"/>
              </w:rPr>
            </w:pPr>
            <w:r>
              <w:rPr>
                <w:b/>
                <w:bCs/>
                <w:szCs w:val="21"/>
                <w:u w:val="single"/>
              </w:rPr>
              <w:t>猪只类型</w:t>
            </w:r>
          </w:p>
        </w:tc>
        <w:tc>
          <w:tcPr>
            <w:tcW w:w="1921" w:type="dxa"/>
            <w:vAlign w:val="center"/>
          </w:tcPr>
          <w:p>
            <w:pPr>
              <w:jc w:val="center"/>
              <w:rPr>
                <w:b/>
                <w:bCs/>
                <w:szCs w:val="21"/>
                <w:u w:val="single"/>
              </w:rPr>
            </w:pPr>
            <w:r>
              <w:rPr>
                <w:b/>
                <w:bCs/>
                <w:szCs w:val="21"/>
                <w:u w:val="single"/>
              </w:rPr>
              <w:t>存栏规模（头）</w:t>
            </w:r>
          </w:p>
        </w:tc>
        <w:tc>
          <w:tcPr>
            <w:tcW w:w="1798" w:type="dxa"/>
            <w:vAlign w:val="center"/>
          </w:tcPr>
          <w:p>
            <w:pPr>
              <w:jc w:val="center"/>
              <w:rPr>
                <w:b/>
                <w:bCs/>
                <w:szCs w:val="21"/>
                <w:u w:val="single"/>
              </w:rPr>
            </w:pPr>
            <w:r>
              <w:rPr>
                <w:b/>
                <w:bCs/>
                <w:szCs w:val="21"/>
                <w:u w:val="single"/>
              </w:rPr>
              <w:t>消耗定额</w:t>
            </w:r>
          </w:p>
          <w:p>
            <w:pPr>
              <w:jc w:val="center"/>
              <w:rPr>
                <w:b/>
                <w:bCs/>
                <w:szCs w:val="21"/>
                <w:u w:val="single"/>
              </w:rPr>
            </w:pPr>
            <w:r>
              <w:rPr>
                <w:b/>
                <w:bCs/>
                <w:szCs w:val="21"/>
                <w:u w:val="single"/>
              </w:rPr>
              <w:t>（kg/d·头）</w:t>
            </w:r>
          </w:p>
        </w:tc>
        <w:tc>
          <w:tcPr>
            <w:tcW w:w="1831" w:type="dxa"/>
            <w:vAlign w:val="center"/>
          </w:tcPr>
          <w:p>
            <w:pPr>
              <w:jc w:val="center"/>
              <w:rPr>
                <w:b/>
                <w:bCs/>
                <w:szCs w:val="21"/>
                <w:u w:val="single"/>
              </w:rPr>
            </w:pPr>
            <w:r>
              <w:rPr>
                <w:b/>
                <w:bCs/>
                <w:szCs w:val="21"/>
                <w:u w:val="single"/>
              </w:rPr>
              <w:t>日消耗量（t/d）</w:t>
            </w:r>
          </w:p>
        </w:tc>
        <w:tc>
          <w:tcPr>
            <w:tcW w:w="1557" w:type="dxa"/>
            <w:vAlign w:val="center"/>
          </w:tcPr>
          <w:p>
            <w:pPr>
              <w:jc w:val="center"/>
              <w:rPr>
                <w:b/>
                <w:bCs/>
                <w:szCs w:val="21"/>
                <w:u w:val="single"/>
              </w:rPr>
            </w:pPr>
            <w:r>
              <w:rPr>
                <w:b/>
                <w:bCs/>
                <w:szCs w:val="21"/>
                <w:u w:val="single"/>
              </w:rPr>
              <w:t>年消耗量（t/a）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72" w:hRule="atLeast"/>
          <w:jc w:val="center"/>
        </w:trPr>
        <w:tc>
          <w:tcPr>
            <w:tcW w:w="1841" w:type="dxa"/>
            <w:vAlign w:val="center"/>
          </w:tcPr>
          <w:p>
            <w:pPr>
              <w:jc w:val="center"/>
              <w:rPr>
                <w:b/>
                <w:bCs/>
                <w:szCs w:val="21"/>
                <w:u w:val="single"/>
              </w:rPr>
            </w:pPr>
            <w:r>
              <w:rPr>
                <w:b/>
                <w:bCs/>
                <w:szCs w:val="21"/>
                <w:u w:val="single"/>
              </w:rPr>
              <w:t>保育猪</w:t>
            </w:r>
          </w:p>
        </w:tc>
        <w:tc>
          <w:tcPr>
            <w:tcW w:w="1921" w:type="dxa"/>
            <w:vAlign w:val="center"/>
          </w:tcPr>
          <w:p>
            <w:pPr>
              <w:jc w:val="center"/>
              <w:rPr>
                <w:b/>
                <w:bCs/>
                <w:szCs w:val="21"/>
                <w:u w:val="single"/>
              </w:rPr>
            </w:pPr>
            <w:r>
              <w:rPr>
                <w:rFonts w:hint="eastAsia"/>
                <w:b/>
                <w:bCs/>
                <w:szCs w:val="21"/>
                <w:u w:val="single"/>
              </w:rPr>
              <w:t>16667</w:t>
            </w:r>
          </w:p>
        </w:tc>
        <w:tc>
          <w:tcPr>
            <w:tcW w:w="1798" w:type="dxa"/>
            <w:vAlign w:val="center"/>
          </w:tcPr>
          <w:p>
            <w:pPr>
              <w:jc w:val="center"/>
              <w:rPr>
                <w:b/>
                <w:bCs/>
                <w:szCs w:val="21"/>
                <w:u w:val="single"/>
              </w:rPr>
            </w:pPr>
            <w:r>
              <w:rPr>
                <w:b/>
                <w:bCs/>
                <w:szCs w:val="21"/>
                <w:u w:val="single"/>
              </w:rPr>
              <w:t>0.8</w:t>
            </w:r>
          </w:p>
        </w:tc>
        <w:tc>
          <w:tcPr>
            <w:tcW w:w="1831" w:type="dxa"/>
            <w:vAlign w:val="bottom"/>
          </w:tcPr>
          <w:p>
            <w:pPr>
              <w:jc w:val="center"/>
              <w:rPr>
                <w:b/>
                <w:bCs/>
                <w:szCs w:val="21"/>
                <w:u w:val="single"/>
              </w:rPr>
            </w:pPr>
            <w:r>
              <w:rPr>
                <w:b/>
                <w:bCs/>
                <w:szCs w:val="21"/>
                <w:u w:val="single"/>
              </w:rPr>
              <w:t xml:space="preserve">13 </w:t>
            </w:r>
          </w:p>
        </w:tc>
        <w:tc>
          <w:tcPr>
            <w:tcW w:w="1557" w:type="dxa"/>
            <w:vAlign w:val="bottom"/>
          </w:tcPr>
          <w:p>
            <w:pPr>
              <w:jc w:val="center"/>
              <w:rPr>
                <w:b/>
                <w:bCs/>
                <w:sz w:val="22"/>
                <w:szCs w:val="22"/>
                <w:u w:val="single"/>
              </w:rPr>
            </w:pPr>
            <w:r>
              <w:rPr>
                <w:b/>
                <w:bCs/>
                <w:sz w:val="22"/>
                <w:szCs w:val="22"/>
                <w:u w:val="single"/>
              </w:rPr>
              <w:t xml:space="preserve">4867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91" w:hRule="atLeast"/>
          <w:jc w:val="center"/>
        </w:trPr>
        <w:tc>
          <w:tcPr>
            <w:tcW w:w="1841" w:type="dxa"/>
            <w:vAlign w:val="center"/>
          </w:tcPr>
          <w:p>
            <w:pPr>
              <w:jc w:val="center"/>
              <w:rPr>
                <w:b/>
                <w:bCs/>
                <w:szCs w:val="21"/>
                <w:u w:val="single"/>
              </w:rPr>
            </w:pPr>
            <w:r>
              <w:rPr>
                <w:b/>
                <w:bCs/>
                <w:szCs w:val="21"/>
                <w:u w:val="single"/>
              </w:rPr>
              <w:t>育肥猪</w:t>
            </w:r>
          </w:p>
        </w:tc>
        <w:tc>
          <w:tcPr>
            <w:tcW w:w="1921" w:type="dxa"/>
            <w:vAlign w:val="center"/>
          </w:tcPr>
          <w:p>
            <w:pPr>
              <w:jc w:val="center"/>
              <w:rPr>
                <w:b/>
                <w:bCs/>
                <w:szCs w:val="21"/>
                <w:u w:val="single"/>
              </w:rPr>
            </w:pPr>
            <w:r>
              <w:rPr>
                <w:rFonts w:hint="eastAsia"/>
                <w:b/>
                <w:bCs/>
                <w:szCs w:val="21"/>
                <w:u w:val="single"/>
              </w:rPr>
              <w:t>33333</w:t>
            </w:r>
          </w:p>
        </w:tc>
        <w:tc>
          <w:tcPr>
            <w:tcW w:w="1798" w:type="dxa"/>
            <w:vAlign w:val="center"/>
          </w:tcPr>
          <w:p>
            <w:pPr>
              <w:jc w:val="center"/>
              <w:rPr>
                <w:b/>
                <w:bCs/>
                <w:szCs w:val="21"/>
                <w:u w:val="single"/>
              </w:rPr>
            </w:pPr>
            <w:r>
              <w:rPr>
                <w:b/>
                <w:bCs/>
                <w:szCs w:val="21"/>
                <w:u w:val="single"/>
              </w:rPr>
              <w:t>2</w:t>
            </w:r>
          </w:p>
        </w:tc>
        <w:tc>
          <w:tcPr>
            <w:tcW w:w="1831" w:type="dxa"/>
            <w:vAlign w:val="bottom"/>
          </w:tcPr>
          <w:p>
            <w:pPr>
              <w:jc w:val="center"/>
              <w:rPr>
                <w:b/>
                <w:bCs/>
                <w:szCs w:val="21"/>
                <w:u w:val="single"/>
              </w:rPr>
            </w:pPr>
            <w:r>
              <w:rPr>
                <w:b/>
                <w:bCs/>
                <w:szCs w:val="21"/>
                <w:u w:val="single"/>
              </w:rPr>
              <w:t xml:space="preserve">67 </w:t>
            </w:r>
          </w:p>
        </w:tc>
        <w:tc>
          <w:tcPr>
            <w:tcW w:w="1557" w:type="dxa"/>
            <w:vAlign w:val="bottom"/>
          </w:tcPr>
          <w:p>
            <w:pPr>
              <w:jc w:val="center"/>
              <w:rPr>
                <w:b/>
                <w:bCs/>
                <w:sz w:val="22"/>
                <w:szCs w:val="22"/>
                <w:u w:val="single"/>
              </w:rPr>
            </w:pPr>
            <w:r>
              <w:rPr>
                <w:b/>
                <w:bCs/>
                <w:sz w:val="22"/>
                <w:szCs w:val="22"/>
                <w:u w:val="single"/>
              </w:rPr>
              <w:t xml:space="preserve">24333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9" w:hRule="atLeast"/>
          <w:jc w:val="center"/>
        </w:trPr>
        <w:tc>
          <w:tcPr>
            <w:tcW w:w="5560" w:type="dxa"/>
            <w:gridSpan w:val="3"/>
            <w:vAlign w:val="center"/>
          </w:tcPr>
          <w:p>
            <w:pPr>
              <w:jc w:val="center"/>
              <w:rPr>
                <w:b/>
                <w:bCs/>
                <w:szCs w:val="21"/>
                <w:u w:val="single"/>
              </w:rPr>
            </w:pPr>
            <w:r>
              <w:rPr>
                <w:b/>
                <w:bCs/>
                <w:szCs w:val="21"/>
                <w:u w:val="single"/>
              </w:rPr>
              <w:t>合计</w:t>
            </w:r>
          </w:p>
        </w:tc>
        <w:tc>
          <w:tcPr>
            <w:tcW w:w="1831" w:type="dxa"/>
            <w:vAlign w:val="bottom"/>
          </w:tcPr>
          <w:p>
            <w:pPr>
              <w:jc w:val="center"/>
              <w:rPr>
                <w:rFonts w:ascii="Calibri" w:hAnsi="Calibri" w:cs="宋体"/>
                <w:b/>
                <w:bCs/>
                <w:sz w:val="22"/>
                <w:szCs w:val="22"/>
                <w:u w:val="single"/>
              </w:rPr>
            </w:pPr>
            <w:r>
              <w:rPr>
                <w:rFonts w:ascii="Calibri" w:hAnsi="Calibri"/>
                <w:b/>
                <w:bCs/>
                <w:sz w:val="22"/>
                <w:szCs w:val="22"/>
                <w:u w:val="single"/>
              </w:rPr>
              <w:t>80</w:t>
            </w:r>
          </w:p>
        </w:tc>
        <w:tc>
          <w:tcPr>
            <w:tcW w:w="1557" w:type="dxa"/>
            <w:vAlign w:val="bottom"/>
          </w:tcPr>
          <w:p>
            <w:pPr>
              <w:jc w:val="center"/>
              <w:rPr>
                <w:rFonts w:ascii="Calibri" w:hAnsi="Calibri" w:cs="宋体"/>
                <w:b/>
                <w:bCs/>
                <w:sz w:val="22"/>
                <w:szCs w:val="22"/>
                <w:u w:val="single"/>
              </w:rPr>
            </w:pPr>
            <w:r>
              <w:rPr>
                <w:rFonts w:ascii="Calibri" w:hAnsi="Calibri"/>
                <w:b/>
                <w:bCs/>
                <w:sz w:val="22"/>
                <w:szCs w:val="22"/>
                <w:u w:val="single"/>
              </w:rPr>
              <w:t>29200</w:t>
            </w:r>
          </w:p>
        </w:tc>
      </w:tr>
    </w:tbl>
    <w:p>
      <w:pPr>
        <w:pStyle w:val="98"/>
        <w:spacing w:line="520" w:lineRule="exact"/>
        <w:ind w:firstLine="480"/>
        <w:rPr>
          <w:b/>
          <w:bCs/>
          <w:u w:val="single"/>
        </w:rPr>
      </w:pPr>
      <w:r>
        <w:rPr>
          <w:b/>
          <w:bCs/>
          <w:u w:val="single"/>
        </w:rPr>
        <w:t>（2）辅助材料消耗</w:t>
      </w:r>
    </w:p>
    <w:p>
      <w:pPr>
        <w:pStyle w:val="98"/>
        <w:spacing w:line="520" w:lineRule="exact"/>
        <w:ind w:firstLine="480"/>
        <w:rPr>
          <w:b/>
          <w:bCs/>
          <w:u w:val="single"/>
        </w:rPr>
      </w:pPr>
      <w:r>
        <w:rPr>
          <w:b/>
          <w:bCs/>
          <w:u w:val="single"/>
        </w:rPr>
        <w:t>项目辅助材料主要包括植物除臭剂、脱硫剂、消毒药品及防疫药品。其中植物除臭剂为喷洒在猪舍、沼气工程、堆肥区和沼液暂存池等区域，用来抑制恶臭的产生，植物除臭剂1kg可喷洒500m</w:t>
      </w:r>
      <w:r>
        <w:rPr>
          <w:b/>
          <w:bCs/>
          <w:u w:val="single"/>
          <w:vertAlign w:val="superscript"/>
        </w:rPr>
        <w:t>2</w:t>
      </w:r>
      <w:r>
        <w:rPr>
          <w:b/>
          <w:bCs/>
          <w:u w:val="single"/>
        </w:rPr>
        <w:t>，项目植物除臭剂总用量约0.6t/a；脱硫剂为氧化铁，用来对沼气净化脱硫，项目脱硫剂总用量为0.5t/a；消毒剂主要用于公司日常对人员、猪舍及进出场区的车辆消毒，总用量约为2.8t/a；项目防疫药品的种类为伪狂犬疫苗、猪瘟疫苗、口蹄疫疫苗、蓝耳病疫苗4种，本项目年共需防疫药品约0.625t/a。</w:t>
      </w:r>
    </w:p>
    <w:p>
      <w:pPr>
        <w:pStyle w:val="98"/>
        <w:spacing w:line="520" w:lineRule="exact"/>
        <w:ind w:firstLine="480"/>
        <w:rPr>
          <w:b/>
          <w:bCs/>
          <w:u w:val="single"/>
        </w:rPr>
      </w:pPr>
      <w:r>
        <w:rPr>
          <w:b/>
          <w:bCs/>
          <w:u w:val="single"/>
        </w:rPr>
        <w:t>（3）项目主要辅助材料及资源能源消耗汇总</w:t>
      </w:r>
    </w:p>
    <w:p>
      <w:pPr>
        <w:pStyle w:val="98"/>
        <w:spacing w:line="520" w:lineRule="exact"/>
        <w:ind w:firstLine="480"/>
        <w:rPr>
          <w:b/>
          <w:bCs/>
          <w:u w:val="single"/>
        </w:rPr>
      </w:pPr>
      <w:r>
        <w:rPr>
          <w:b/>
          <w:bCs/>
          <w:u w:val="single"/>
        </w:rPr>
        <w:t>项目建成后，主要辅助材料及资源能源消耗汇总见下表2.1-8。</w:t>
      </w:r>
    </w:p>
    <w:p>
      <w:pPr>
        <w:spacing w:afterLines="30" w:line="520" w:lineRule="exact"/>
        <w:jc w:val="center"/>
        <w:rPr>
          <w:b/>
          <w:bCs/>
          <w:sz w:val="24"/>
          <w:u w:val="single"/>
        </w:rPr>
      </w:pPr>
      <w:r>
        <w:rPr>
          <w:b/>
          <w:bCs/>
          <w:sz w:val="24"/>
          <w:u w:val="single"/>
        </w:rPr>
        <w:t>表2.1-8   项目主要辅助材料及资源能源消耗一览表</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1808"/>
        <w:gridCol w:w="1134"/>
        <w:gridCol w:w="1560"/>
        <w:gridCol w:w="44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tblHeader/>
          <w:jc w:val="center"/>
        </w:trPr>
        <w:tc>
          <w:tcPr>
            <w:tcW w:w="1808" w:type="dxa"/>
            <w:vAlign w:val="center"/>
          </w:tcPr>
          <w:p>
            <w:pPr>
              <w:jc w:val="center"/>
              <w:rPr>
                <w:b/>
                <w:bCs/>
                <w:szCs w:val="21"/>
                <w:u w:val="single"/>
              </w:rPr>
            </w:pPr>
            <w:r>
              <w:rPr>
                <w:b/>
                <w:bCs/>
                <w:szCs w:val="21"/>
                <w:u w:val="single"/>
              </w:rPr>
              <w:t>资源能源名称</w:t>
            </w:r>
          </w:p>
        </w:tc>
        <w:tc>
          <w:tcPr>
            <w:tcW w:w="1134" w:type="dxa"/>
            <w:vAlign w:val="center"/>
          </w:tcPr>
          <w:p>
            <w:pPr>
              <w:jc w:val="center"/>
              <w:rPr>
                <w:b/>
                <w:bCs/>
                <w:szCs w:val="21"/>
                <w:u w:val="single"/>
              </w:rPr>
            </w:pPr>
            <w:r>
              <w:rPr>
                <w:b/>
                <w:bCs/>
                <w:szCs w:val="21"/>
                <w:u w:val="single"/>
              </w:rPr>
              <w:t>单位</w:t>
            </w:r>
          </w:p>
        </w:tc>
        <w:tc>
          <w:tcPr>
            <w:tcW w:w="1560" w:type="dxa"/>
            <w:vAlign w:val="center"/>
          </w:tcPr>
          <w:p>
            <w:pPr>
              <w:jc w:val="center"/>
              <w:rPr>
                <w:b/>
                <w:bCs/>
                <w:szCs w:val="21"/>
                <w:u w:val="single"/>
              </w:rPr>
            </w:pPr>
            <w:r>
              <w:rPr>
                <w:b/>
                <w:bCs/>
                <w:szCs w:val="21"/>
                <w:u w:val="single"/>
              </w:rPr>
              <w:t>数量</w:t>
            </w:r>
          </w:p>
        </w:tc>
        <w:tc>
          <w:tcPr>
            <w:tcW w:w="4444" w:type="dxa"/>
            <w:vAlign w:val="center"/>
          </w:tcPr>
          <w:p>
            <w:pPr>
              <w:jc w:val="center"/>
              <w:rPr>
                <w:b/>
                <w:bCs/>
                <w:szCs w:val="21"/>
                <w:u w:val="single"/>
              </w:rPr>
            </w:pPr>
            <w:r>
              <w:rPr>
                <w:b/>
                <w:bCs/>
                <w:szCs w:val="21"/>
                <w:u w:val="single"/>
              </w:rPr>
              <w:t>储存方式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64" w:hRule="atLeast"/>
          <w:jc w:val="center"/>
        </w:trPr>
        <w:tc>
          <w:tcPr>
            <w:tcW w:w="1808" w:type="dxa"/>
            <w:vAlign w:val="center"/>
          </w:tcPr>
          <w:p>
            <w:pPr>
              <w:jc w:val="center"/>
              <w:rPr>
                <w:b/>
                <w:bCs/>
                <w:szCs w:val="21"/>
                <w:u w:val="single"/>
              </w:rPr>
            </w:pPr>
            <w:r>
              <w:rPr>
                <w:b/>
                <w:bCs/>
                <w:szCs w:val="21"/>
                <w:u w:val="single"/>
              </w:rPr>
              <w:t>电</w:t>
            </w:r>
          </w:p>
        </w:tc>
        <w:tc>
          <w:tcPr>
            <w:tcW w:w="1134" w:type="dxa"/>
            <w:vAlign w:val="center"/>
          </w:tcPr>
          <w:p>
            <w:pPr>
              <w:jc w:val="center"/>
              <w:rPr>
                <w:b/>
                <w:bCs/>
                <w:szCs w:val="21"/>
                <w:u w:val="single"/>
              </w:rPr>
            </w:pPr>
            <w:r>
              <w:rPr>
                <w:b/>
                <w:bCs/>
                <w:szCs w:val="21"/>
                <w:u w:val="single"/>
              </w:rPr>
              <w:t>万度/年</w:t>
            </w:r>
          </w:p>
        </w:tc>
        <w:tc>
          <w:tcPr>
            <w:tcW w:w="1560" w:type="dxa"/>
            <w:vAlign w:val="center"/>
          </w:tcPr>
          <w:p>
            <w:pPr>
              <w:jc w:val="center"/>
              <w:rPr>
                <w:b/>
                <w:bCs/>
                <w:szCs w:val="21"/>
                <w:u w:val="single"/>
              </w:rPr>
            </w:pPr>
            <w:r>
              <w:rPr>
                <w:b/>
                <w:bCs/>
                <w:kern w:val="0"/>
                <w:szCs w:val="21"/>
                <w:u w:val="single"/>
              </w:rPr>
              <w:t>120</w:t>
            </w:r>
          </w:p>
        </w:tc>
        <w:tc>
          <w:tcPr>
            <w:tcW w:w="4444" w:type="dxa"/>
            <w:vAlign w:val="center"/>
          </w:tcPr>
          <w:p>
            <w:pPr>
              <w:jc w:val="center"/>
              <w:rPr>
                <w:b/>
                <w:bCs/>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73" w:hRule="atLeast"/>
          <w:jc w:val="center"/>
        </w:trPr>
        <w:tc>
          <w:tcPr>
            <w:tcW w:w="1808" w:type="dxa"/>
            <w:vAlign w:val="center"/>
          </w:tcPr>
          <w:p>
            <w:pPr>
              <w:jc w:val="center"/>
              <w:rPr>
                <w:b/>
                <w:bCs/>
                <w:szCs w:val="21"/>
                <w:u w:val="single"/>
              </w:rPr>
            </w:pPr>
            <w:r>
              <w:rPr>
                <w:b/>
                <w:bCs/>
                <w:szCs w:val="21"/>
                <w:u w:val="single"/>
              </w:rPr>
              <w:t>水</w:t>
            </w:r>
          </w:p>
        </w:tc>
        <w:tc>
          <w:tcPr>
            <w:tcW w:w="1134" w:type="dxa"/>
            <w:vAlign w:val="center"/>
          </w:tcPr>
          <w:p>
            <w:pPr>
              <w:jc w:val="center"/>
              <w:rPr>
                <w:b/>
                <w:bCs/>
                <w:szCs w:val="21"/>
                <w:u w:val="single"/>
              </w:rPr>
            </w:pPr>
            <w:r>
              <w:rPr>
                <w:b/>
                <w:bCs/>
                <w:szCs w:val="21"/>
                <w:u w:val="single"/>
              </w:rPr>
              <w:t>m</w:t>
            </w:r>
            <w:r>
              <w:rPr>
                <w:b/>
                <w:bCs/>
                <w:szCs w:val="21"/>
                <w:u w:val="single"/>
                <w:vertAlign w:val="superscript"/>
              </w:rPr>
              <w:t>3</w:t>
            </w:r>
            <w:r>
              <w:rPr>
                <w:b/>
                <w:bCs/>
                <w:szCs w:val="21"/>
                <w:u w:val="single"/>
              </w:rPr>
              <w:t>/a</w:t>
            </w:r>
          </w:p>
        </w:tc>
        <w:tc>
          <w:tcPr>
            <w:tcW w:w="1560" w:type="dxa"/>
            <w:vAlign w:val="center"/>
          </w:tcPr>
          <w:p>
            <w:pPr>
              <w:jc w:val="center"/>
              <w:rPr>
                <w:b/>
                <w:bCs/>
                <w:szCs w:val="21"/>
                <w:u w:val="single"/>
              </w:rPr>
            </w:pPr>
            <w:r>
              <w:rPr>
                <w:b/>
                <w:bCs/>
                <w:szCs w:val="21"/>
                <w:u w:val="single"/>
              </w:rPr>
              <w:t>129745.2</w:t>
            </w:r>
          </w:p>
        </w:tc>
        <w:tc>
          <w:tcPr>
            <w:tcW w:w="4444" w:type="dxa"/>
            <w:vAlign w:val="center"/>
          </w:tcPr>
          <w:p>
            <w:pPr>
              <w:jc w:val="center"/>
              <w:rPr>
                <w:b/>
                <w:bCs/>
                <w:color w:val="FF0000"/>
                <w:szCs w:val="21"/>
                <w:u w:val="single"/>
              </w:rPr>
            </w:pPr>
            <w:r>
              <w:rPr>
                <w:b/>
                <w:bCs/>
                <w:color w:val="FF0000"/>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88" w:hRule="atLeast"/>
          <w:jc w:val="center"/>
        </w:trPr>
        <w:tc>
          <w:tcPr>
            <w:tcW w:w="1808" w:type="dxa"/>
            <w:vAlign w:val="center"/>
          </w:tcPr>
          <w:p>
            <w:pPr>
              <w:jc w:val="center"/>
              <w:rPr>
                <w:b/>
                <w:bCs/>
                <w:szCs w:val="21"/>
                <w:u w:val="single"/>
              </w:rPr>
            </w:pPr>
            <w:r>
              <w:rPr>
                <w:b/>
                <w:bCs/>
                <w:szCs w:val="21"/>
                <w:u w:val="single"/>
              </w:rPr>
              <w:t>植物除臭剂</w:t>
            </w:r>
          </w:p>
        </w:tc>
        <w:tc>
          <w:tcPr>
            <w:tcW w:w="1134" w:type="dxa"/>
            <w:vAlign w:val="center"/>
          </w:tcPr>
          <w:p>
            <w:pPr>
              <w:jc w:val="center"/>
              <w:rPr>
                <w:b/>
                <w:bCs/>
                <w:szCs w:val="21"/>
                <w:u w:val="single"/>
              </w:rPr>
            </w:pPr>
            <w:r>
              <w:rPr>
                <w:b/>
                <w:bCs/>
                <w:szCs w:val="21"/>
                <w:u w:val="single"/>
              </w:rPr>
              <w:t>t/a</w:t>
            </w:r>
          </w:p>
        </w:tc>
        <w:tc>
          <w:tcPr>
            <w:tcW w:w="1560" w:type="dxa"/>
            <w:vAlign w:val="center"/>
          </w:tcPr>
          <w:p>
            <w:pPr>
              <w:jc w:val="center"/>
              <w:rPr>
                <w:b/>
                <w:bCs/>
                <w:szCs w:val="21"/>
                <w:u w:val="single"/>
              </w:rPr>
            </w:pPr>
            <w:r>
              <w:rPr>
                <w:b/>
                <w:bCs/>
                <w:szCs w:val="21"/>
                <w:u w:val="single"/>
              </w:rPr>
              <w:t>0.4</w:t>
            </w:r>
          </w:p>
        </w:tc>
        <w:tc>
          <w:tcPr>
            <w:tcW w:w="4444" w:type="dxa"/>
            <w:vAlign w:val="center"/>
          </w:tcPr>
          <w:p>
            <w:pPr>
              <w:jc w:val="center"/>
              <w:rPr>
                <w:b/>
                <w:bCs/>
                <w:szCs w:val="21"/>
                <w:u w:val="single"/>
              </w:rPr>
            </w:pPr>
            <w:r>
              <w:rPr>
                <w:b/>
                <w:bCs/>
                <w:szCs w:val="21"/>
                <w:u w:val="single"/>
              </w:rPr>
              <w:t>主要为丝兰、银杏叶、茶多酚、葡萄籽、樟科植物、桉叶油、松油等多种植物提取物，储存于项目仓库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808" w:type="dxa"/>
            <w:vAlign w:val="center"/>
          </w:tcPr>
          <w:p>
            <w:pPr>
              <w:jc w:val="center"/>
              <w:rPr>
                <w:b/>
                <w:bCs/>
                <w:szCs w:val="21"/>
                <w:u w:val="single"/>
              </w:rPr>
            </w:pPr>
            <w:r>
              <w:rPr>
                <w:b/>
                <w:bCs/>
                <w:szCs w:val="21"/>
                <w:u w:val="single"/>
              </w:rPr>
              <w:t>脱硫剂</w:t>
            </w:r>
          </w:p>
        </w:tc>
        <w:tc>
          <w:tcPr>
            <w:tcW w:w="1134" w:type="dxa"/>
            <w:vAlign w:val="center"/>
          </w:tcPr>
          <w:p>
            <w:pPr>
              <w:jc w:val="center"/>
              <w:rPr>
                <w:b/>
                <w:bCs/>
                <w:szCs w:val="21"/>
                <w:u w:val="single"/>
              </w:rPr>
            </w:pPr>
            <w:r>
              <w:rPr>
                <w:b/>
                <w:bCs/>
                <w:szCs w:val="21"/>
                <w:u w:val="single"/>
              </w:rPr>
              <w:t>t/a</w:t>
            </w:r>
          </w:p>
        </w:tc>
        <w:tc>
          <w:tcPr>
            <w:tcW w:w="1560" w:type="dxa"/>
            <w:vAlign w:val="center"/>
          </w:tcPr>
          <w:p>
            <w:pPr>
              <w:jc w:val="center"/>
              <w:rPr>
                <w:b/>
                <w:bCs/>
                <w:szCs w:val="21"/>
                <w:u w:val="single"/>
              </w:rPr>
            </w:pPr>
            <w:r>
              <w:rPr>
                <w:b/>
                <w:bCs/>
                <w:szCs w:val="21"/>
                <w:u w:val="single"/>
              </w:rPr>
              <w:t>0.5</w:t>
            </w:r>
          </w:p>
        </w:tc>
        <w:tc>
          <w:tcPr>
            <w:tcW w:w="4444" w:type="dxa"/>
            <w:vAlign w:val="center"/>
          </w:tcPr>
          <w:p>
            <w:pPr>
              <w:jc w:val="center"/>
              <w:rPr>
                <w:b/>
                <w:bCs/>
                <w:szCs w:val="21"/>
                <w:u w:val="single"/>
              </w:rPr>
            </w:pPr>
            <w:r>
              <w:rPr>
                <w:b/>
                <w:bCs/>
                <w:szCs w:val="21"/>
                <w:u w:val="single"/>
              </w:rPr>
              <w:t>主要成分为氧化铁，需要时由负责项目环保工程的施工单位安装，不在厂内暂存。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808" w:type="dxa"/>
            <w:vAlign w:val="center"/>
          </w:tcPr>
          <w:p>
            <w:pPr>
              <w:jc w:val="center"/>
              <w:rPr>
                <w:b/>
                <w:bCs/>
                <w:szCs w:val="21"/>
                <w:u w:val="single"/>
              </w:rPr>
            </w:pPr>
            <w:r>
              <w:rPr>
                <w:b/>
                <w:bCs/>
                <w:szCs w:val="21"/>
                <w:u w:val="single"/>
              </w:rPr>
              <w:t>消毒剂</w:t>
            </w:r>
          </w:p>
        </w:tc>
        <w:tc>
          <w:tcPr>
            <w:tcW w:w="1134" w:type="dxa"/>
            <w:vAlign w:val="center"/>
          </w:tcPr>
          <w:p>
            <w:pPr>
              <w:jc w:val="center"/>
              <w:rPr>
                <w:b/>
                <w:bCs/>
                <w:szCs w:val="21"/>
                <w:u w:val="single"/>
              </w:rPr>
            </w:pPr>
            <w:r>
              <w:rPr>
                <w:b/>
                <w:bCs/>
                <w:szCs w:val="21"/>
                <w:u w:val="single"/>
              </w:rPr>
              <w:t>t/a</w:t>
            </w:r>
          </w:p>
        </w:tc>
        <w:tc>
          <w:tcPr>
            <w:tcW w:w="1560" w:type="dxa"/>
            <w:vAlign w:val="center"/>
          </w:tcPr>
          <w:p>
            <w:pPr>
              <w:jc w:val="center"/>
              <w:rPr>
                <w:b/>
                <w:bCs/>
                <w:szCs w:val="21"/>
                <w:u w:val="single"/>
              </w:rPr>
            </w:pPr>
            <w:r>
              <w:rPr>
                <w:b/>
                <w:bCs/>
                <w:szCs w:val="21"/>
                <w:u w:val="single"/>
              </w:rPr>
              <w:t>1.5</w:t>
            </w:r>
          </w:p>
        </w:tc>
        <w:tc>
          <w:tcPr>
            <w:tcW w:w="4444" w:type="dxa"/>
            <w:vAlign w:val="center"/>
          </w:tcPr>
          <w:p>
            <w:pPr>
              <w:jc w:val="center"/>
              <w:rPr>
                <w:b/>
                <w:bCs/>
                <w:szCs w:val="21"/>
                <w:u w:val="single"/>
              </w:rPr>
            </w:pPr>
            <w:r>
              <w:rPr>
                <w:b/>
                <w:bCs/>
                <w:szCs w:val="21"/>
                <w:u w:val="single"/>
              </w:rPr>
              <w:t>储存于项目仓库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1808" w:type="dxa"/>
            <w:vAlign w:val="center"/>
          </w:tcPr>
          <w:p>
            <w:pPr>
              <w:jc w:val="center"/>
              <w:rPr>
                <w:b/>
                <w:bCs/>
                <w:szCs w:val="21"/>
                <w:u w:val="single"/>
              </w:rPr>
            </w:pPr>
            <w:r>
              <w:rPr>
                <w:b/>
                <w:bCs/>
                <w:szCs w:val="21"/>
                <w:u w:val="single"/>
              </w:rPr>
              <w:t>防疫药品</w:t>
            </w:r>
          </w:p>
        </w:tc>
        <w:tc>
          <w:tcPr>
            <w:tcW w:w="1134" w:type="dxa"/>
            <w:vAlign w:val="center"/>
          </w:tcPr>
          <w:p>
            <w:pPr>
              <w:jc w:val="center"/>
              <w:rPr>
                <w:b/>
                <w:bCs/>
                <w:szCs w:val="21"/>
                <w:u w:val="single"/>
              </w:rPr>
            </w:pPr>
            <w:r>
              <w:rPr>
                <w:b/>
                <w:bCs/>
                <w:szCs w:val="21"/>
                <w:u w:val="single"/>
              </w:rPr>
              <w:t>t/a</w:t>
            </w:r>
          </w:p>
        </w:tc>
        <w:tc>
          <w:tcPr>
            <w:tcW w:w="1560" w:type="dxa"/>
            <w:vAlign w:val="center"/>
          </w:tcPr>
          <w:p>
            <w:pPr>
              <w:jc w:val="center"/>
              <w:rPr>
                <w:b/>
                <w:bCs/>
                <w:szCs w:val="21"/>
                <w:u w:val="single"/>
              </w:rPr>
            </w:pPr>
            <w:r>
              <w:rPr>
                <w:b/>
                <w:bCs/>
                <w:szCs w:val="21"/>
                <w:u w:val="single"/>
              </w:rPr>
              <w:t>0.625</w:t>
            </w:r>
          </w:p>
        </w:tc>
        <w:tc>
          <w:tcPr>
            <w:tcW w:w="4444" w:type="dxa"/>
            <w:vAlign w:val="center"/>
          </w:tcPr>
          <w:p>
            <w:pPr>
              <w:jc w:val="center"/>
              <w:rPr>
                <w:b/>
                <w:bCs/>
                <w:szCs w:val="21"/>
                <w:u w:val="single"/>
              </w:rPr>
            </w:pPr>
            <w:r>
              <w:rPr>
                <w:b/>
                <w:bCs/>
                <w:szCs w:val="21"/>
                <w:u w:val="single"/>
              </w:rPr>
              <w:t>储存于专门设置的仓库中的疫苗专用冰柜</w:t>
            </w:r>
          </w:p>
        </w:tc>
      </w:tr>
      <w:bookmarkEnd w:id="82"/>
    </w:tbl>
    <w:p>
      <w:pPr>
        <w:pStyle w:val="5"/>
        <w:snapToGrid w:val="0"/>
        <w:spacing w:before="0" w:after="0" w:line="520" w:lineRule="exact"/>
        <w:rPr>
          <w:rFonts w:eastAsia="黑体"/>
          <w:b w:val="0"/>
          <w:bCs w:val="0"/>
          <w:sz w:val="24"/>
          <w:szCs w:val="24"/>
        </w:rPr>
      </w:pPr>
      <w:bookmarkStart w:id="83" w:name="_Toc20766"/>
      <w:r>
        <w:rPr>
          <w:rFonts w:eastAsia="黑体"/>
          <w:b w:val="0"/>
          <w:bCs w:val="0"/>
          <w:sz w:val="24"/>
          <w:szCs w:val="24"/>
        </w:rPr>
        <w:t>2.1.6配套工程</w:t>
      </w:r>
      <w:bookmarkEnd w:id="83"/>
    </w:p>
    <w:p>
      <w:pPr>
        <w:pStyle w:val="6"/>
        <w:spacing w:before="0" w:after="0" w:line="520" w:lineRule="exact"/>
        <w:rPr>
          <w:rFonts w:hAnsi="Times New Roman" w:eastAsia="宋体"/>
          <w:sz w:val="24"/>
          <w:szCs w:val="24"/>
        </w:rPr>
      </w:pPr>
      <w:r>
        <w:rPr>
          <w:rFonts w:hAnsi="Times New Roman" w:eastAsia="宋体"/>
          <w:sz w:val="24"/>
          <w:szCs w:val="24"/>
        </w:rPr>
        <w:t>2.1.6.1项目用水情况</w:t>
      </w:r>
    </w:p>
    <w:p>
      <w:pPr>
        <w:spacing w:line="520" w:lineRule="exact"/>
        <w:ind w:firstLine="480" w:firstLineChars="200"/>
        <w:rPr>
          <w:color w:val="FF0000"/>
          <w:sz w:val="24"/>
        </w:rPr>
      </w:pPr>
      <w:r>
        <w:rPr>
          <w:sz w:val="24"/>
        </w:rPr>
        <w:t>项目完成后全场新鲜水总用水量为129745.2</w:t>
      </w:r>
      <w:r>
        <w:rPr>
          <w:kern w:val="0"/>
          <w:sz w:val="24"/>
        </w:rPr>
        <w:t>m</w:t>
      </w:r>
      <w:r>
        <w:rPr>
          <w:kern w:val="0"/>
          <w:sz w:val="24"/>
          <w:vertAlign w:val="superscript"/>
        </w:rPr>
        <w:t>3</w:t>
      </w:r>
      <w:r>
        <w:rPr>
          <w:kern w:val="0"/>
          <w:sz w:val="24"/>
        </w:rPr>
        <w:t>/a</w:t>
      </w:r>
      <w:r>
        <w:rPr>
          <w:sz w:val="24"/>
        </w:rPr>
        <w:t>，用水方向主要为生活用水、猪只饮用水、猪舍冲洗水、降温用水、消毒水用、无害化处理中心用水等。项目用水全部由场区自备井供应，本项目拟建1眼供水井，井深200m，单井出水量约为50m</w:t>
      </w:r>
      <w:r>
        <w:rPr>
          <w:sz w:val="24"/>
          <w:vertAlign w:val="superscript"/>
        </w:rPr>
        <w:t>3</w:t>
      </w:r>
      <w:r>
        <w:rPr>
          <w:sz w:val="24"/>
        </w:rPr>
        <w:t>/h，则年出水规模为438000m</w:t>
      </w:r>
      <w:r>
        <w:rPr>
          <w:sz w:val="24"/>
          <w:vertAlign w:val="superscript"/>
        </w:rPr>
        <w:t>3</w:t>
      </w:r>
      <w:r>
        <w:rPr>
          <w:sz w:val="24"/>
        </w:rPr>
        <w:t>，</w:t>
      </w:r>
      <w:r>
        <w:rPr>
          <w:color w:val="000000"/>
          <w:sz w:val="24"/>
        </w:rPr>
        <w:t>可满足项目用水需求。</w:t>
      </w:r>
    </w:p>
    <w:p>
      <w:pPr>
        <w:spacing w:line="520" w:lineRule="exact"/>
        <w:ind w:firstLine="480" w:firstLineChars="200"/>
        <w:rPr>
          <w:sz w:val="24"/>
        </w:rPr>
      </w:pPr>
      <w:r>
        <w:rPr>
          <w:sz w:val="24"/>
        </w:rPr>
        <w:t>1、猪只饮用水及猪舍冲洗水</w:t>
      </w:r>
    </w:p>
    <w:p>
      <w:pPr>
        <w:pStyle w:val="98"/>
        <w:spacing w:line="520" w:lineRule="exact"/>
        <w:ind w:firstLine="480"/>
      </w:pPr>
      <w:r>
        <w:t>本项目投入运营后保育猪年存栏</w:t>
      </w:r>
      <w:r>
        <w:rPr>
          <w:rFonts w:hint="eastAsia"/>
        </w:rPr>
        <w:t>16667</w:t>
      </w:r>
      <w:r>
        <w:t>头，育肥猪年存栏</w:t>
      </w:r>
      <w:r>
        <w:rPr>
          <w:rFonts w:hint="eastAsia"/>
        </w:rPr>
        <w:t>33333</w:t>
      </w:r>
      <w:r>
        <w:t>头，猪</w:t>
      </w:r>
      <w:r>
        <w:rPr>
          <w:bCs/>
        </w:rPr>
        <w:t>的饮水量以及猪舍冲洗水排放量</w:t>
      </w:r>
      <w:r>
        <w:t>根据牧原公司其他已投入运营的生猪养猪场的实际运营情况统计确定，具体见表2.1-9。</w:t>
      </w:r>
    </w:p>
    <w:p>
      <w:pPr>
        <w:spacing w:afterLines="30" w:line="520" w:lineRule="exact"/>
        <w:jc w:val="center"/>
        <w:rPr>
          <w:b/>
          <w:sz w:val="24"/>
        </w:rPr>
      </w:pPr>
      <w:r>
        <w:rPr>
          <w:b/>
          <w:sz w:val="24"/>
        </w:rPr>
        <w:t>表2.1-9       工程生猪饮水参数表</w:t>
      </w:r>
    </w:p>
    <w:tbl>
      <w:tblPr>
        <w:tblStyle w:val="44"/>
        <w:tblW w:w="8788" w:type="dxa"/>
        <w:jc w:val="center"/>
        <w:tblLayout w:type="fixed"/>
        <w:tblCellMar>
          <w:top w:w="0" w:type="dxa"/>
          <w:left w:w="108" w:type="dxa"/>
          <w:bottom w:w="0" w:type="dxa"/>
          <w:right w:w="108" w:type="dxa"/>
        </w:tblCellMar>
      </w:tblPr>
      <w:tblGrid>
        <w:gridCol w:w="808"/>
        <w:gridCol w:w="884"/>
        <w:gridCol w:w="909"/>
        <w:gridCol w:w="1048"/>
        <w:gridCol w:w="1734"/>
        <w:gridCol w:w="2134"/>
        <w:gridCol w:w="1271"/>
      </w:tblGrid>
      <w:tr>
        <w:tblPrEx>
          <w:tblCellMar>
            <w:top w:w="0" w:type="dxa"/>
            <w:left w:w="108" w:type="dxa"/>
            <w:bottom w:w="0" w:type="dxa"/>
            <w:right w:w="108" w:type="dxa"/>
          </w:tblCellMar>
        </w:tblPrEx>
        <w:trPr>
          <w:trHeight w:val="397" w:hRule="atLeast"/>
          <w:tblHeader/>
          <w:jc w:val="center"/>
        </w:trPr>
        <w:tc>
          <w:tcPr>
            <w:tcW w:w="808" w:type="dxa"/>
            <w:vMerge w:val="restart"/>
            <w:tcBorders>
              <w:top w:val="single" w:color="auto" w:sz="12" w:space="0"/>
              <w:left w:val="single" w:color="auto" w:sz="12" w:space="0"/>
              <w:bottom w:val="single" w:color="auto" w:sz="4" w:space="0"/>
              <w:right w:val="single" w:color="auto" w:sz="4" w:space="0"/>
            </w:tcBorders>
            <w:tcMar>
              <w:top w:w="0" w:type="dxa"/>
              <w:left w:w="28" w:type="dxa"/>
              <w:bottom w:w="0" w:type="dxa"/>
              <w:right w:w="28" w:type="dxa"/>
            </w:tcMar>
            <w:vAlign w:val="center"/>
          </w:tcPr>
          <w:p>
            <w:pPr>
              <w:widowControl/>
              <w:snapToGrid w:val="0"/>
              <w:ind w:left="-15" w:leftChars="-51" w:right="-109" w:rightChars="-52" w:hanging="92" w:hangingChars="44"/>
              <w:jc w:val="center"/>
              <w:rPr>
                <w:iCs/>
                <w:kern w:val="0"/>
                <w:szCs w:val="21"/>
              </w:rPr>
            </w:pPr>
            <w:r>
              <w:rPr>
                <w:iCs/>
                <w:kern w:val="0"/>
                <w:szCs w:val="21"/>
              </w:rPr>
              <w:t>用水</w:t>
            </w:r>
          </w:p>
          <w:p>
            <w:pPr>
              <w:widowControl/>
              <w:snapToGrid w:val="0"/>
              <w:ind w:left="-15" w:leftChars="-51" w:right="-109" w:rightChars="-52" w:hanging="92" w:hangingChars="44"/>
              <w:jc w:val="center"/>
              <w:rPr>
                <w:iCs/>
                <w:kern w:val="0"/>
                <w:szCs w:val="21"/>
              </w:rPr>
            </w:pPr>
            <w:r>
              <w:rPr>
                <w:iCs/>
                <w:kern w:val="0"/>
                <w:szCs w:val="21"/>
              </w:rPr>
              <w:t>性质</w:t>
            </w:r>
          </w:p>
        </w:tc>
        <w:tc>
          <w:tcPr>
            <w:tcW w:w="1793" w:type="dxa"/>
            <w:gridSpan w:val="2"/>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napToGrid w:val="0"/>
              <w:ind w:left="-15" w:leftChars="-51" w:right="-109" w:rightChars="-52" w:hanging="92" w:hangingChars="44"/>
              <w:jc w:val="center"/>
              <w:rPr>
                <w:iCs/>
                <w:kern w:val="0"/>
                <w:szCs w:val="21"/>
              </w:rPr>
            </w:pPr>
            <w:r>
              <w:rPr>
                <w:iCs/>
                <w:kern w:val="0"/>
                <w:szCs w:val="21"/>
              </w:rPr>
              <w:t>饮水量</w:t>
            </w:r>
            <w:r>
              <w:rPr>
                <w:iCs/>
                <w:szCs w:val="21"/>
              </w:rPr>
              <w:t>（L/头·d）</w:t>
            </w:r>
          </w:p>
        </w:tc>
        <w:tc>
          <w:tcPr>
            <w:tcW w:w="1048" w:type="dxa"/>
            <w:vMerge w:val="restart"/>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napToGrid w:val="0"/>
              <w:ind w:left="-15" w:leftChars="-51" w:right="-109" w:rightChars="-52" w:hanging="92" w:hangingChars="44"/>
              <w:jc w:val="center"/>
              <w:rPr>
                <w:iCs/>
                <w:kern w:val="0"/>
                <w:szCs w:val="21"/>
              </w:rPr>
            </w:pPr>
            <w:r>
              <w:rPr>
                <w:iCs/>
                <w:kern w:val="0"/>
                <w:szCs w:val="21"/>
              </w:rPr>
              <w:t>用水单位</w:t>
            </w:r>
          </w:p>
          <w:p>
            <w:pPr>
              <w:snapToGrid w:val="0"/>
              <w:ind w:left="-15" w:leftChars="-51" w:right="-109" w:rightChars="-52" w:hanging="92" w:hangingChars="44"/>
              <w:jc w:val="center"/>
              <w:rPr>
                <w:iCs/>
                <w:kern w:val="0"/>
                <w:szCs w:val="21"/>
              </w:rPr>
            </w:pPr>
            <w:r>
              <w:rPr>
                <w:iCs/>
                <w:szCs w:val="21"/>
              </w:rPr>
              <w:t>（头）</w:t>
            </w:r>
          </w:p>
        </w:tc>
        <w:tc>
          <w:tcPr>
            <w:tcW w:w="5139" w:type="dxa"/>
            <w:gridSpan w:val="3"/>
            <w:tcBorders>
              <w:top w:val="single" w:color="auto" w:sz="12" w:space="0"/>
              <w:left w:val="single" w:color="auto" w:sz="4" w:space="0"/>
              <w:bottom w:val="nil"/>
              <w:right w:val="single" w:color="auto" w:sz="12" w:space="0"/>
            </w:tcBorders>
            <w:tcMar>
              <w:top w:w="0" w:type="dxa"/>
              <w:left w:w="28" w:type="dxa"/>
              <w:bottom w:w="0" w:type="dxa"/>
              <w:right w:w="28" w:type="dxa"/>
            </w:tcMar>
            <w:vAlign w:val="center"/>
          </w:tcPr>
          <w:p>
            <w:pPr>
              <w:widowControl/>
              <w:snapToGrid w:val="0"/>
              <w:ind w:right="-109" w:rightChars="-52"/>
              <w:jc w:val="center"/>
              <w:rPr>
                <w:iCs/>
                <w:kern w:val="0"/>
                <w:szCs w:val="21"/>
              </w:rPr>
            </w:pPr>
            <w:r>
              <w:rPr>
                <w:iCs/>
                <w:kern w:val="0"/>
                <w:szCs w:val="21"/>
              </w:rPr>
              <w:t>饮水总量</w:t>
            </w:r>
          </w:p>
        </w:tc>
      </w:tr>
      <w:tr>
        <w:tblPrEx>
          <w:tblCellMar>
            <w:top w:w="0" w:type="dxa"/>
            <w:left w:w="108" w:type="dxa"/>
            <w:bottom w:w="0" w:type="dxa"/>
            <w:right w:w="108" w:type="dxa"/>
          </w:tblCellMar>
        </w:tblPrEx>
        <w:trPr>
          <w:trHeight w:val="397" w:hRule="atLeast"/>
          <w:tblHeader/>
          <w:jc w:val="center"/>
        </w:trPr>
        <w:tc>
          <w:tcPr>
            <w:tcW w:w="808" w:type="dxa"/>
            <w:vMerge w:val="continue"/>
            <w:tcBorders>
              <w:top w:val="single" w:color="auto" w:sz="12" w:space="0"/>
              <w:left w:val="single" w:color="auto" w:sz="12" w:space="0"/>
              <w:bottom w:val="single" w:color="auto" w:sz="4" w:space="0"/>
              <w:right w:val="single" w:color="auto" w:sz="4" w:space="0"/>
            </w:tcBorders>
            <w:tcMar>
              <w:top w:w="0" w:type="dxa"/>
              <w:left w:w="28" w:type="dxa"/>
              <w:bottom w:w="0" w:type="dxa"/>
              <w:right w:w="28" w:type="dxa"/>
            </w:tcMar>
            <w:vAlign w:val="center"/>
          </w:tcPr>
          <w:p>
            <w:pPr>
              <w:widowControl/>
              <w:jc w:val="left"/>
              <w:rPr>
                <w:iCs/>
                <w:kern w:val="0"/>
                <w:szCs w:val="21"/>
              </w:rPr>
            </w:pPr>
          </w:p>
        </w:tc>
        <w:tc>
          <w:tcPr>
            <w:tcW w:w="88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napToGrid w:val="0"/>
              <w:ind w:left="-15" w:leftChars="-51" w:right="-109" w:rightChars="-52" w:hanging="92" w:hangingChars="44"/>
              <w:jc w:val="center"/>
              <w:rPr>
                <w:iCs/>
                <w:kern w:val="0"/>
                <w:szCs w:val="21"/>
              </w:rPr>
            </w:pPr>
            <w:r>
              <w:rPr>
                <w:iCs/>
                <w:kern w:val="0"/>
                <w:szCs w:val="21"/>
              </w:rPr>
              <w:t>夏季</w:t>
            </w:r>
          </w:p>
        </w:tc>
        <w:tc>
          <w:tcPr>
            <w:tcW w:w="9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napToGrid w:val="0"/>
              <w:ind w:left="-15" w:leftChars="-51" w:right="-109" w:rightChars="-52" w:hanging="92" w:hangingChars="44"/>
              <w:jc w:val="center"/>
              <w:rPr>
                <w:iCs/>
                <w:kern w:val="0"/>
                <w:szCs w:val="21"/>
              </w:rPr>
            </w:pPr>
            <w:r>
              <w:rPr>
                <w:iCs/>
                <w:kern w:val="0"/>
                <w:szCs w:val="21"/>
              </w:rPr>
              <w:t>其他季节</w:t>
            </w:r>
          </w:p>
        </w:tc>
        <w:tc>
          <w:tcPr>
            <w:tcW w:w="1048" w:type="dxa"/>
            <w:vMerge w:val="continue"/>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jc w:val="left"/>
              <w:rPr>
                <w:iCs/>
                <w:kern w:val="0"/>
                <w:szCs w:val="21"/>
              </w:rPr>
            </w:pPr>
          </w:p>
        </w:tc>
        <w:tc>
          <w:tcPr>
            <w:tcW w:w="1734" w:type="dxa"/>
            <w:tcBorders>
              <w:top w:val="single" w:color="auto" w:sz="4" w:space="0"/>
              <w:left w:val="single" w:color="auto" w:sz="4" w:space="0"/>
              <w:right w:val="single" w:color="auto" w:sz="4" w:space="0"/>
            </w:tcBorders>
            <w:tcMar>
              <w:top w:w="0" w:type="dxa"/>
              <w:left w:w="28" w:type="dxa"/>
              <w:bottom w:w="0" w:type="dxa"/>
              <w:right w:w="28" w:type="dxa"/>
            </w:tcMar>
            <w:vAlign w:val="center"/>
          </w:tcPr>
          <w:p>
            <w:pPr>
              <w:widowControl/>
              <w:snapToGrid w:val="0"/>
              <w:ind w:left="-15" w:leftChars="-51" w:right="-109" w:rightChars="-52" w:hanging="92" w:hangingChars="44"/>
              <w:jc w:val="center"/>
              <w:rPr>
                <w:iCs/>
                <w:szCs w:val="21"/>
              </w:rPr>
            </w:pPr>
            <w:r>
              <w:rPr>
                <w:iCs/>
                <w:szCs w:val="21"/>
              </w:rPr>
              <w:t>夏季122d</w:t>
            </w:r>
            <w:r>
              <w:rPr>
                <w:iCs/>
                <w:kern w:val="0"/>
                <w:szCs w:val="21"/>
              </w:rPr>
              <w:t>（m</w:t>
            </w:r>
            <w:r>
              <w:rPr>
                <w:iCs/>
                <w:kern w:val="0"/>
                <w:szCs w:val="21"/>
                <w:vertAlign w:val="superscript"/>
              </w:rPr>
              <w:t>3</w:t>
            </w:r>
            <w:r>
              <w:rPr>
                <w:iCs/>
                <w:kern w:val="0"/>
                <w:szCs w:val="21"/>
              </w:rPr>
              <w:t>）</w:t>
            </w:r>
          </w:p>
        </w:tc>
        <w:tc>
          <w:tcPr>
            <w:tcW w:w="2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napToGrid w:val="0"/>
              <w:ind w:left="-15" w:leftChars="-51" w:right="-109" w:rightChars="-52" w:hanging="92" w:hangingChars="44"/>
              <w:jc w:val="center"/>
              <w:rPr>
                <w:iCs/>
                <w:szCs w:val="21"/>
              </w:rPr>
            </w:pPr>
            <w:r>
              <w:rPr>
                <w:iCs/>
                <w:szCs w:val="21"/>
              </w:rPr>
              <w:t>其他季节243d</w:t>
            </w:r>
            <w:r>
              <w:rPr>
                <w:iCs/>
                <w:kern w:val="0"/>
                <w:szCs w:val="21"/>
              </w:rPr>
              <w:t>（m</w:t>
            </w:r>
            <w:r>
              <w:rPr>
                <w:iCs/>
                <w:kern w:val="0"/>
                <w:szCs w:val="21"/>
                <w:vertAlign w:val="superscript"/>
              </w:rPr>
              <w:t>3</w:t>
            </w:r>
            <w:r>
              <w:rPr>
                <w:iCs/>
                <w:kern w:val="0"/>
                <w:szCs w:val="21"/>
              </w:rPr>
              <w:t>）</w:t>
            </w:r>
          </w:p>
        </w:tc>
        <w:tc>
          <w:tcPr>
            <w:tcW w:w="1271" w:type="dxa"/>
            <w:tcBorders>
              <w:top w:val="single" w:color="auto" w:sz="4" w:space="0"/>
              <w:left w:val="single" w:color="auto" w:sz="4" w:space="0"/>
              <w:bottom w:val="single" w:color="auto" w:sz="4" w:space="0"/>
              <w:right w:val="single" w:color="auto" w:sz="12" w:space="0"/>
            </w:tcBorders>
            <w:tcMar>
              <w:top w:w="0" w:type="dxa"/>
              <w:left w:w="28" w:type="dxa"/>
              <w:bottom w:w="0" w:type="dxa"/>
              <w:right w:w="28" w:type="dxa"/>
            </w:tcMar>
            <w:vAlign w:val="center"/>
          </w:tcPr>
          <w:p>
            <w:pPr>
              <w:widowControl/>
              <w:snapToGrid w:val="0"/>
              <w:ind w:right="-109" w:rightChars="-52"/>
              <w:jc w:val="center"/>
              <w:rPr>
                <w:iCs/>
                <w:kern w:val="0"/>
                <w:szCs w:val="21"/>
              </w:rPr>
            </w:pPr>
            <w:r>
              <w:rPr>
                <w:iCs/>
                <w:kern w:val="0"/>
                <w:szCs w:val="21"/>
              </w:rPr>
              <w:t>（m</w:t>
            </w:r>
            <w:r>
              <w:rPr>
                <w:iCs/>
                <w:kern w:val="0"/>
                <w:szCs w:val="21"/>
                <w:vertAlign w:val="superscript"/>
              </w:rPr>
              <w:t>3</w:t>
            </w:r>
            <w:r>
              <w:rPr>
                <w:iCs/>
                <w:kern w:val="0"/>
                <w:szCs w:val="21"/>
              </w:rPr>
              <w:t>/a）</w:t>
            </w:r>
          </w:p>
        </w:tc>
      </w:tr>
      <w:tr>
        <w:tblPrEx>
          <w:tblCellMar>
            <w:top w:w="0" w:type="dxa"/>
            <w:left w:w="108" w:type="dxa"/>
            <w:bottom w:w="0" w:type="dxa"/>
            <w:right w:w="108" w:type="dxa"/>
          </w:tblCellMar>
        </w:tblPrEx>
        <w:trPr>
          <w:trHeight w:val="397" w:hRule="atLeast"/>
          <w:jc w:val="center"/>
        </w:trPr>
        <w:tc>
          <w:tcPr>
            <w:tcW w:w="808"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szCs w:val="21"/>
              </w:rPr>
            </w:pPr>
            <w:r>
              <w:rPr>
                <w:szCs w:val="21"/>
              </w:rPr>
              <w:t>保育猪</w:t>
            </w:r>
          </w:p>
        </w:tc>
        <w:tc>
          <w:tcPr>
            <w:tcW w:w="88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spacing w:before="156" w:after="156"/>
              <w:jc w:val="center"/>
              <w:rPr>
                <w:color w:val="000000"/>
                <w:szCs w:val="21"/>
              </w:rPr>
            </w:pPr>
            <w:r>
              <w:rPr>
                <w:color w:val="000000"/>
                <w:szCs w:val="21"/>
              </w:rPr>
              <w:t>5.5</w:t>
            </w:r>
          </w:p>
        </w:tc>
        <w:tc>
          <w:tcPr>
            <w:tcW w:w="9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spacing w:before="156" w:after="156"/>
              <w:jc w:val="center"/>
              <w:rPr>
                <w:color w:val="000000"/>
                <w:szCs w:val="21"/>
              </w:rPr>
            </w:pPr>
            <w:r>
              <w:rPr>
                <w:color w:val="000000"/>
                <w:szCs w:val="21"/>
              </w:rPr>
              <w:t>3</w:t>
            </w:r>
          </w:p>
        </w:tc>
        <w:tc>
          <w:tcPr>
            <w:tcW w:w="104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szCs w:val="21"/>
              </w:rPr>
            </w:pPr>
            <w:r>
              <w:rPr>
                <w:szCs w:val="21"/>
              </w:rPr>
              <w:t>16667</w:t>
            </w:r>
          </w:p>
        </w:tc>
        <w:tc>
          <w:tcPr>
            <w:tcW w:w="17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bCs/>
                <w:color w:val="000000"/>
                <w:szCs w:val="21"/>
              </w:rPr>
            </w:pPr>
            <w:r>
              <w:rPr>
                <w:bCs/>
                <w:color w:val="000000"/>
                <w:szCs w:val="21"/>
              </w:rPr>
              <w:t>11184</w:t>
            </w:r>
          </w:p>
        </w:tc>
        <w:tc>
          <w:tcPr>
            <w:tcW w:w="2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bCs/>
                <w:sz w:val="22"/>
                <w:szCs w:val="22"/>
              </w:rPr>
            </w:pPr>
            <w:r>
              <w:rPr>
                <w:bCs/>
                <w:sz w:val="22"/>
                <w:szCs w:val="22"/>
              </w:rPr>
              <w:t>12150</w:t>
            </w:r>
          </w:p>
        </w:tc>
        <w:tc>
          <w:tcPr>
            <w:tcW w:w="1271" w:type="dxa"/>
            <w:tcBorders>
              <w:top w:val="single" w:color="auto" w:sz="4" w:space="0"/>
              <w:left w:val="single" w:color="auto" w:sz="4" w:space="0"/>
              <w:bottom w:val="single" w:color="auto" w:sz="4" w:space="0"/>
              <w:right w:val="single" w:color="auto" w:sz="12" w:space="0"/>
            </w:tcBorders>
            <w:tcMar>
              <w:top w:w="0" w:type="dxa"/>
              <w:left w:w="28" w:type="dxa"/>
              <w:bottom w:w="0" w:type="dxa"/>
              <w:right w:w="28" w:type="dxa"/>
            </w:tcMar>
            <w:vAlign w:val="center"/>
          </w:tcPr>
          <w:p>
            <w:pPr>
              <w:jc w:val="center"/>
              <w:rPr>
                <w:bCs/>
                <w:sz w:val="22"/>
                <w:szCs w:val="22"/>
              </w:rPr>
            </w:pPr>
            <w:r>
              <w:rPr>
                <w:bCs/>
                <w:sz w:val="22"/>
                <w:szCs w:val="22"/>
              </w:rPr>
              <w:t>23334</w:t>
            </w:r>
          </w:p>
        </w:tc>
      </w:tr>
      <w:tr>
        <w:tblPrEx>
          <w:tblCellMar>
            <w:top w:w="0" w:type="dxa"/>
            <w:left w:w="108" w:type="dxa"/>
            <w:bottom w:w="0" w:type="dxa"/>
            <w:right w:w="108" w:type="dxa"/>
          </w:tblCellMar>
        </w:tblPrEx>
        <w:trPr>
          <w:trHeight w:val="397" w:hRule="atLeast"/>
          <w:jc w:val="center"/>
        </w:trPr>
        <w:tc>
          <w:tcPr>
            <w:tcW w:w="808" w:type="dxa"/>
            <w:tcBorders>
              <w:top w:val="single" w:color="auto" w:sz="4" w:space="0"/>
              <w:left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szCs w:val="21"/>
              </w:rPr>
            </w:pPr>
            <w:r>
              <w:rPr>
                <w:szCs w:val="21"/>
              </w:rPr>
              <w:t>育肥猪</w:t>
            </w:r>
          </w:p>
        </w:tc>
        <w:tc>
          <w:tcPr>
            <w:tcW w:w="88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spacing w:before="156" w:after="156"/>
              <w:jc w:val="center"/>
              <w:rPr>
                <w:color w:val="000000"/>
                <w:szCs w:val="21"/>
              </w:rPr>
            </w:pPr>
            <w:r>
              <w:rPr>
                <w:color w:val="000000"/>
                <w:szCs w:val="21"/>
              </w:rPr>
              <w:t>11</w:t>
            </w:r>
          </w:p>
        </w:tc>
        <w:tc>
          <w:tcPr>
            <w:tcW w:w="9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spacing w:before="156" w:after="156"/>
              <w:jc w:val="center"/>
              <w:rPr>
                <w:color w:val="000000"/>
                <w:szCs w:val="21"/>
              </w:rPr>
            </w:pPr>
            <w:r>
              <w:rPr>
                <w:color w:val="000000"/>
                <w:szCs w:val="21"/>
              </w:rPr>
              <w:t>6.5</w:t>
            </w:r>
          </w:p>
        </w:tc>
        <w:tc>
          <w:tcPr>
            <w:tcW w:w="104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szCs w:val="21"/>
              </w:rPr>
            </w:pPr>
            <w:r>
              <w:rPr>
                <w:szCs w:val="21"/>
              </w:rPr>
              <w:t>33333</w:t>
            </w:r>
          </w:p>
        </w:tc>
        <w:tc>
          <w:tcPr>
            <w:tcW w:w="17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bCs/>
                <w:color w:val="000000"/>
                <w:szCs w:val="21"/>
              </w:rPr>
            </w:pPr>
            <w:r>
              <w:rPr>
                <w:bCs/>
                <w:color w:val="000000"/>
                <w:szCs w:val="21"/>
              </w:rPr>
              <w:t>44733</w:t>
            </w:r>
          </w:p>
        </w:tc>
        <w:tc>
          <w:tcPr>
            <w:tcW w:w="2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bCs/>
                <w:sz w:val="22"/>
                <w:szCs w:val="22"/>
              </w:rPr>
            </w:pPr>
            <w:r>
              <w:rPr>
                <w:bCs/>
                <w:sz w:val="22"/>
                <w:szCs w:val="22"/>
              </w:rPr>
              <w:t>52649</w:t>
            </w:r>
          </w:p>
        </w:tc>
        <w:tc>
          <w:tcPr>
            <w:tcW w:w="1271" w:type="dxa"/>
            <w:tcBorders>
              <w:top w:val="single" w:color="auto" w:sz="4" w:space="0"/>
              <w:left w:val="single" w:color="auto" w:sz="4" w:space="0"/>
              <w:bottom w:val="single" w:color="auto" w:sz="4" w:space="0"/>
              <w:right w:val="single" w:color="auto" w:sz="12" w:space="0"/>
            </w:tcBorders>
            <w:tcMar>
              <w:top w:w="0" w:type="dxa"/>
              <w:left w:w="28" w:type="dxa"/>
              <w:bottom w:w="0" w:type="dxa"/>
              <w:right w:w="28" w:type="dxa"/>
            </w:tcMar>
            <w:vAlign w:val="center"/>
          </w:tcPr>
          <w:p>
            <w:pPr>
              <w:jc w:val="center"/>
              <w:rPr>
                <w:bCs/>
                <w:sz w:val="22"/>
                <w:szCs w:val="22"/>
              </w:rPr>
            </w:pPr>
            <w:r>
              <w:rPr>
                <w:bCs/>
                <w:sz w:val="22"/>
                <w:szCs w:val="22"/>
              </w:rPr>
              <w:t>97382</w:t>
            </w:r>
          </w:p>
        </w:tc>
      </w:tr>
      <w:tr>
        <w:tblPrEx>
          <w:tblCellMar>
            <w:top w:w="0" w:type="dxa"/>
            <w:left w:w="108" w:type="dxa"/>
            <w:bottom w:w="0" w:type="dxa"/>
            <w:right w:w="108" w:type="dxa"/>
          </w:tblCellMar>
        </w:tblPrEx>
        <w:trPr>
          <w:trHeight w:val="397" w:hRule="atLeast"/>
          <w:jc w:val="center"/>
        </w:trPr>
        <w:tc>
          <w:tcPr>
            <w:tcW w:w="3649" w:type="dxa"/>
            <w:gridSpan w:val="4"/>
            <w:tcBorders>
              <w:top w:val="single" w:color="auto" w:sz="4" w:space="0"/>
              <w:left w:val="single" w:color="auto" w:sz="12" w:space="0"/>
              <w:bottom w:val="single" w:color="auto" w:sz="12" w:space="0"/>
              <w:right w:val="single" w:color="auto" w:sz="4" w:space="0"/>
            </w:tcBorders>
            <w:tcMar>
              <w:top w:w="0" w:type="dxa"/>
              <w:left w:w="28" w:type="dxa"/>
              <w:bottom w:w="0" w:type="dxa"/>
              <w:right w:w="28" w:type="dxa"/>
            </w:tcMar>
            <w:vAlign w:val="center"/>
          </w:tcPr>
          <w:p>
            <w:pPr>
              <w:widowControl/>
              <w:snapToGrid w:val="0"/>
              <w:ind w:left="-15" w:leftChars="-51" w:right="-109" w:rightChars="-52" w:hanging="92" w:hangingChars="44"/>
              <w:jc w:val="center"/>
              <w:rPr>
                <w:iCs/>
                <w:kern w:val="0"/>
                <w:szCs w:val="21"/>
              </w:rPr>
            </w:pPr>
            <w:r>
              <w:rPr>
                <w:iCs/>
                <w:kern w:val="0"/>
                <w:szCs w:val="21"/>
              </w:rPr>
              <w:t>合    计</w:t>
            </w:r>
          </w:p>
        </w:tc>
        <w:tc>
          <w:tcPr>
            <w:tcW w:w="1734"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bottom"/>
          </w:tcPr>
          <w:p>
            <w:pPr>
              <w:jc w:val="center"/>
              <w:rPr>
                <w:sz w:val="22"/>
                <w:szCs w:val="22"/>
              </w:rPr>
            </w:pPr>
            <w:r>
              <w:rPr>
                <w:sz w:val="22"/>
                <w:szCs w:val="22"/>
              </w:rPr>
              <w:t>55916</w:t>
            </w:r>
          </w:p>
        </w:tc>
        <w:tc>
          <w:tcPr>
            <w:tcW w:w="2134"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bottom"/>
          </w:tcPr>
          <w:p>
            <w:pPr>
              <w:jc w:val="center"/>
              <w:rPr>
                <w:sz w:val="22"/>
                <w:szCs w:val="22"/>
              </w:rPr>
            </w:pPr>
            <w:r>
              <w:rPr>
                <w:sz w:val="22"/>
                <w:szCs w:val="22"/>
              </w:rPr>
              <w:t>64800</w:t>
            </w:r>
          </w:p>
        </w:tc>
        <w:tc>
          <w:tcPr>
            <w:tcW w:w="1271" w:type="dxa"/>
            <w:tcBorders>
              <w:top w:val="single" w:color="auto" w:sz="4" w:space="0"/>
              <w:left w:val="single" w:color="auto" w:sz="4" w:space="0"/>
              <w:bottom w:val="single" w:color="auto" w:sz="12" w:space="0"/>
              <w:right w:val="single" w:color="auto" w:sz="12" w:space="0"/>
            </w:tcBorders>
            <w:tcMar>
              <w:top w:w="0" w:type="dxa"/>
              <w:left w:w="28" w:type="dxa"/>
              <w:bottom w:w="0" w:type="dxa"/>
              <w:right w:w="28" w:type="dxa"/>
            </w:tcMar>
            <w:vAlign w:val="bottom"/>
          </w:tcPr>
          <w:p>
            <w:pPr>
              <w:jc w:val="center"/>
              <w:rPr>
                <w:sz w:val="22"/>
                <w:szCs w:val="22"/>
              </w:rPr>
            </w:pPr>
            <w:r>
              <w:rPr>
                <w:sz w:val="22"/>
                <w:szCs w:val="22"/>
              </w:rPr>
              <w:t>120716</w:t>
            </w:r>
          </w:p>
        </w:tc>
      </w:tr>
    </w:tbl>
    <w:p>
      <w:pPr>
        <w:spacing w:afterLines="30" w:line="500" w:lineRule="exact"/>
        <w:jc w:val="center"/>
        <w:rPr>
          <w:b/>
          <w:sz w:val="24"/>
        </w:rPr>
      </w:pPr>
      <w:r>
        <w:rPr>
          <w:b/>
          <w:sz w:val="24"/>
        </w:rPr>
        <w:t>表2.1-10     猪舍冲洗水用水一览表</w:t>
      </w:r>
    </w:p>
    <w:tbl>
      <w:tblPr>
        <w:tblStyle w:val="44"/>
        <w:tblW w:w="88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486"/>
        <w:gridCol w:w="3040"/>
        <w:gridCol w:w="19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blHeader/>
          <w:jc w:val="center"/>
        </w:trPr>
        <w:tc>
          <w:tcPr>
            <w:tcW w:w="3816" w:type="dxa"/>
            <w:gridSpan w:val="2"/>
            <w:tcMar>
              <w:top w:w="0" w:type="dxa"/>
              <w:left w:w="0" w:type="dxa"/>
              <w:bottom w:w="0" w:type="dxa"/>
              <w:right w:w="0" w:type="dxa"/>
            </w:tcMar>
            <w:vAlign w:val="center"/>
          </w:tcPr>
          <w:p>
            <w:pPr>
              <w:jc w:val="center"/>
              <w:rPr>
                <w:bCs/>
                <w:iCs/>
                <w:szCs w:val="21"/>
              </w:rPr>
            </w:pPr>
            <w:r>
              <w:rPr>
                <w:bCs/>
                <w:iCs/>
              </w:rPr>
              <w:t>种类</w:t>
            </w:r>
          </w:p>
        </w:tc>
        <w:tc>
          <w:tcPr>
            <w:tcW w:w="3040" w:type="dxa"/>
            <w:tcMar>
              <w:top w:w="0" w:type="dxa"/>
              <w:left w:w="0" w:type="dxa"/>
              <w:bottom w:w="0" w:type="dxa"/>
              <w:right w:w="0" w:type="dxa"/>
            </w:tcMar>
            <w:vAlign w:val="center"/>
          </w:tcPr>
          <w:p>
            <w:pPr>
              <w:jc w:val="center"/>
              <w:rPr>
                <w:bCs/>
                <w:iCs/>
                <w:szCs w:val="21"/>
              </w:rPr>
            </w:pPr>
            <w:r>
              <w:rPr>
                <w:bCs/>
                <w:iCs/>
              </w:rPr>
              <w:t>保育</w:t>
            </w:r>
            <w:r>
              <w:rPr>
                <w:bCs/>
                <w:iCs/>
                <w:szCs w:val="21"/>
              </w:rPr>
              <w:t>育肥一体舍</w:t>
            </w:r>
          </w:p>
        </w:tc>
        <w:tc>
          <w:tcPr>
            <w:tcW w:w="1999" w:type="dxa"/>
            <w:vAlign w:val="center"/>
          </w:tcPr>
          <w:p>
            <w:pPr>
              <w:jc w:val="center"/>
              <w:rPr>
                <w:bCs/>
                <w:iCs/>
                <w:szCs w:val="21"/>
              </w:rPr>
            </w:pPr>
            <w:r>
              <w:rPr>
                <w:bCs/>
                <w:iCs/>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816" w:type="dxa"/>
            <w:gridSpan w:val="2"/>
            <w:tcMar>
              <w:top w:w="0" w:type="dxa"/>
              <w:left w:w="0" w:type="dxa"/>
              <w:bottom w:w="0" w:type="dxa"/>
              <w:right w:w="0" w:type="dxa"/>
            </w:tcMar>
            <w:vAlign w:val="center"/>
          </w:tcPr>
          <w:p>
            <w:pPr>
              <w:jc w:val="center"/>
              <w:rPr>
                <w:iCs/>
                <w:szCs w:val="21"/>
              </w:rPr>
            </w:pPr>
            <w:r>
              <w:rPr>
                <w:iCs/>
              </w:rPr>
              <w:t>猪舍（单元）</w:t>
            </w:r>
          </w:p>
        </w:tc>
        <w:tc>
          <w:tcPr>
            <w:tcW w:w="3040" w:type="dxa"/>
            <w:tcMar>
              <w:top w:w="0" w:type="dxa"/>
              <w:left w:w="0" w:type="dxa"/>
              <w:bottom w:w="0" w:type="dxa"/>
              <w:right w:w="0" w:type="dxa"/>
            </w:tcMar>
            <w:vAlign w:val="center"/>
          </w:tcPr>
          <w:p>
            <w:pPr>
              <w:jc w:val="center"/>
              <w:rPr>
                <w:szCs w:val="21"/>
              </w:rPr>
            </w:pPr>
            <w:r>
              <w:rPr>
                <w:szCs w:val="21"/>
              </w:rPr>
              <w:t>80</w:t>
            </w:r>
          </w:p>
        </w:tc>
        <w:tc>
          <w:tcPr>
            <w:tcW w:w="1999" w:type="dxa"/>
            <w:vAlign w:val="center"/>
          </w:tcPr>
          <w:p>
            <w:pPr>
              <w:jc w:val="center"/>
              <w:rPr>
                <w:bCs/>
                <w:iCs/>
                <w:szCs w:val="21"/>
              </w:rPr>
            </w:pPr>
            <w:r>
              <w:rPr>
                <w:bCs/>
                <w:i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816" w:type="dxa"/>
            <w:gridSpan w:val="2"/>
            <w:tcMar>
              <w:top w:w="0" w:type="dxa"/>
              <w:left w:w="0" w:type="dxa"/>
              <w:bottom w:w="0" w:type="dxa"/>
              <w:right w:w="0" w:type="dxa"/>
            </w:tcMar>
            <w:vAlign w:val="center"/>
          </w:tcPr>
          <w:p>
            <w:pPr>
              <w:jc w:val="center"/>
              <w:rPr>
                <w:iCs/>
                <w:szCs w:val="21"/>
              </w:rPr>
            </w:pPr>
            <w:r>
              <w:rPr>
                <w:iCs/>
              </w:rPr>
              <w:t>清圈周期（d）</w:t>
            </w:r>
          </w:p>
        </w:tc>
        <w:tc>
          <w:tcPr>
            <w:tcW w:w="3040" w:type="dxa"/>
            <w:tcMar>
              <w:top w:w="0" w:type="dxa"/>
              <w:left w:w="0" w:type="dxa"/>
              <w:bottom w:w="0" w:type="dxa"/>
              <w:right w:w="0" w:type="dxa"/>
            </w:tcMar>
            <w:vAlign w:val="center"/>
          </w:tcPr>
          <w:p>
            <w:pPr>
              <w:jc w:val="center"/>
              <w:rPr>
                <w:szCs w:val="21"/>
              </w:rPr>
            </w:pPr>
            <w:r>
              <w:rPr>
                <w:rFonts w:hint="eastAsia"/>
                <w:szCs w:val="21"/>
              </w:rPr>
              <w:t>41+100</w:t>
            </w:r>
          </w:p>
        </w:tc>
        <w:tc>
          <w:tcPr>
            <w:tcW w:w="1999" w:type="dxa"/>
            <w:vAlign w:val="center"/>
          </w:tcPr>
          <w:p>
            <w:pPr>
              <w:jc w:val="center"/>
              <w:rPr>
                <w:iCs/>
                <w:szCs w:val="21"/>
              </w:rPr>
            </w:pPr>
            <w:r>
              <w:rPr>
                <w:i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816" w:type="dxa"/>
            <w:gridSpan w:val="2"/>
            <w:tcMar>
              <w:top w:w="0" w:type="dxa"/>
              <w:left w:w="0" w:type="dxa"/>
              <w:bottom w:w="0" w:type="dxa"/>
              <w:right w:w="0" w:type="dxa"/>
            </w:tcMar>
            <w:vAlign w:val="center"/>
          </w:tcPr>
          <w:p>
            <w:pPr>
              <w:jc w:val="center"/>
              <w:rPr>
                <w:iCs/>
                <w:szCs w:val="21"/>
              </w:rPr>
            </w:pPr>
            <w:r>
              <w:rPr>
                <w:iCs/>
              </w:rPr>
              <w:t>清圈次数（次/a）</w:t>
            </w:r>
          </w:p>
        </w:tc>
        <w:tc>
          <w:tcPr>
            <w:tcW w:w="3040" w:type="dxa"/>
            <w:tcMar>
              <w:top w:w="0" w:type="dxa"/>
              <w:left w:w="0" w:type="dxa"/>
              <w:bottom w:w="0" w:type="dxa"/>
              <w:right w:w="0" w:type="dxa"/>
            </w:tcMar>
            <w:vAlign w:val="center"/>
          </w:tcPr>
          <w:p>
            <w:pPr>
              <w:jc w:val="center"/>
              <w:rPr>
                <w:szCs w:val="21"/>
              </w:rPr>
            </w:pPr>
            <w:r>
              <w:rPr>
                <w:szCs w:val="21"/>
              </w:rPr>
              <w:t>2</w:t>
            </w:r>
            <w:r>
              <w:rPr>
                <w:rFonts w:hint="eastAsia"/>
                <w:szCs w:val="21"/>
              </w:rPr>
              <w:t>.5</w:t>
            </w:r>
          </w:p>
        </w:tc>
        <w:tc>
          <w:tcPr>
            <w:tcW w:w="1999" w:type="dxa"/>
            <w:vAlign w:val="center"/>
          </w:tcPr>
          <w:p>
            <w:pPr>
              <w:jc w:val="center"/>
              <w:rPr>
                <w:iCs/>
                <w:szCs w:val="21"/>
              </w:rPr>
            </w:pPr>
            <w:r>
              <w:rPr>
                <w:i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30" w:type="dxa"/>
            <w:vMerge w:val="restart"/>
            <w:tcMar>
              <w:top w:w="0" w:type="dxa"/>
              <w:left w:w="0" w:type="dxa"/>
              <w:bottom w:w="0" w:type="dxa"/>
              <w:right w:w="0" w:type="dxa"/>
            </w:tcMar>
            <w:vAlign w:val="center"/>
          </w:tcPr>
          <w:p>
            <w:pPr>
              <w:jc w:val="center"/>
              <w:rPr>
                <w:iCs/>
                <w:szCs w:val="21"/>
              </w:rPr>
            </w:pPr>
            <w:r>
              <w:rPr>
                <w:iCs/>
              </w:rPr>
              <w:t>猪舍冲洗水</w:t>
            </w:r>
          </w:p>
        </w:tc>
        <w:tc>
          <w:tcPr>
            <w:tcW w:w="1486" w:type="dxa"/>
            <w:vAlign w:val="center"/>
          </w:tcPr>
          <w:p>
            <w:pPr>
              <w:jc w:val="center"/>
              <w:rPr>
                <w:szCs w:val="21"/>
              </w:rPr>
            </w:pPr>
            <w:r>
              <w:rPr>
                <w:iCs/>
                <w:kern w:val="0"/>
                <w:szCs w:val="21"/>
              </w:rPr>
              <w:t>新鲜水m</w:t>
            </w:r>
            <w:r>
              <w:rPr>
                <w:iCs/>
                <w:kern w:val="0"/>
                <w:szCs w:val="21"/>
                <w:vertAlign w:val="superscript"/>
              </w:rPr>
              <w:t>3</w:t>
            </w:r>
            <w:r>
              <w:rPr>
                <w:iCs/>
                <w:kern w:val="0"/>
                <w:szCs w:val="21"/>
              </w:rPr>
              <w:t>/次</w:t>
            </w:r>
          </w:p>
        </w:tc>
        <w:tc>
          <w:tcPr>
            <w:tcW w:w="3040" w:type="dxa"/>
            <w:tcMar>
              <w:top w:w="0" w:type="dxa"/>
              <w:left w:w="0" w:type="dxa"/>
              <w:bottom w:w="0" w:type="dxa"/>
              <w:right w:w="0" w:type="dxa"/>
            </w:tcMar>
            <w:vAlign w:val="center"/>
          </w:tcPr>
          <w:p>
            <w:pPr>
              <w:jc w:val="center"/>
              <w:rPr>
                <w:color w:val="000000"/>
                <w:szCs w:val="21"/>
              </w:rPr>
            </w:pPr>
            <w:r>
              <w:rPr>
                <w:color w:val="000000"/>
                <w:szCs w:val="21"/>
              </w:rPr>
              <w:t>18</w:t>
            </w:r>
          </w:p>
        </w:tc>
        <w:tc>
          <w:tcPr>
            <w:tcW w:w="1999" w:type="dxa"/>
            <w:vAlign w:val="center"/>
          </w:tcPr>
          <w:p>
            <w:pPr>
              <w:jc w:val="center"/>
              <w:rPr>
                <w:iCs/>
                <w:szCs w:val="21"/>
              </w:rPr>
            </w:pPr>
            <w:r>
              <w:rPr>
                <w:i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330" w:type="dxa"/>
            <w:vMerge w:val="continue"/>
            <w:tcMar>
              <w:top w:w="0" w:type="dxa"/>
              <w:left w:w="0" w:type="dxa"/>
              <w:bottom w:w="0" w:type="dxa"/>
              <w:right w:w="0" w:type="dxa"/>
            </w:tcMar>
            <w:vAlign w:val="center"/>
          </w:tcPr>
          <w:p>
            <w:pPr>
              <w:jc w:val="center"/>
              <w:rPr>
                <w:iCs/>
              </w:rPr>
            </w:pPr>
          </w:p>
        </w:tc>
        <w:tc>
          <w:tcPr>
            <w:tcW w:w="1486" w:type="dxa"/>
            <w:vAlign w:val="center"/>
          </w:tcPr>
          <w:p>
            <w:pPr>
              <w:jc w:val="center"/>
              <w:rPr>
                <w:iCs/>
                <w:kern w:val="0"/>
                <w:szCs w:val="21"/>
              </w:rPr>
            </w:pPr>
            <w:r>
              <w:rPr>
                <w:iCs/>
                <w:kern w:val="0"/>
                <w:szCs w:val="21"/>
              </w:rPr>
              <w:t>沼液m</w:t>
            </w:r>
            <w:r>
              <w:rPr>
                <w:iCs/>
                <w:kern w:val="0"/>
                <w:szCs w:val="21"/>
                <w:vertAlign w:val="superscript"/>
              </w:rPr>
              <w:t>3</w:t>
            </w:r>
            <w:r>
              <w:rPr>
                <w:iCs/>
                <w:kern w:val="0"/>
                <w:szCs w:val="21"/>
              </w:rPr>
              <w:t>/次</w:t>
            </w:r>
          </w:p>
        </w:tc>
        <w:tc>
          <w:tcPr>
            <w:tcW w:w="3040" w:type="dxa"/>
            <w:tcMar>
              <w:top w:w="0" w:type="dxa"/>
              <w:left w:w="0" w:type="dxa"/>
              <w:bottom w:w="0" w:type="dxa"/>
              <w:right w:w="0" w:type="dxa"/>
            </w:tcMar>
            <w:vAlign w:val="center"/>
          </w:tcPr>
          <w:p>
            <w:pPr>
              <w:jc w:val="center"/>
              <w:rPr>
                <w:color w:val="000000"/>
                <w:szCs w:val="21"/>
              </w:rPr>
            </w:pPr>
            <w:r>
              <w:rPr>
                <w:color w:val="000000"/>
                <w:szCs w:val="21"/>
              </w:rPr>
              <w:t>15</w:t>
            </w:r>
          </w:p>
        </w:tc>
        <w:tc>
          <w:tcPr>
            <w:tcW w:w="1999" w:type="dxa"/>
            <w:vAlign w:val="center"/>
          </w:tcPr>
          <w:p>
            <w:pPr>
              <w:jc w:val="center"/>
              <w:rPr>
                <w:iCs/>
              </w:rPr>
            </w:pPr>
            <w:r>
              <w:rPr>
                <w:i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330" w:type="dxa"/>
            <w:vMerge w:val="continue"/>
            <w:vAlign w:val="center"/>
          </w:tcPr>
          <w:p>
            <w:pPr>
              <w:widowControl/>
              <w:jc w:val="left"/>
              <w:rPr>
                <w:iCs/>
                <w:szCs w:val="21"/>
              </w:rPr>
            </w:pPr>
          </w:p>
        </w:tc>
        <w:tc>
          <w:tcPr>
            <w:tcW w:w="1486" w:type="dxa"/>
            <w:vAlign w:val="center"/>
          </w:tcPr>
          <w:p>
            <w:pPr>
              <w:jc w:val="center"/>
              <w:rPr>
                <w:color w:val="000000"/>
                <w:szCs w:val="21"/>
              </w:rPr>
            </w:pPr>
            <w:r>
              <w:rPr>
                <w:iCs/>
                <w:kern w:val="0"/>
                <w:szCs w:val="21"/>
              </w:rPr>
              <w:t>新鲜水m</w:t>
            </w:r>
            <w:r>
              <w:rPr>
                <w:iCs/>
                <w:kern w:val="0"/>
                <w:szCs w:val="21"/>
                <w:vertAlign w:val="superscript"/>
              </w:rPr>
              <w:t>3</w:t>
            </w:r>
            <w:r>
              <w:rPr>
                <w:iCs/>
                <w:kern w:val="0"/>
                <w:szCs w:val="21"/>
              </w:rPr>
              <w:t>/a</w:t>
            </w:r>
          </w:p>
        </w:tc>
        <w:tc>
          <w:tcPr>
            <w:tcW w:w="3040" w:type="dxa"/>
            <w:tcMar>
              <w:top w:w="0" w:type="dxa"/>
              <w:left w:w="0" w:type="dxa"/>
              <w:bottom w:w="0" w:type="dxa"/>
              <w:right w:w="0" w:type="dxa"/>
            </w:tcMar>
            <w:vAlign w:val="bottom"/>
          </w:tcPr>
          <w:p>
            <w:pPr>
              <w:jc w:val="center"/>
              <w:rPr>
                <w:color w:val="000000"/>
                <w:szCs w:val="21"/>
              </w:rPr>
            </w:pPr>
            <w:r>
              <w:rPr>
                <w:rFonts w:hint="eastAsia"/>
                <w:color w:val="000000"/>
                <w:szCs w:val="21"/>
              </w:rPr>
              <w:t>3600</w:t>
            </w:r>
          </w:p>
        </w:tc>
        <w:tc>
          <w:tcPr>
            <w:tcW w:w="1999" w:type="dxa"/>
            <w:vAlign w:val="bottom"/>
          </w:tcPr>
          <w:p>
            <w:pPr>
              <w:jc w:val="center"/>
              <w:rPr>
                <w:color w:val="000000"/>
                <w:szCs w:val="21"/>
              </w:rPr>
            </w:pPr>
            <w:r>
              <w:rPr>
                <w:rFonts w:hint="eastAsia"/>
                <w:color w:val="000000"/>
                <w:szCs w:val="21"/>
              </w:rPr>
              <w:t>3600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330" w:type="dxa"/>
            <w:vMerge w:val="continue"/>
            <w:vAlign w:val="center"/>
          </w:tcPr>
          <w:p>
            <w:pPr>
              <w:widowControl/>
              <w:jc w:val="left"/>
              <w:rPr>
                <w:iCs/>
                <w:szCs w:val="21"/>
              </w:rPr>
            </w:pPr>
          </w:p>
        </w:tc>
        <w:tc>
          <w:tcPr>
            <w:tcW w:w="1486" w:type="dxa"/>
            <w:vAlign w:val="center"/>
          </w:tcPr>
          <w:p>
            <w:pPr>
              <w:jc w:val="center"/>
              <w:rPr>
                <w:iCs/>
                <w:kern w:val="0"/>
                <w:szCs w:val="21"/>
              </w:rPr>
            </w:pPr>
            <w:r>
              <w:rPr>
                <w:iCs/>
                <w:kern w:val="0"/>
                <w:szCs w:val="21"/>
              </w:rPr>
              <w:t>沼液m</w:t>
            </w:r>
            <w:r>
              <w:rPr>
                <w:iCs/>
                <w:kern w:val="0"/>
                <w:szCs w:val="21"/>
                <w:vertAlign w:val="superscript"/>
              </w:rPr>
              <w:t>3</w:t>
            </w:r>
            <w:r>
              <w:rPr>
                <w:iCs/>
                <w:kern w:val="0"/>
                <w:szCs w:val="21"/>
              </w:rPr>
              <w:t>/a</w:t>
            </w:r>
          </w:p>
        </w:tc>
        <w:tc>
          <w:tcPr>
            <w:tcW w:w="3040" w:type="dxa"/>
            <w:tcMar>
              <w:top w:w="0" w:type="dxa"/>
              <w:left w:w="0" w:type="dxa"/>
              <w:bottom w:w="0" w:type="dxa"/>
              <w:right w:w="0" w:type="dxa"/>
            </w:tcMar>
            <w:vAlign w:val="bottom"/>
          </w:tcPr>
          <w:p>
            <w:pPr>
              <w:jc w:val="center"/>
              <w:rPr>
                <w:color w:val="000000"/>
                <w:szCs w:val="21"/>
              </w:rPr>
            </w:pPr>
            <w:r>
              <w:rPr>
                <w:rFonts w:hint="eastAsia"/>
                <w:color w:val="000000"/>
                <w:szCs w:val="21"/>
              </w:rPr>
              <w:t>3000</w:t>
            </w:r>
          </w:p>
        </w:tc>
        <w:tc>
          <w:tcPr>
            <w:tcW w:w="1999" w:type="dxa"/>
            <w:vAlign w:val="bottom"/>
          </w:tcPr>
          <w:p>
            <w:pPr>
              <w:jc w:val="center"/>
              <w:rPr>
                <w:szCs w:val="21"/>
              </w:rPr>
            </w:pPr>
            <w:r>
              <w:rPr>
                <w:rFonts w:hint="eastAsia"/>
                <w:szCs w:val="21"/>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330" w:type="dxa"/>
            <w:vMerge w:val="continue"/>
            <w:vAlign w:val="center"/>
          </w:tcPr>
          <w:p>
            <w:pPr>
              <w:widowControl/>
              <w:jc w:val="left"/>
              <w:rPr>
                <w:iCs/>
                <w:szCs w:val="21"/>
              </w:rPr>
            </w:pPr>
          </w:p>
        </w:tc>
        <w:tc>
          <w:tcPr>
            <w:tcW w:w="4526" w:type="dxa"/>
            <w:gridSpan w:val="2"/>
            <w:vAlign w:val="center"/>
          </w:tcPr>
          <w:p>
            <w:pPr>
              <w:jc w:val="center"/>
              <w:rPr>
                <w:color w:val="000000"/>
                <w:szCs w:val="21"/>
              </w:rPr>
            </w:pPr>
            <w:r>
              <w:rPr>
                <w:color w:val="000000"/>
                <w:szCs w:val="21"/>
              </w:rPr>
              <w:t>合计</w:t>
            </w:r>
          </w:p>
        </w:tc>
        <w:tc>
          <w:tcPr>
            <w:tcW w:w="1999" w:type="dxa"/>
            <w:vAlign w:val="center"/>
          </w:tcPr>
          <w:p>
            <w:pPr>
              <w:jc w:val="center"/>
              <w:rPr>
                <w:szCs w:val="21"/>
              </w:rPr>
            </w:pPr>
            <w:r>
              <w:rPr>
                <w:rFonts w:hint="eastAsia"/>
                <w:szCs w:val="21"/>
              </w:rPr>
              <w:t>6600</w:t>
            </w:r>
          </w:p>
        </w:tc>
      </w:tr>
    </w:tbl>
    <w:p>
      <w:pPr>
        <w:pStyle w:val="98"/>
        <w:spacing w:line="520" w:lineRule="exact"/>
        <w:ind w:firstLine="480"/>
      </w:pPr>
      <w:r>
        <w:rPr>
          <w:bCs/>
          <w:iCs/>
        </w:rPr>
        <w:t>猪舍冲洗水中新鲜水和沼液比例是6:5，猪舍冲洗用水总量为</w:t>
      </w:r>
      <w:r>
        <w:rPr>
          <w:rFonts w:hint="eastAsia"/>
          <w:bCs/>
          <w:iCs/>
        </w:rPr>
        <w:t>6600</w:t>
      </w:r>
      <w:r>
        <w:rPr>
          <w:iCs/>
          <w:kern w:val="0"/>
          <w:szCs w:val="21"/>
        </w:rPr>
        <w:t>m</w:t>
      </w:r>
      <w:r>
        <w:rPr>
          <w:iCs/>
          <w:kern w:val="0"/>
          <w:szCs w:val="21"/>
          <w:vertAlign w:val="superscript"/>
        </w:rPr>
        <w:t>3</w:t>
      </w:r>
      <w:r>
        <w:rPr>
          <w:iCs/>
          <w:kern w:val="0"/>
          <w:szCs w:val="21"/>
        </w:rPr>
        <w:t>/a，其中</w:t>
      </w:r>
      <w:r>
        <w:rPr>
          <w:bCs/>
          <w:iCs/>
        </w:rPr>
        <w:t>新鲜水用量为</w:t>
      </w:r>
      <w:r>
        <w:rPr>
          <w:rFonts w:hint="eastAsia"/>
          <w:bCs/>
          <w:iCs/>
        </w:rPr>
        <w:t>360</w:t>
      </w:r>
      <w:r>
        <w:rPr>
          <w:bCs/>
          <w:iCs/>
        </w:rPr>
        <w:t>0</w:t>
      </w:r>
      <w:r>
        <w:rPr>
          <w:iCs/>
          <w:kern w:val="0"/>
          <w:szCs w:val="21"/>
        </w:rPr>
        <w:t>m</w:t>
      </w:r>
      <w:r>
        <w:rPr>
          <w:iCs/>
          <w:kern w:val="0"/>
          <w:szCs w:val="21"/>
          <w:vertAlign w:val="superscript"/>
        </w:rPr>
        <w:t>3</w:t>
      </w:r>
      <w:r>
        <w:rPr>
          <w:iCs/>
          <w:kern w:val="0"/>
          <w:szCs w:val="21"/>
        </w:rPr>
        <w:t>/a，沼液回用量为</w:t>
      </w:r>
      <w:r>
        <w:rPr>
          <w:rFonts w:hint="eastAsia"/>
          <w:iCs/>
          <w:kern w:val="0"/>
          <w:szCs w:val="21"/>
        </w:rPr>
        <w:t>30</w:t>
      </w:r>
      <w:r>
        <w:rPr>
          <w:iCs/>
          <w:kern w:val="0"/>
          <w:szCs w:val="21"/>
        </w:rPr>
        <w:t>00 m</w:t>
      </w:r>
      <w:r>
        <w:rPr>
          <w:iCs/>
          <w:kern w:val="0"/>
          <w:szCs w:val="21"/>
          <w:vertAlign w:val="superscript"/>
        </w:rPr>
        <w:t>3</w:t>
      </w:r>
      <w:r>
        <w:rPr>
          <w:iCs/>
          <w:kern w:val="0"/>
          <w:szCs w:val="21"/>
        </w:rPr>
        <w:t>/a。</w:t>
      </w:r>
    </w:p>
    <w:p>
      <w:pPr>
        <w:pStyle w:val="98"/>
        <w:ind w:firstLine="480"/>
      </w:pPr>
      <w:r>
        <w:t>2、猪舍降温用水</w:t>
      </w:r>
    </w:p>
    <w:p>
      <w:pPr>
        <w:spacing w:line="360" w:lineRule="auto"/>
        <w:ind w:firstLine="480" w:firstLineChars="200"/>
        <w:rPr>
          <w:sz w:val="24"/>
        </w:rPr>
      </w:pPr>
      <w:r>
        <w:rPr>
          <w:sz w:val="24"/>
        </w:rPr>
        <w:t>本项目夏季猪舍降温主要利用</w:t>
      </w:r>
      <w:r>
        <w:rPr>
          <w:rFonts w:hint="eastAsia"/>
          <w:sz w:val="24"/>
        </w:rPr>
        <w:t>喷雾机</w:t>
      </w:r>
      <w:r>
        <w:rPr>
          <w:sz w:val="24"/>
        </w:rPr>
        <w:t>降温，循环水量为210m</w:t>
      </w:r>
      <w:r>
        <w:rPr>
          <w:sz w:val="24"/>
          <w:vertAlign w:val="superscript"/>
        </w:rPr>
        <w:t>3</w:t>
      </w:r>
      <w:r>
        <w:rPr>
          <w:sz w:val="24"/>
        </w:rPr>
        <w:t>/d，损失部分主要是蒸发损失，损失量为12m</w:t>
      </w:r>
      <w:r>
        <w:rPr>
          <w:sz w:val="24"/>
          <w:vertAlign w:val="superscript"/>
        </w:rPr>
        <w:t>3</w:t>
      </w:r>
      <w:r>
        <w:rPr>
          <w:sz w:val="24"/>
        </w:rPr>
        <w:t>/d，损失的这部分水由新鲜水进行补充，夏季按122天计算，则夏季猪舍降温用水为12m</w:t>
      </w:r>
      <w:r>
        <w:rPr>
          <w:sz w:val="24"/>
          <w:vertAlign w:val="superscript"/>
        </w:rPr>
        <w:t>3</w:t>
      </w:r>
      <w:r>
        <w:rPr>
          <w:sz w:val="24"/>
        </w:rPr>
        <w:t>/d、1464m</w:t>
      </w:r>
      <w:r>
        <w:rPr>
          <w:sz w:val="24"/>
          <w:vertAlign w:val="superscript"/>
        </w:rPr>
        <w:t>3</w:t>
      </w:r>
      <w:r>
        <w:rPr>
          <w:sz w:val="24"/>
        </w:rPr>
        <w:t>/a。</w:t>
      </w:r>
    </w:p>
    <w:p>
      <w:pPr>
        <w:adjustRightInd w:val="0"/>
        <w:snapToGrid w:val="0"/>
        <w:spacing w:line="360" w:lineRule="auto"/>
        <w:ind w:firstLine="480" w:firstLineChars="200"/>
        <w:rPr>
          <w:color w:val="000000" w:themeColor="text1"/>
          <w:sz w:val="24"/>
          <w:szCs w:val="22"/>
        </w:rPr>
      </w:pPr>
      <w:r>
        <w:rPr>
          <w:color w:val="000000" w:themeColor="text1"/>
          <w:sz w:val="24"/>
        </w:rPr>
        <w:t>3、消毒用水</w:t>
      </w:r>
    </w:p>
    <w:p>
      <w:pPr>
        <w:adjustRightInd w:val="0"/>
        <w:snapToGrid w:val="0"/>
        <w:spacing w:line="360" w:lineRule="auto"/>
        <w:ind w:firstLine="472" w:firstLineChars="200"/>
        <w:rPr>
          <w:color w:val="000000" w:themeColor="text1"/>
        </w:rPr>
      </w:pPr>
      <w:r>
        <w:rPr>
          <w:color w:val="000000" w:themeColor="text1"/>
          <w:spacing w:val="-2"/>
          <w:sz w:val="24"/>
        </w:rPr>
        <w:t>主要是对人员及车辆消毒用水，用水量约为1600m</w:t>
      </w:r>
      <w:r>
        <w:rPr>
          <w:color w:val="000000" w:themeColor="text1"/>
          <w:spacing w:val="-2"/>
          <w:sz w:val="24"/>
          <w:vertAlign w:val="superscript"/>
        </w:rPr>
        <w:t>3</w:t>
      </w:r>
      <w:r>
        <w:rPr>
          <w:color w:val="000000" w:themeColor="text1"/>
          <w:spacing w:val="-2"/>
          <w:sz w:val="24"/>
        </w:rPr>
        <w:t>/a，损耗蒸发或由汽车带走，不外排。</w:t>
      </w:r>
    </w:p>
    <w:p>
      <w:pPr>
        <w:adjustRightInd w:val="0"/>
        <w:snapToGrid w:val="0"/>
        <w:spacing w:line="360" w:lineRule="auto"/>
        <w:ind w:firstLine="420" w:firstLineChars="200"/>
        <w:rPr>
          <w:sz w:val="24"/>
        </w:rPr>
      </w:pPr>
      <w:r>
        <w:t>4、</w:t>
      </w:r>
      <w:r>
        <w:rPr>
          <w:sz w:val="24"/>
        </w:rPr>
        <w:t>无害化处理车间用水</w:t>
      </w:r>
    </w:p>
    <w:p>
      <w:pPr>
        <w:adjustRightInd w:val="0"/>
        <w:snapToGrid w:val="0"/>
        <w:spacing w:line="360" w:lineRule="auto"/>
        <w:ind w:firstLine="480" w:firstLineChars="200"/>
        <w:rPr>
          <w:bCs/>
          <w:color w:val="000000"/>
          <w:sz w:val="24"/>
        </w:rPr>
      </w:pPr>
      <w:r>
        <w:rPr>
          <w:color w:val="000000"/>
          <w:kern w:val="0"/>
          <w:sz w:val="24"/>
        </w:rPr>
        <w:t>本项目无害化</w:t>
      </w:r>
      <w:r>
        <w:rPr>
          <w:color w:val="000000" w:themeColor="text1"/>
          <w:spacing w:val="-2"/>
          <w:sz w:val="24"/>
        </w:rPr>
        <w:t>处理</w:t>
      </w:r>
      <w:r>
        <w:rPr>
          <w:color w:val="000000"/>
          <w:kern w:val="0"/>
          <w:sz w:val="24"/>
        </w:rPr>
        <w:t>中心热源采用燃气锅炉，项目沼气除用于食堂外，剩余部分全部用于无害化处理中心燃气锅炉，</w:t>
      </w:r>
      <w:r>
        <w:rPr>
          <w:bCs/>
          <w:color w:val="000000"/>
          <w:sz w:val="24"/>
        </w:rPr>
        <w:t>参考牧原食品股份有限公司已建无害化处理间的实际用水情况，本项目无害化处理中心新鲜用水量为</w:t>
      </w:r>
      <w:r>
        <w:rPr>
          <w:sz w:val="24"/>
        </w:rPr>
        <w:t>0.6</w:t>
      </w:r>
      <w:r>
        <w:rPr>
          <w:bCs/>
          <w:color w:val="000000"/>
          <w:sz w:val="24"/>
        </w:rPr>
        <w:t>m</w:t>
      </w:r>
      <w:r>
        <w:rPr>
          <w:bCs/>
          <w:color w:val="000000"/>
          <w:sz w:val="24"/>
          <w:vertAlign w:val="superscript"/>
        </w:rPr>
        <w:t>3</w:t>
      </w:r>
      <w:r>
        <w:rPr>
          <w:bCs/>
          <w:color w:val="000000"/>
          <w:sz w:val="24"/>
        </w:rPr>
        <w:t>/d（</w:t>
      </w:r>
      <w:r>
        <w:rPr>
          <w:sz w:val="24"/>
        </w:rPr>
        <w:t xml:space="preserve">219 </w:t>
      </w:r>
      <w:r>
        <w:rPr>
          <w:bCs/>
          <w:color w:val="000000"/>
          <w:sz w:val="24"/>
        </w:rPr>
        <w:t>m</w:t>
      </w:r>
      <w:r>
        <w:rPr>
          <w:bCs/>
          <w:color w:val="000000"/>
          <w:sz w:val="24"/>
          <w:vertAlign w:val="superscript"/>
        </w:rPr>
        <w:t>3</w:t>
      </w:r>
      <w:r>
        <w:rPr>
          <w:bCs/>
          <w:color w:val="000000"/>
          <w:sz w:val="24"/>
        </w:rPr>
        <w:t>/a），具体用水量</w:t>
      </w:r>
      <w:r>
        <w:rPr>
          <w:color w:val="000000"/>
          <w:kern w:val="0"/>
          <w:sz w:val="24"/>
        </w:rPr>
        <w:t>见表2.1-11。</w:t>
      </w:r>
    </w:p>
    <w:p>
      <w:pPr>
        <w:widowControl/>
        <w:spacing w:line="360" w:lineRule="auto"/>
        <w:jc w:val="center"/>
        <w:rPr>
          <w:b/>
          <w:color w:val="000000"/>
          <w:kern w:val="0"/>
          <w:sz w:val="24"/>
        </w:rPr>
      </w:pPr>
      <w:r>
        <w:rPr>
          <w:b/>
          <w:color w:val="000000"/>
          <w:kern w:val="0"/>
          <w:sz w:val="24"/>
        </w:rPr>
        <w:t>表</w:t>
      </w:r>
      <w:r>
        <w:rPr>
          <w:b/>
          <w:sz w:val="24"/>
        </w:rPr>
        <w:t xml:space="preserve">2.1-11  </w:t>
      </w:r>
      <w:r>
        <w:rPr>
          <w:b/>
          <w:color w:val="000000"/>
          <w:kern w:val="0"/>
          <w:sz w:val="24"/>
        </w:rPr>
        <w:t>本项目无害化处理中心用水量</w:t>
      </w:r>
    </w:p>
    <w:tbl>
      <w:tblPr>
        <w:tblStyle w:val="44"/>
        <w:tblW w:w="894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1362"/>
        <w:gridCol w:w="6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584" w:type="dxa"/>
            <w:tcBorders>
              <w:top w:val="single" w:color="auto" w:sz="12" w:space="0"/>
              <w:left w:val="single" w:color="auto" w:sz="12" w:space="0"/>
              <w:bottom w:val="single" w:color="auto" w:sz="4" w:space="0"/>
              <w:right w:val="single" w:color="auto" w:sz="4" w:space="0"/>
            </w:tcBorders>
            <w:vAlign w:val="center"/>
          </w:tcPr>
          <w:p>
            <w:pPr>
              <w:widowControl/>
              <w:jc w:val="center"/>
              <w:rPr>
                <w:bCs/>
                <w:color w:val="000000"/>
                <w:szCs w:val="21"/>
              </w:rPr>
            </w:pPr>
            <w:r>
              <w:rPr>
                <w:bCs/>
                <w:color w:val="000000"/>
                <w:szCs w:val="21"/>
              </w:rPr>
              <w:t>项目</w:t>
            </w:r>
          </w:p>
        </w:tc>
        <w:tc>
          <w:tcPr>
            <w:tcW w:w="1362" w:type="dxa"/>
            <w:tcBorders>
              <w:top w:val="single" w:color="auto" w:sz="12" w:space="0"/>
              <w:left w:val="single" w:color="auto" w:sz="4" w:space="0"/>
              <w:bottom w:val="single" w:color="auto" w:sz="4" w:space="0"/>
              <w:right w:val="single" w:color="auto" w:sz="4" w:space="0"/>
            </w:tcBorders>
            <w:vAlign w:val="center"/>
          </w:tcPr>
          <w:p>
            <w:pPr>
              <w:widowControl/>
              <w:jc w:val="center"/>
              <w:rPr>
                <w:bCs/>
                <w:color w:val="000000"/>
                <w:szCs w:val="21"/>
              </w:rPr>
            </w:pPr>
            <w:r>
              <w:rPr>
                <w:bCs/>
                <w:color w:val="000000"/>
                <w:szCs w:val="21"/>
              </w:rPr>
              <w:t>用水量(m</w:t>
            </w:r>
            <w:r>
              <w:rPr>
                <w:bCs/>
                <w:color w:val="000000"/>
                <w:szCs w:val="21"/>
                <w:vertAlign w:val="superscript"/>
              </w:rPr>
              <w:t>3</w:t>
            </w:r>
            <w:r>
              <w:rPr>
                <w:bCs/>
                <w:color w:val="000000"/>
                <w:szCs w:val="21"/>
              </w:rPr>
              <w:t>/d)</w:t>
            </w:r>
          </w:p>
        </w:tc>
        <w:tc>
          <w:tcPr>
            <w:tcW w:w="6002" w:type="dxa"/>
            <w:tcBorders>
              <w:top w:val="single" w:color="auto" w:sz="12" w:space="0"/>
              <w:left w:val="single" w:color="auto" w:sz="4" w:space="0"/>
              <w:bottom w:val="single" w:color="auto" w:sz="4" w:space="0"/>
              <w:right w:val="single" w:color="auto" w:sz="12" w:space="0"/>
            </w:tcBorders>
            <w:vAlign w:val="center"/>
          </w:tcPr>
          <w:p>
            <w:pPr>
              <w:widowControl/>
              <w:jc w:val="center"/>
              <w:rPr>
                <w:bCs/>
                <w:color w:val="000000"/>
                <w:szCs w:val="21"/>
              </w:rPr>
            </w:pPr>
            <w:r>
              <w:rPr>
                <w:bCs/>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84" w:type="dxa"/>
            <w:tcBorders>
              <w:top w:val="single" w:color="auto" w:sz="4" w:space="0"/>
              <w:left w:val="single" w:color="auto" w:sz="12" w:space="0"/>
              <w:bottom w:val="single" w:color="auto" w:sz="4" w:space="0"/>
              <w:right w:val="single" w:color="auto" w:sz="4" w:space="0"/>
            </w:tcBorders>
            <w:vAlign w:val="center"/>
          </w:tcPr>
          <w:p>
            <w:pPr>
              <w:widowControl/>
              <w:jc w:val="center"/>
              <w:rPr>
                <w:bCs/>
                <w:color w:val="000000"/>
                <w:szCs w:val="21"/>
              </w:rPr>
            </w:pPr>
            <w:r>
              <w:rPr>
                <w:bCs/>
                <w:color w:val="000000"/>
                <w:szCs w:val="21"/>
              </w:rPr>
              <w:t>冲洗无害化处理中心用水</w:t>
            </w:r>
          </w:p>
        </w:tc>
        <w:tc>
          <w:tcPr>
            <w:tcW w:w="1362" w:type="dxa"/>
            <w:tcBorders>
              <w:top w:val="single" w:color="auto" w:sz="4" w:space="0"/>
              <w:left w:val="single" w:color="auto" w:sz="4" w:space="0"/>
              <w:bottom w:val="single" w:color="auto" w:sz="4" w:space="0"/>
              <w:right w:val="single" w:color="auto" w:sz="4" w:space="0"/>
            </w:tcBorders>
            <w:vAlign w:val="center"/>
          </w:tcPr>
          <w:p>
            <w:pPr>
              <w:widowControl/>
              <w:jc w:val="center"/>
              <w:rPr>
                <w:bCs/>
                <w:color w:val="000000"/>
                <w:szCs w:val="21"/>
              </w:rPr>
            </w:pPr>
            <w:r>
              <w:rPr>
                <w:bCs/>
                <w:color w:val="000000"/>
                <w:szCs w:val="21"/>
              </w:rPr>
              <w:t>0.6</w:t>
            </w:r>
          </w:p>
        </w:tc>
        <w:tc>
          <w:tcPr>
            <w:tcW w:w="6002" w:type="dxa"/>
            <w:tcBorders>
              <w:top w:val="single" w:color="auto" w:sz="4" w:space="0"/>
              <w:left w:val="single" w:color="auto" w:sz="4" w:space="0"/>
              <w:bottom w:val="single" w:color="auto" w:sz="4" w:space="0"/>
              <w:right w:val="single" w:color="auto" w:sz="12" w:space="0"/>
            </w:tcBorders>
            <w:vAlign w:val="center"/>
          </w:tcPr>
          <w:p>
            <w:pPr>
              <w:widowControl/>
              <w:jc w:val="center"/>
              <w:rPr>
                <w:bCs/>
                <w:color w:val="000000"/>
                <w:szCs w:val="21"/>
              </w:rPr>
            </w:pPr>
            <w:r>
              <w:rPr>
                <w:bCs/>
                <w:color w:val="000000"/>
                <w:szCs w:val="21"/>
              </w:rPr>
              <w:t>车间冲洗水量按照3.75L/ m</w:t>
            </w:r>
            <w:r>
              <w:rPr>
                <w:bCs/>
                <w:color w:val="000000"/>
                <w:szCs w:val="21"/>
                <w:vertAlign w:val="superscript"/>
              </w:rPr>
              <w:t>2</w:t>
            </w:r>
            <w:r>
              <w:rPr>
                <w:bCs/>
                <w:color w:val="000000"/>
                <w:szCs w:val="21"/>
              </w:rPr>
              <w:t>/d计算，无害化车间总占地面积160m</w:t>
            </w:r>
            <w:r>
              <w:rPr>
                <w:bCs/>
                <w:color w:val="000000"/>
                <w:szCs w:val="21"/>
                <w:vertAlign w:val="superscript"/>
              </w:rPr>
              <w:t>2</w:t>
            </w:r>
            <w:r>
              <w:rPr>
                <w:rFonts w:hint="eastAsia"/>
                <w:bCs/>
                <w:color w:val="000000"/>
                <w:szCs w:val="21"/>
              </w:rPr>
              <w:t>。</w:t>
            </w:r>
          </w:p>
        </w:tc>
      </w:tr>
    </w:tbl>
    <w:p>
      <w:pPr>
        <w:pStyle w:val="98"/>
        <w:spacing w:line="520" w:lineRule="exact"/>
        <w:ind w:firstLine="480"/>
      </w:pPr>
      <w:r>
        <w:t>5、员工生活用水</w:t>
      </w:r>
    </w:p>
    <w:p>
      <w:pPr>
        <w:pStyle w:val="98"/>
        <w:spacing w:line="520" w:lineRule="exact"/>
        <w:ind w:firstLine="480"/>
        <w:rPr>
          <w:color w:val="FF0000"/>
        </w:rPr>
      </w:pPr>
      <w:r>
        <w:t>项目设有员工食堂和宿舍，员工生活污水经内部管道引至沼气工程处理，废水主要污染物为</w:t>
      </w:r>
      <w:r>
        <w:rPr>
          <w:bCs/>
        </w:rPr>
        <w:t>COD、BOD</w:t>
      </w:r>
      <w:r>
        <w:rPr>
          <w:bCs/>
          <w:vertAlign w:val="subscript"/>
        </w:rPr>
        <w:t>5</w:t>
      </w:r>
      <w:r>
        <w:rPr>
          <w:bCs/>
        </w:rPr>
        <w:t>、氨氮、动植物油等。</w:t>
      </w:r>
      <w:r>
        <w:t>本项目员工人数为</w:t>
      </w:r>
      <w:r>
        <w:rPr>
          <w:rFonts w:hint="eastAsia"/>
        </w:rPr>
        <w:t>49</w:t>
      </w:r>
      <w:r>
        <w:t>人，年工作365天，用水量按120L/d·人，则生活用水量为</w:t>
      </w:r>
      <w:r>
        <w:rPr>
          <w:rFonts w:hint="eastAsia"/>
        </w:rPr>
        <w:t>5.88</w:t>
      </w:r>
      <w:r>
        <w:t>m</w:t>
      </w:r>
      <w:r>
        <w:rPr>
          <w:vertAlign w:val="superscript"/>
        </w:rPr>
        <w:t>3</w:t>
      </w:r>
      <w:r>
        <w:t>/d、</w:t>
      </w:r>
      <w:r>
        <w:rPr>
          <w:rFonts w:hint="eastAsia"/>
        </w:rPr>
        <w:t>2146.2</w:t>
      </w:r>
      <w:r>
        <w:t>m</w:t>
      </w:r>
      <w:r>
        <w:rPr>
          <w:vertAlign w:val="superscript"/>
        </w:rPr>
        <w:t>3</w:t>
      </w:r>
      <w:r>
        <w:t>/a。废水排放量按用水量的80%计算，则生活污水产生量为</w:t>
      </w:r>
      <w:r>
        <w:rPr>
          <w:rFonts w:hint="eastAsia"/>
        </w:rPr>
        <w:t>4.70</w:t>
      </w:r>
      <w:r>
        <w:t>m</w:t>
      </w:r>
      <w:r>
        <w:rPr>
          <w:vertAlign w:val="superscript"/>
        </w:rPr>
        <w:t>3</w:t>
      </w:r>
      <w:r>
        <w:t>/d、</w:t>
      </w:r>
      <w:r>
        <w:rPr>
          <w:rFonts w:hint="eastAsia"/>
        </w:rPr>
        <w:t>1716.96</w:t>
      </w:r>
      <w:r>
        <w:t>m</w:t>
      </w:r>
      <w:r>
        <w:rPr>
          <w:vertAlign w:val="superscript"/>
        </w:rPr>
        <w:t>3</w:t>
      </w:r>
      <w:r>
        <w:t>/a。</w:t>
      </w:r>
    </w:p>
    <w:p>
      <w:pPr>
        <w:spacing w:line="520" w:lineRule="exact"/>
        <w:ind w:firstLine="480" w:firstLineChars="200"/>
        <w:rPr>
          <w:sz w:val="24"/>
        </w:rPr>
      </w:pPr>
      <w:r>
        <w:rPr>
          <w:sz w:val="24"/>
        </w:rPr>
        <w:t>项目新鲜用水消耗量一览表见表2.1-12。</w:t>
      </w:r>
    </w:p>
    <w:p>
      <w:pPr>
        <w:spacing w:line="500" w:lineRule="exact"/>
        <w:ind w:firstLine="482" w:firstLineChars="200"/>
        <w:jc w:val="center"/>
        <w:rPr>
          <w:b/>
          <w:sz w:val="24"/>
        </w:rPr>
      </w:pPr>
      <w:r>
        <w:rPr>
          <w:b/>
          <w:sz w:val="24"/>
        </w:rPr>
        <w:t>表2.1-12     项目新鲜水消耗量一览表</w:t>
      </w:r>
    </w:p>
    <w:tbl>
      <w:tblPr>
        <w:tblStyle w:val="44"/>
        <w:tblW w:w="89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3581"/>
        <w:gridCol w:w="1259"/>
        <w:gridCol w:w="23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89" w:type="dxa"/>
            <w:vAlign w:val="center"/>
          </w:tcPr>
          <w:p>
            <w:pPr>
              <w:jc w:val="center"/>
              <w:rPr>
                <w:szCs w:val="21"/>
              </w:rPr>
            </w:pPr>
            <w:r>
              <w:rPr>
                <w:szCs w:val="21"/>
              </w:rPr>
              <w:t>序号</w:t>
            </w:r>
          </w:p>
        </w:tc>
        <w:tc>
          <w:tcPr>
            <w:tcW w:w="3581" w:type="dxa"/>
            <w:vAlign w:val="center"/>
          </w:tcPr>
          <w:p>
            <w:pPr>
              <w:jc w:val="center"/>
              <w:rPr>
                <w:szCs w:val="21"/>
              </w:rPr>
            </w:pPr>
            <w:r>
              <w:rPr>
                <w:szCs w:val="21"/>
              </w:rPr>
              <w:t>项目名称</w:t>
            </w:r>
          </w:p>
        </w:tc>
        <w:tc>
          <w:tcPr>
            <w:tcW w:w="1259" w:type="dxa"/>
            <w:vAlign w:val="center"/>
          </w:tcPr>
          <w:p>
            <w:pPr>
              <w:jc w:val="center"/>
              <w:rPr>
                <w:szCs w:val="21"/>
              </w:rPr>
            </w:pPr>
            <w:r>
              <w:rPr>
                <w:szCs w:val="21"/>
              </w:rPr>
              <w:t>单位</w:t>
            </w:r>
          </w:p>
        </w:tc>
        <w:tc>
          <w:tcPr>
            <w:tcW w:w="2319" w:type="dxa"/>
            <w:vAlign w:val="center"/>
          </w:tcPr>
          <w:p>
            <w:pPr>
              <w:jc w:val="center"/>
              <w:rPr>
                <w:szCs w:val="21"/>
              </w:rPr>
            </w:pPr>
            <w:r>
              <w:rPr>
                <w:szCs w:val="21"/>
              </w:rPr>
              <w:t>年消耗量</w:t>
            </w:r>
          </w:p>
        </w:tc>
      </w:tr>
      <w:tr>
        <w:tblPrEx>
          <w:tblCellMar>
            <w:top w:w="0" w:type="dxa"/>
            <w:left w:w="108" w:type="dxa"/>
            <w:bottom w:w="0" w:type="dxa"/>
            <w:right w:w="108" w:type="dxa"/>
          </w:tblCellMar>
        </w:tblPrEx>
        <w:trPr>
          <w:trHeight w:val="397" w:hRule="atLeast"/>
          <w:jc w:val="center"/>
        </w:trPr>
        <w:tc>
          <w:tcPr>
            <w:tcW w:w="1789" w:type="dxa"/>
            <w:vAlign w:val="center"/>
          </w:tcPr>
          <w:p>
            <w:pPr>
              <w:jc w:val="center"/>
              <w:rPr>
                <w:szCs w:val="21"/>
              </w:rPr>
            </w:pPr>
            <w:r>
              <w:rPr>
                <w:szCs w:val="21"/>
              </w:rPr>
              <w:t>1</w:t>
            </w:r>
          </w:p>
        </w:tc>
        <w:tc>
          <w:tcPr>
            <w:tcW w:w="3581" w:type="dxa"/>
            <w:vAlign w:val="center"/>
          </w:tcPr>
          <w:p>
            <w:pPr>
              <w:jc w:val="center"/>
              <w:rPr>
                <w:szCs w:val="21"/>
              </w:rPr>
            </w:pPr>
            <w:r>
              <w:rPr>
                <w:szCs w:val="21"/>
              </w:rPr>
              <w:t>猪只饮用水</w:t>
            </w:r>
          </w:p>
        </w:tc>
        <w:tc>
          <w:tcPr>
            <w:tcW w:w="1259" w:type="dxa"/>
            <w:vAlign w:val="center"/>
          </w:tcPr>
          <w:p>
            <w:pPr>
              <w:jc w:val="center"/>
              <w:rPr>
                <w:szCs w:val="21"/>
              </w:rPr>
            </w:pPr>
            <w:r>
              <w:rPr>
                <w:kern w:val="0"/>
                <w:szCs w:val="21"/>
              </w:rPr>
              <w:t>m</w:t>
            </w:r>
            <w:r>
              <w:rPr>
                <w:kern w:val="0"/>
                <w:szCs w:val="21"/>
                <w:vertAlign w:val="superscript"/>
              </w:rPr>
              <w:t>3</w:t>
            </w:r>
          </w:p>
        </w:tc>
        <w:tc>
          <w:tcPr>
            <w:tcW w:w="2319" w:type="dxa"/>
            <w:vAlign w:val="center"/>
          </w:tcPr>
          <w:p>
            <w:pPr>
              <w:jc w:val="center"/>
              <w:rPr>
                <w:iCs/>
                <w:color w:val="FF0000"/>
                <w:szCs w:val="21"/>
              </w:rPr>
            </w:pPr>
            <w:r>
              <w:rPr>
                <w:sz w:val="22"/>
                <w:szCs w:val="22"/>
              </w:rPr>
              <w:t>120716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9" w:type="dxa"/>
            <w:vAlign w:val="center"/>
          </w:tcPr>
          <w:p>
            <w:pPr>
              <w:jc w:val="center"/>
              <w:rPr>
                <w:szCs w:val="21"/>
              </w:rPr>
            </w:pPr>
            <w:r>
              <w:rPr>
                <w:szCs w:val="21"/>
              </w:rPr>
              <w:t>2</w:t>
            </w:r>
          </w:p>
        </w:tc>
        <w:tc>
          <w:tcPr>
            <w:tcW w:w="3581" w:type="dxa"/>
            <w:vAlign w:val="center"/>
          </w:tcPr>
          <w:p>
            <w:pPr>
              <w:jc w:val="center"/>
              <w:rPr>
                <w:szCs w:val="21"/>
              </w:rPr>
            </w:pPr>
            <w:r>
              <w:rPr>
                <w:bCs/>
                <w:szCs w:val="21"/>
              </w:rPr>
              <w:t>猪舍冲洗水</w:t>
            </w:r>
          </w:p>
        </w:tc>
        <w:tc>
          <w:tcPr>
            <w:tcW w:w="1259" w:type="dxa"/>
            <w:vAlign w:val="center"/>
          </w:tcPr>
          <w:p>
            <w:pPr>
              <w:jc w:val="center"/>
              <w:rPr>
                <w:szCs w:val="21"/>
              </w:rPr>
            </w:pPr>
            <w:r>
              <w:rPr>
                <w:kern w:val="0"/>
                <w:szCs w:val="21"/>
              </w:rPr>
              <w:t>m</w:t>
            </w:r>
            <w:r>
              <w:rPr>
                <w:kern w:val="0"/>
                <w:szCs w:val="21"/>
                <w:vertAlign w:val="superscript"/>
              </w:rPr>
              <w:t>3</w:t>
            </w:r>
          </w:p>
        </w:tc>
        <w:tc>
          <w:tcPr>
            <w:tcW w:w="2319" w:type="dxa"/>
            <w:vAlign w:val="center"/>
          </w:tcPr>
          <w:p>
            <w:pPr>
              <w:jc w:val="center"/>
              <w:rPr>
                <w:iCs/>
                <w:color w:val="FF0000"/>
                <w:szCs w:val="21"/>
              </w:rPr>
            </w:pPr>
            <w:r>
              <w:rPr>
                <w:rFonts w:hint="eastAsia"/>
                <w:bCs/>
                <w:iCs/>
                <w:szCs w:val="21"/>
              </w:rPr>
              <w:t>3600</w:t>
            </w:r>
            <w:r>
              <w:rPr>
                <w:bCs/>
                <w:iCs/>
                <w:szCs w:val="21"/>
              </w:rPr>
              <w:t>（不含沼液）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9" w:type="dxa"/>
            <w:vAlign w:val="center"/>
          </w:tcPr>
          <w:p>
            <w:pPr>
              <w:jc w:val="center"/>
              <w:rPr>
                <w:szCs w:val="21"/>
              </w:rPr>
            </w:pPr>
            <w:r>
              <w:rPr>
                <w:szCs w:val="21"/>
              </w:rPr>
              <w:t>3</w:t>
            </w:r>
          </w:p>
        </w:tc>
        <w:tc>
          <w:tcPr>
            <w:tcW w:w="3581" w:type="dxa"/>
            <w:vAlign w:val="center"/>
          </w:tcPr>
          <w:p>
            <w:pPr>
              <w:jc w:val="center"/>
              <w:rPr>
                <w:szCs w:val="21"/>
              </w:rPr>
            </w:pPr>
            <w:r>
              <w:rPr>
                <w:szCs w:val="21"/>
              </w:rPr>
              <w:t>职工生活用水</w:t>
            </w:r>
          </w:p>
        </w:tc>
        <w:tc>
          <w:tcPr>
            <w:tcW w:w="1259" w:type="dxa"/>
            <w:vAlign w:val="center"/>
          </w:tcPr>
          <w:p>
            <w:pPr>
              <w:jc w:val="center"/>
              <w:rPr>
                <w:szCs w:val="21"/>
              </w:rPr>
            </w:pPr>
            <w:r>
              <w:rPr>
                <w:kern w:val="0"/>
                <w:szCs w:val="21"/>
              </w:rPr>
              <w:t>m</w:t>
            </w:r>
            <w:r>
              <w:rPr>
                <w:kern w:val="0"/>
                <w:szCs w:val="21"/>
                <w:vertAlign w:val="superscript"/>
              </w:rPr>
              <w:t>3</w:t>
            </w:r>
          </w:p>
        </w:tc>
        <w:tc>
          <w:tcPr>
            <w:tcW w:w="2319" w:type="dxa"/>
            <w:vAlign w:val="center"/>
          </w:tcPr>
          <w:p>
            <w:pPr>
              <w:jc w:val="center"/>
              <w:rPr>
                <w:iCs/>
                <w:szCs w:val="21"/>
              </w:rPr>
            </w:pPr>
            <w:r>
              <w:rPr>
                <w:rFonts w:hint="eastAsia"/>
              </w:rPr>
              <w:t>2146.2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9" w:type="dxa"/>
            <w:vAlign w:val="center"/>
          </w:tcPr>
          <w:p>
            <w:pPr>
              <w:jc w:val="center"/>
              <w:rPr>
                <w:szCs w:val="21"/>
              </w:rPr>
            </w:pPr>
            <w:r>
              <w:rPr>
                <w:szCs w:val="21"/>
              </w:rPr>
              <w:t>4</w:t>
            </w:r>
          </w:p>
        </w:tc>
        <w:tc>
          <w:tcPr>
            <w:tcW w:w="3581" w:type="dxa"/>
            <w:vAlign w:val="center"/>
          </w:tcPr>
          <w:p>
            <w:pPr>
              <w:jc w:val="center"/>
              <w:rPr>
                <w:szCs w:val="21"/>
              </w:rPr>
            </w:pPr>
            <w:r>
              <w:rPr>
                <w:szCs w:val="21"/>
              </w:rPr>
              <w:t>猪舍降温用水</w:t>
            </w:r>
          </w:p>
        </w:tc>
        <w:tc>
          <w:tcPr>
            <w:tcW w:w="1259" w:type="dxa"/>
            <w:vAlign w:val="center"/>
          </w:tcPr>
          <w:p>
            <w:pPr>
              <w:jc w:val="center"/>
              <w:rPr>
                <w:kern w:val="0"/>
                <w:szCs w:val="21"/>
              </w:rPr>
            </w:pPr>
            <w:r>
              <w:rPr>
                <w:kern w:val="0"/>
                <w:szCs w:val="21"/>
              </w:rPr>
              <w:t>m</w:t>
            </w:r>
            <w:r>
              <w:rPr>
                <w:kern w:val="0"/>
                <w:szCs w:val="21"/>
                <w:vertAlign w:val="superscript"/>
              </w:rPr>
              <w:t>3</w:t>
            </w:r>
          </w:p>
        </w:tc>
        <w:tc>
          <w:tcPr>
            <w:tcW w:w="2319" w:type="dxa"/>
            <w:vAlign w:val="center"/>
          </w:tcPr>
          <w:p>
            <w:pPr>
              <w:jc w:val="center"/>
              <w:rPr>
                <w:iCs/>
                <w:szCs w:val="21"/>
              </w:rPr>
            </w:pPr>
            <w:r>
              <w:rPr>
                <w:szCs w:val="21"/>
              </w:rPr>
              <w:t>1464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9" w:type="dxa"/>
            <w:vAlign w:val="center"/>
          </w:tcPr>
          <w:p>
            <w:pPr>
              <w:jc w:val="center"/>
              <w:rPr>
                <w:bCs/>
                <w:szCs w:val="21"/>
              </w:rPr>
            </w:pPr>
            <w:r>
              <w:rPr>
                <w:bCs/>
                <w:szCs w:val="21"/>
              </w:rPr>
              <w:t>5</w:t>
            </w:r>
          </w:p>
        </w:tc>
        <w:tc>
          <w:tcPr>
            <w:tcW w:w="3581" w:type="dxa"/>
            <w:vAlign w:val="center"/>
          </w:tcPr>
          <w:p>
            <w:pPr>
              <w:jc w:val="center"/>
              <w:rPr>
                <w:bCs/>
                <w:szCs w:val="21"/>
              </w:rPr>
            </w:pPr>
            <w:r>
              <w:rPr>
                <w:bCs/>
                <w:szCs w:val="21"/>
              </w:rPr>
              <w:t>消毒用水</w:t>
            </w:r>
          </w:p>
        </w:tc>
        <w:tc>
          <w:tcPr>
            <w:tcW w:w="1259" w:type="dxa"/>
            <w:vAlign w:val="center"/>
          </w:tcPr>
          <w:p>
            <w:pPr>
              <w:jc w:val="center"/>
              <w:rPr>
                <w:bCs/>
                <w:kern w:val="0"/>
                <w:szCs w:val="21"/>
              </w:rPr>
            </w:pPr>
            <w:r>
              <w:rPr>
                <w:bCs/>
                <w:kern w:val="0"/>
                <w:szCs w:val="21"/>
              </w:rPr>
              <w:t>m</w:t>
            </w:r>
            <w:r>
              <w:rPr>
                <w:bCs/>
                <w:kern w:val="0"/>
                <w:szCs w:val="21"/>
                <w:vertAlign w:val="superscript"/>
              </w:rPr>
              <w:t>3</w:t>
            </w:r>
          </w:p>
        </w:tc>
        <w:tc>
          <w:tcPr>
            <w:tcW w:w="2319" w:type="dxa"/>
            <w:vAlign w:val="center"/>
          </w:tcPr>
          <w:p>
            <w:pPr>
              <w:jc w:val="center"/>
              <w:rPr>
                <w:szCs w:val="21"/>
              </w:rPr>
            </w:pPr>
            <w:r>
              <w:rPr>
                <w:szCs w:val="21"/>
              </w:rPr>
              <w:t>1600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9" w:type="dxa"/>
            <w:vAlign w:val="center"/>
          </w:tcPr>
          <w:p>
            <w:pPr>
              <w:jc w:val="center"/>
              <w:rPr>
                <w:bCs/>
                <w:szCs w:val="21"/>
              </w:rPr>
            </w:pPr>
            <w:r>
              <w:rPr>
                <w:rFonts w:hint="eastAsia"/>
                <w:bCs/>
                <w:szCs w:val="21"/>
              </w:rPr>
              <w:t>6</w:t>
            </w:r>
          </w:p>
        </w:tc>
        <w:tc>
          <w:tcPr>
            <w:tcW w:w="3581" w:type="dxa"/>
            <w:vAlign w:val="center"/>
          </w:tcPr>
          <w:p>
            <w:pPr>
              <w:jc w:val="center"/>
              <w:rPr>
                <w:bCs/>
                <w:szCs w:val="21"/>
              </w:rPr>
            </w:pPr>
            <w:r>
              <w:rPr>
                <w:rFonts w:hint="eastAsia"/>
                <w:bCs/>
                <w:szCs w:val="21"/>
              </w:rPr>
              <w:t>无害化处置中心用水</w:t>
            </w:r>
          </w:p>
        </w:tc>
        <w:tc>
          <w:tcPr>
            <w:tcW w:w="1259" w:type="dxa"/>
            <w:vAlign w:val="center"/>
          </w:tcPr>
          <w:p>
            <w:pPr>
              <w:jc w:val="center"/>
              <w:rPr>
                <w:bCs/>
                <w:kern w:val="0"/>
                <w:szCs w:val="21"/>
              </w:rPr>
            </w:pPr>
            <w:r>
              <w:rPr>
                <w:bCs/>
                <w:kern w:val="0"/>
                <w:szCs w:val="21"/>
              </w:rPr>
              <w:t>m</w:t>
            </w:r>
            <w:r>
              <w:rPr>
                <w:bCs/>
                <w:kern w:val="0"/>
                <w:szCs w:val="21"/>
                <w:vertAlign w:val="superscript"/>
              </w:rPr>
              <w:t>3</w:t>
            </w:r>
          </w:p>
        </w:tc>
        <w:tc>
          <w:tcPr>
            <w:tcW w:w="2319" w:type="dxa"/>
            <w:vAlign w:val="center"/>
          </w:tcPr>
          <w:p>
            <w:pPr>
              <w:jc w:val="center"/>
              <w:rPr>
                <w:szCs w:val="21"/>
              </w:rPr>
            </w:pPr>
            <w:r>
              <w:rPr>
                <w:rFonts w:hint="eastAsia"/>
                <w:szCs w:val="21"/>
              </w:rPr>
              <w:t>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9" w:type="dxa"/>
            <w:vAlign w:val="center"/>
          </w:tcPr>
          <w:p>
            <w:pPr>
              <w:jc w:val="center"/>
              <w:rPr>
                <w:bCs/>
                <w:szCs w:val="21"/>
              </w:rPr>
            </w:pPr>
            <w:r>
              <w:rPr>
                <w:bCs/>
                <w:szCs w:val="21"/>
              </w:rPr>
              <w:t>7</w:t>
            </w:r>
          </w:p>
        </w:tc>
        <w:tc>
          <w:tcPr>
            <w:tcW w:w="3581" w:type="dxa"/>
            <w:vAlign w:val="center"/>
          </w:tcPr>
          <w:p>
            <w:pPr>
              <w:jc w:val="center"/>
              <w:rPr>
                <w:bCs/>
                <w:szCs w:val="21"/>
              </w:rPr>
            </w:pPr>
            <w:r>
              <w:rPr>
                <w:bCs/>
                <w:szCs w:val="21"/>
              </w:rPr>
              <w:t>合计</w:t>
            </w:r>
          </w:p>
        </w:tc>
        <w:tc>
          <w:tcPr>
            <w:tcW w:w="1259" w:type="dxa"/>
            <w:vAlign w:val="center"/>
          </w:tcPr>
          <w:p>
            <w:pPr>
              <w:jc w:val="center"/>
              <w:rPr>
                <w:bCs/>
                <w:szCs w:val="21"/>
              </w:rPr>
            </w:pPr>
            <w:r>
              <w:rPr>
                <w:bCs/>
                <w:kern w:val="0"/>
                <w:szCs w:val="21"/>
              </w:rPr>
              <w:t>m</w:t>
            </w:r>
            <w:r>
              <w:rPr>
                <w:bCs/>
                <w:kern w:val="0"/>
                <w:szCs w:val="21"/>
                <w:vertAlign w:val="superscript"/>
              </w:rPr>
              <w:t>3</w:t>
            </w:r>
          </w:p>
        </w:tc>
        <w:tc>
          <w:tcPr>
            <w:tcW w:w="2319" w:type="dxa"/>
            <w:vAlign w:val="center"/>
          </w:tcPr>
          <w:p>
            <w:pPr>
              <w:jc w:val="center"/>
              <w:rPr>
                <w:szCs w:val="21"/>
              </w:rPr>
            </w:pPr>
            <w:r>
              <w:rPr>
                <w:szCs w:val="21"/>
              </w:rPr>
              <w:t>129745.2</w:t>
            </w:r>
            <w:r>
              <w:rPr>
                <w:bCs/>
                <w:iCs/>
                <w:szCs w:val="21"/>
              </w:rPr>
              <w:t>（不含沼液）</w:t>
            </w:r>
          </w:p>
        </w:tc>
      </w:tr>
    </w:tbl>
    <w:p>
      <w:pPr>
        <w:spacing w:line="520" w:lineRule="exact"/>
        <w:rPr>
          <w:sz w:val="24"/>
        </w:rPr>
      </w:pPr>
      <w:r>
        <w:rPr>
          <w:sz w:val="24"/>
        </w:rPr>
        <w:t>2.1.6.2项目排水情况</w:t>
      </w:r>
    </w:p>
    <w:p>
      <w:pPr>
        <w:spacing w:before="156" w:after="156" w:line="500" w:lineRule="exact"/>
        <w:ind w:firstLine="480" w:firstLineChars="200"/>
        <w:rPr>
          <w:bCs/>
          <w:color w:val="000000"/>
          <w:sz w:val="24"/>
        </w:rPr>
      </w:pPr>
      <w:r>
        <w:rPr>
          <w:bCs/>
          <w:color w:val="000000"/>
          <w:sz w:val="24"/>
        </w:rPr>
        <w:t>（1）项目养殖废水</w:t>
      </w:r>
    </w:p>
    <w:p>
      <w:pPr>
        <w:spacing w:before="156" w:after="156" w:line="500" w:lineRule="exact"/>
        <w:ind w:firstLine="480" w:firstLineChars="200"/>
        <w:rPr>
          <w:bCs/>
          <w:color w:val="000000"/>
          <w:sz w:val="24"/>
        </w:rPr>
      </w:pPr>
      <w:r>
        <w:rPr>
          <w:bCs/>
          <w:color w:val="000000"/>
          <w:sz w:val="24"/>
        </w:rPr>
        <w:t>项目养殖废水主要为猪尿液、猪舍冲洗废水、猪粪固液分离产生的废水和清理冲洗废水。</w:t>
      </w:r>
    </w:p>
    <w:p>
      <w:pPr>
        <w:spacing w:before="156" w:after="156" w:line="500" w:lineRule="exact"/>
        <w:ind w:left="480"/>
        <w:rPr>
          <w:bCs/>
          <w:color w:val="000000"/>
          <w:sz w:val="24"/>
        </w:rPr>
      </w:pPr>
      <w:r>
        <w:rPr>
          <w:rFonts w:hint="eastAsia" w:ascii="宋体" w:hAnsi="宋体" w:cs="宋体"/>
          <w:bCs/>
          <w:color w:val="000000"/>
          <w:sz w:val="24"/>
        </w:rPr>
        <w:t>①</w:t>
      </w:r>
      <w:r>
        <w:rPr>
          <w:bCs/>
          <w:color w:val="000000"/>
          <w:sz w:val="24"/>
        </w:rPr>
        <w:t>猪尿液</w:t>
      </w:r>
    </w:p>
    <w:p>
      <w:pPr>
        <w:pStyle w:val="98"/>
        <w:spacing w:line="520" w:lineRule="exact"/>
        <w:ind w:firstLine="480"/>
        <w:rPr>
          <w:bCs/>
        </w:rPr>
      </w:pPr>
      <w:r>
        <w:rPr>
          <w:bCs/>
        </w:rPr>
        <w:t>本项目投入运营后保育猪存栏16667头、育肥猪存栏33333头，猪的尿液产生量根据《畜禽养殖污染防治最佳可行技术指南》（征求意见稿），猪尿排泄量计算公式为：Yu=0.205+0.438W（kg）</w:t>
      </w:r>
    </w:p>
    <w:p>
      <w:pPr>
        <w:pStyle w:val="98"/>
        <w:spacing w:line="520" w:lineRule="exact"/>
        <w:ind w:firstLine="480"/>
        <w:rPr>
          <w:bCs/>
        </w:rPr>
      </w:pPr>
      <w:r>
        <w:rPr>
          <w:bCs/>
        </w:rPr>
        <w:t>式中：Yu为猪尿排泄量，W为猪的饮水量。</w:t>
      </w:r>
    </w:p>
    <w:p>
      <w:pPr>
        <w:spacing w:afterLines="30" w:line="520" w:lineRule="exact"/>
        <w:jc w:val="center"/>
        <w:rPr>
          <w:b/>
          <w:bCs/>
          <w:sz w:val="24"/>
        </w:rPr>
      </w:pPr>
      <w:r>
        <w:rPr>
          <w:b/>
          <w:bCs/>
          <w:sz w:val="24"/>
        </w:rPr>
        <w:t>表2.1-13    猪尿排放参数一览表</w:t>
      </w:r>
    </w:p>
    <w:tbl>
      <w:tblPr>
        <w:tblStyle w:val="44"/>
        <w:tblW w:w="89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0"/>
        <w:gridCol w:w="848"/>
        <w:gridCol w:w="1159"/>
        <w:gridCol w:w="1288"/>
        <w:gridCol w:w="1611"/>
        <w:gridCol w:w="1924"/>
        <w:gridCol w:w="13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vMerge w:val="restart"/>
            <w:vAlign w:val="center"/>
          </w:tcPr>
          <w:p>
            <w:pPr>
              <w:widowControl/>
              <w:snapToGrid w:val="0"/>
              <w:ind w:left="-15" w:leftChars="-51" w:right="-109" w:rightChars="-52" w:hanging="92" w:hangingChars="44"/>
              <w:jc w:val="center"/>
              <w:rPr>
                <w:bCs/>
                <w:iCs/>
                <w:kern w:val="0"/>
                <w:szCs w:val="21"/>
              </w:rPr>
            </w:pPr>
            <w:r>
              <w:rPr>
                <w:bCs/>
                <w:iCs/>
                <w:kern w:val="0"/>
                <w:szCs w:val="21"/>
              </w:rPr>
              <w:t>用水</w:t>
            </w:r>
          </w:p>
          <w:p>
            <w:pPr>
              <w:widowControl/>
              <w:snapToGrid w:val="0"/>
              <w:ind w:left="-15" w:leftChars="-51" w:right="-109" w:rightChars="-52" w:hanging="92" w:hangingChars="44"/>
              <w:jc w:val="center"/>
              <w:rPr>
                <w:bCs/>
                <w:iCs/>
                <w:kern w:val="0"/>
                <w:szCs w:val="21"/>
              </w:rPr>
            </w:pPr>
            <w:r>
              <w:rPr>
                <w:bCs/>
                <w:iCs/>
                <w:kern w:val="0"/>
                <w:szCs w:val="21"/>
              </w:rPr>
              <w:t>性质</w:t>
            </w:r>
          </w:p>
        </w:tc>
        <w:tc>
          <w:tcPr>
            <w:tcW w:w="2007" w:type="dxa"/>
            <w:gridSpan w:val="2"/>
            <w:vAlign w:val="center"/>
          </w:tcPr>
          <w:p>
            <w:pPr>
              <w:widowControl/>
              <w:snapToGrid w:val="0"/>
              <w:ind w:left="-15" w:leftChars="-51" w:right="-109" w:rightChars="-52" w:hanging="92" w:hangingChars="44"/>
              <w:jc w:val="center"/>
              <w:rPr>
                <w:bCs/>
                <w:iCs/>
                <w:kern w:val="0"/>
                <w:szCs w:val="21"/>
              </w:rPr>
            </w:pPr>
            <w:r>
              <w:rPr>
                <w:bCs/>
                <w:iCs/>
                <w:kern w:val="0"/>
                <w:szCs w:val="21"/>
              </w:rPr>
              <w:t>排尿量</w:t>
            </w:r>
            <w:r>
              <w:rPr>
                <w:bCs/>
                <w:iCs/>
                <w:szCs w:val="21"/>
              </w:rPr>
              <w:t>（L/头·d）</w:t>
            </w:r>
          </w:p>
        </w:tc>
        <w:tc>
          <w:tcPr>
            <w:tcW w:w="1288" w:type="dxa"/>
            <w:vMerge w:val="restart"/>
            <w:vAlign w:val="center"/>
          </w:tcPr>
          <w:p>
            <w:pPr>
              <w:widowControl/>
              <w:snapToGrid w:val="0"/>
              <w:ind w:left="-15" w:leftChars="-51" w:right="-109" w:rightChars="-52" w:hanging="92" w:hangingChars="44"/>
              <w:jc w:val="center"/>
              <w:rPr>
                <w:bCs/>
                <w:iCs/>
                <w:kern w:val="0"/>
                <w:szCs w:val="21"/>
              </w:rPr>
            </w:pPr>
            <w:r>
              <w:rPr>
                <w:bCs/>
                <w:iCs/>
                <w:kern w:val="0"/>
                <w:szCs w:val="21"/>
              </w:rPr>
              <w:t>排尿单位</w:t>
            </w:r>
          </w:p>
          <w:p>
            <w:pPr>
              <w:snapToGrid w:val="0"/>
              <w:ind w:left="-15" w:leftChars="-51" w:right="-109" w:rightChars="-52" w:hanging="92" w:hangingChars="44"/>
              <w:jc w:val="center"/>
              <w:rPr>
                <w:bCs/>
                <w:iCs/>
                <w:kern w:val="0"/>
                <w:szCs w:val="21"/>
              </w:rPr>
            </w:pPr>
            <w:r>
              <w:rPr>
                <w:bCs/>
                <w:iCs/>
                <w:szCs w:val="21"/>
              </w:rPr>
              <w:t>（头）</w:t>
            </w:r>
          </w:p>
        </w:tc>
        <w:tc>
          <w:tcPr>
            <w:tcW w:w="4883" w:type="dxa"/>
            <w:gridSpan w:val="3"/>
            <w:vAlign w:val="center"/>
          </w:tcPr>
          <w:p>
            <w:pPr>
              <w:widowControl/>
              <w:snapToGrid w:val="0"/>
              <w:ind w:right="-109" w:rightChars="-52"/>
              <w:jc w:val="center"/>
              <w:rPr>
                <w:bCs/>
                <w:iCs/>
                <w:kern w:val="0"/>
                <w:szCs w:val="21"/>
              </w:rPr>
            </w:pPr>
            <w:r>
              <w:rPr>
                <w:bCs/>
                <w:iCs/>
                <w:kern w:val="0"/>
                <w:szCs w:val="21"/>
              </w:rPr>
              <w:t>排尿总量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vMerge w:val="continue"/>
            <w:vAlign w:val="center"/>
          </w:tcPr>
          <w:p>
            <w:pPr>
              <w:widowControl/>
              <w:snapToGrid w:val="0"/>
              <w:ind w:left="-15" w:leftChars="-51" w:right="-109" w:rightChars="-52" w:hanging="92" w:hangingChars="44"/>
              <w:jc w:val="center"/>
              <w:rPr>
                <w:bCs/>
                <w:iCs/>
                <w:kern w:val="0"/>
                <w:szCs w:val="21"/>
              </w:rPr>
            </w:pPr>
          </w:p>
        </w:tc>
        <w:tc>
          <w:tcPr>
            <w:tcW w:w="848" w:type="dxa"/>
            <w:vAlign w:val="center"/>
          </w:tcPr>
          <w:p>
            <w:pPr>
              <w:widowControl/>
              <w:snapToGrid w:val="0"/>
              <w:ind w:left="-15" w:leftChars="-51" w:right="-109" w:rightChars="-52" w:hanging="92" w:hangingChars="44"/>
              <w:jc w:val="center"/>
              <w:rPr>
                <w:bCs/>
                <w:iCs/>
                <w:kern w:val="0"/>
                <w:szCs w:val="21"/>
              </w:rPr>
            </w:pPr>
            <w:r>
              <w:rPr>
                <w:bCs/>
                <w:iCs/>
                <w:kern w:val="0"/>
                <w:szCs w:val="21"/>
              </w:rPr>
              <w:t>夏季</w:t>
            </w:r>
          </w:p>
        </w:tc>
        <w:tc>
          <w:tcPr>
            <w:tcW w:w="1159" w:type="dxa"/>
            <w:vAlign w:val="center"/>
          </w:tcPr>
          <w:p>
            <w:pPr>
              <w:widowControl/>
              <w:snapToGrid w:val="0"/>
              <w:ind w:left="-15" w:leftChars="-51" w:right="-109" w:rightChars="-52" w:hanging="92" w:hangingChars="44"/>
              <w:jc w:val="center"/>
              <w:rPr>
                <w:bCs/>
                <w:iCs/>
                <w:kern w:val="0"/>
                <w:szCs w:val="21"/>
              </w:rPr>
            </w:pPr>
            <w:r>
              <w:rPr>
                <w:bCs/>
                <w:iCs/>
                <w:kern w:val="0"/>
                <w:szCs w:val="21"/>
              </w:rPr>
              <w:t>其他季节</w:t>
            </w:r>
          </w:p>
        </w:tc>
        <w:tc>
          <w:tcPr>
            <w:tcW w:w="1288" w:type="dxa"/>
            <w:vMerge w:val="continue"/>
            <w:vAlign w:val="center"/>
          </w:tcPr>
          <w:p>
            <w:pPr>
              <w:widowControl/>
              <w:snapToGrid w:val="0"/>
              <w:ind w:left="-15" w:leftChars="-51" w:right="-109" w:rightChars="-52" w:hanging="92" w:hangingChars="44"/>
              <w:jc w:val="center"/>
              <w:rPr>
                <w:bCs/>
                <w:iCs/>
                <w:kern w:val="0"/>
                <w:szCs w:val="21"/>
              </w:rPr>
            </w:pPr>
          </w:p>
        </w:tc>
        <w:tc>
          <w:tcPr>
            <w:tcW w:w="1611" w:type="dxa"/>
            <w:vAlign w:val="center"/>
          </w:tcPr>
          <w:p>
            <w:pPr>
              <w:widowControl/>
              <w:snapToGrid w:val="0"/>
              <w:ind w:left="-15" w:leftChars="-51" w:right="-109" w:rightChars="-52" w:hanging="92" w:hangingChars="44"/>
              <w:jc w:val="center"/>
              <w:rPr>
                <w:bCs/>
                <w:iCs/>
                <w:szCs w:val="21"/>
              </w:rPr>
            </w:pPr>
            <w:r>
              <w:rPr>
                <w:bCs/>
                <w:iCs/>
                <w:szCs w:val="21"/>
              </w:rPr>
              <w:t>夏季122d</w:t>
            </w:r>
          </w:p>
          <w:p>
            <w:pPr>
              <w:widowControl/>
              <w:snapToGrid w:val="0"/>
              <w:ind w:left="-15" w:leftChars="-51" w:right="-109" w:rightChars="-52" w:hanging="92" w:hangingChars="44"/>
              <w:jc w:val="center"/>
              <w:rPr>
                <w:bCs/>
                <w:iCs/>
                <w:szCs w:val="21"/>
              </w:rPr>
            </w:pPr>
            <w:r>
              <w:rPr>
                <w:bCs/>
                <w:iCs/>
                <w:kern w:val="0"/>
                <w:szCs w:val="21"/>
              </w:rPr>
              <w:t>（m</w:t>
            </w:r>
            <w:r>
              <w:rPr>
                <w:bCs/>
                <w:iCs/>
                <w:kern w:val="0"/>
                <w:szCs w:val="21"/>
                <w:vertAlign w:val="superscript"/>
              </w:rPr>
              <w:t>3</w:t>
            </w:r>
            <w:r>
              <w:rPr>
                <w:bCs/>
                <w:iCs/>
                <w:kern w:val="0"/>
                <w:szCs w:val="21"/>
              </w:rPr>
              <w:t>/d）</w:t>
            </w:r>
          </w:p>
        </w:tc>
        <w:tc>
          <w:tcPr>
            <w:tcW w:w="1924" w:type="dxa"/>
            <w:vAlign w:val="center"/>
          </w:tcPr>
          <w:p>
            <w:pPr>
              <w:widowControl/>
              <w:snapToGrid w:val="0"/>
              <w:ind w:left="-15" w:leftChars="-51" w:right="-109" w:rightChars="-52" w:hanging="92" w:hangingChars="44"/>
              <w:jc w:val="center"/>
              <w:rPr>
                <w:bCs/>
                <w:iCs/>
                <w:szCs w:val="21"/>
              </w:rPr>
            </w:pPr>
            <w:r>
              <w:rPr>
                <w:bCs/>
                <w:iCs/>
                <w:szCs w:val="21"/>
              </w:rPr>
              <w:t>其他季节243d</w:t>
            </w:r>
          </w:p>
          <w:p>
            <w:pPr>
              <w:widowControl/>
              <w:snapToGrid w:val="0"/>
              <w:ind w:left="-15" w:leftChars="-51" w:right="-109" w:rightChars="-52" w:hanging="92" w:hangingChars="44"/>
              <w:jc w:val="center"/>
              <w:rPr>
                <w:bCs/>
                <w:iCs/>
                <w:szCs w:val="21"/>
              </w:rPr>
            </w:pPr>
            <w:r>
              <w:rPr>
                <w:bCs/>
                <w:iCs/>
                <w:kern w:val="0"/>
                <w:szCs w:val="21"/>
              </w:rPr>
              <w:t>（m</w:t>
            </w:r>
            <w:r>
              <w:rPr>
                <w:bCs/>
                <w:iCs/>
                <w:kern w:val="0"/>
                <w:szCs w:val="21"/>
                <w:vertAlign w:val="superscript"/>
              </w:rPr>
              <w:t>3</w:t>
            </w:r>
            <w:r>
              <w:rPr>
                <w:bCs/>
                <w:iCs/>
                <w:kern w:val="0"/>
                <w:szCs w:val="21"/>
              </w:rPr>
              <w:t>/d）</w:t>
            </w:r>
          </w:p>
        </w:tc>
        <w:tc>
          <w:tcPr>
            <w:tcW w:w="1348" w:type="dxa"/>
            <w:vAlign w:val="center"/>
          </w:tcPr>
          <w:p>
            <w:pPr>
              <w:widowControl/>
              <w:snapToGrid w:val="0"/>
              <w:ind w:right="-109" w:rightChars="-52"/>
              <w:jc w:val="center"/>
              <w:rPr>
                <w:bCs/>
                <w:iCs/>
                <w:kern w:val="0"/>
                <w:szCs w:val="21"/>
              </w:rPr>
            </w:pPr>
            <w:r>
              <w:rPr>
                <w:bCs/>
                <w:iCs/>
                <w:kern w:val="0"/>
                <w:szCs w:val="21"/>
              </w:rPr>
              <w:t>（m</w:t>
            </w:r>
            <w:r>
              <w:rPr>
                <w:bCs/>
                <w:iCs/>
                <w:kern w:val="0"/>
                <w:szCs w:val="21"/>
                <w:vertAlign w:val="superscript"/>
              </w:rPr>
              <w:t>3</w:t>
            </w:r>
            <w:r>
              <w:rPr>
                <w:bCs/>
                <w:iCs/>
                <w:kern w:val="0"/>
                <w:szCs w:val="21"/>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vAlign w:val="center"/>
          </w:tcPr>
          <w:p>
            <w:pPr>
              <w:widowControl/>
              <w:snapToGrid w:val="0"/>
              <w:ind w:left="-15" w:leftChars="-51" w:right="-109" w:rightChars="-52" w:hanging="92" w:hangingChars="44"/>
              <w:jc w:val="center"/>
              <w:rPr>
                <w:bCs/>
                <w:iCs/>
                <w:kern w:val="0"/>
                <w:szCs w:val="21"/>
              </w:rPr>
            </w:pPr>
            <w:r>
              <w:rPr>
                <w:bCs/>
                <w:szCs w:val="21"/>
              </w:rPr>
              <w:t>保育猪</w:t>
            </w:r>
          </w:p>
        </w:tc>
        <w:tc>
          <w:tcPr>
            <w:tcW w:w="848" w:type="dxa"/>
            <w:vAlign w:val="center"/>
          </w:tcPr>
          <w:p>
            <w:pPr>
              <w:jc w:val="center"/>
              <w:rPr>
                <w:bCs/>
                <w:color w:val="000000"/>
                <w:szCs w:val="21"/>
              </w:rPr>
            </w:pPr>
            <w:r>
              <w:rPr>
                <w:bCs/>
                <w:color w:val="000000"/>
                <w:szCs w:val="21"/>
              </w:rPr>
              <w:t>2.614</w:t>
            </w:r>
          </w:p>
        </w:tc>
        <w:tc>
          <w:tcPr>
            <w:tcW w:w="1159" w:type="dxa"/>
            <w:vAlign w:val="center"/>
          </w:tcPr>
          <w:p>
            <w:pPr>
              <w:jc w:val="center"/>
              <w:rPr>
                <w:bCs/>
                <w:color w:val="000000"/>
                <w:szCs w:val="21"/>
              </w:rPr>
            </w:pPr>
            <w:r>
              <w:rPr>
                <w:bCs/>
                <w:color w:val="000000"/>
                <w:szCs w:val="21"/>
              </w:rPr>
              <w:t>1.519</w:t>
            </w:r>
          </w:p>
        </w:tc>
        <w:tc>
          <w:tcPr>
            <w:tcW w:w="1288" w:type="dxa"/>
            <w:vAlign w:val="center"/>
          </w:tcPr>
          <w:p>
            <w:pPr>
              <w:jc w:val="center"/>
              <w:rPr>
                <w:bCs/>
                <w:szCs w:val="21"/>
              </w:rPr>
            </w:pPr>
            <w:r>
              <w:rPr>
                <w:bCs/>
                <w:szCs w:val="21"/>
              </w:rPr>
              <w:t>16667</w:t>
            </w:r>
          </w:p>
        </w:tc>
        <w:tc>
          <w:tcPr>
            <w:tcW w:w="1611" w:type="dxa"/>
            <w:vAlign w:val="bottom"/>
          </w:tcPr>
          <w:p>
            <w:pPr>
              <w:jc w:val="center"/>
              <w:rPr>
                <w:bCs/>
                <w:color w:val="000000"/>
                <w:szCs w:val="21"/>
              </w:rPr>
            </w:pPr>
            <w:r>
              <w:rPr>
                <w:bCs/>
                <w:color w:val="000000"/>
                <w:szCs w:val="21"/>
              </w:rPr>
              <w:t xml:space="preserve">43.57 </w:t>
            </w:r>
          </w:p>
        </w:tc>
        <w:tc>
          <w:tcPr>
            <w:tcW w:w="1924" w:type="dxa"/>
            <w:vAlign w:val="bottom"/>
          </w:tcPr>
          <w:p>
            <w:pPr>
              <w:jc w:val="center"/>
              <w:rPr>
                <w:bCs/>
                <w:color w:val="000000"/>
                <w:szCs w:val="21"/>
              </w:rPr>
            </w:pPr>
            <w:r>
              <w:rPr>
                <w:bCs/>
                <w:color w:val="000000"/>
                <w:szCs w:val="21"/>
              </w:rPr>
              <w:t xml:space="preserve">25.32 </w:t>
            </w:r>
          </w:p>
        </w:tc>
        <w:tc>
          <w:tcPr>
            <w:tcW w:w="1348" w:type="dxa"/>
            <w:vAlign w:val="bottom"/>
          </w:tcPr>
          <w:p>
            <w:pPr>
              <w:jc w:val="center"/>
              <w:rPr>
                <w:bCs/>
                <w:sz w:val="22"/>
                <w:szCs w:val="22"/>
              </w:rPr>
            </w:pPr>
            <w:r>
              <w:rPr>
                <w:bCs/>
                <w:sz w:val="22"/>
                <w:szCs w:val="22"/>
              </w:rPr>
              <w:t xml:space="preserve">11467.31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vAlign w:val="center"/>
          </w:tcPr>
          <w:p>
            <w:pPr>
              <w:widowControl/>
              <w:snapToGrid w:val="0"/>
              <w:ind w:left="-15" w:leftChars="-51" w:right="-109" w:rightChars="-52" w:hanging="92" w:hangingChars="44"/>
              <w:jc w:val="center"/>
              <w:rPr>
                <w:bCs/>
                <w:iCs/>
                <w:kern w:val="0"/>
                <w:szCs w:val="21"/>
              </w:rPr>
            </w:pPr>
            <w:r>
              <w:rPr>
                <w:bCs/>
                <w:szCs w:val="21"/>
              </w:rPr>
              <w:t>育肥猪</w:t>
            </w:r>
          </w:p>
        </w:tc>
        <w:tc>
          <w:tcPr>
            <w:tcW w:w="848" w:type="dxa"/>
            <w:vAlign w:val="center"/>
          </w:tcPr>
          <w:p>
            <w:pPr>
              <w:jc w:val="center"/>
              <w:rPr>
                <w:bCs/>
                <w:color w:val="000000"/>
                <w:szCs w:val="21"/>
              </w:rPr>
            </w:pPr>
            <w:r>
              <w:rPr>
                <w:bCs/>
                <w:color w:val="000000"/>
                <w:szCs w:val="21"/>
              </w:rPr>
              <w:t>5.023</w:t>
            </w:r>
          </w:p>
        </w:tc>
        <w:tc>
          <w:tcPr>
            <w:tcW w:w="1159" w:type="dxa"/>
            <w:vAlign w:val="center"/>
          </w:tcPr>
          <w:p>
            <w:pPr>
              <w:jc w:val="center"/>
              <w:rPr>
                <w:bCs/>
                <w:color w:val="000000"/>
                <w:szCs w:val="21"/>
              </w:rPr>
            </w:pPr>
            <w:r>
              <w:rPr>
                <w:bCs/>
                <w:color w:val="000000"/>
                <w:szCs w:val="21"/>
              </w:rPr>
              <w:t>3.052</w:t>
            </w:r>
          </w:p>
        </w:tc>
        <w:tc>
          <w:tcPr>
            <w:tcW w:w="1288" w:type="dxa"/>
            <w:vAlign w:val="center"/>
          </w:tcPr>
          <w:p>
            <w:pPr>
              <w:jc w:val="center"/>
              <w:rPr>
                <w:bCs/>
                <w:szCs w:val="21"/>
              </w:rPr>
            </w:pPr>
            <w:r>
              <w:rPr>
                <w:bCs/>
                <w:szCs w:val="21"/>
              </w:rPr>
              <w:t>33333</w:t>
            </w:r>
          </w:p>
        </w:tc>
        <w:tc>
          <w:tcPr>
            <w:tcW w:w="1611" w:type="dxa"/>
            <w:vAlign w:val="bottom"/>
          </w:tcPr>
          <w:p>
            <w:pPr>
              <w:jc w:val="center"/>
              <w:rPr>
                <w:bCs/>
                <w:color w:val="000000"/>
                <w:szCs w:val="21"/>
              </w:rPr>
            </w:pPr>
            <w:r>
              <w:rPr>
                <w:bCs/>
                <w:color w:val="000000"/>
                <w:szCs w:val="21"/>
              </w:rPr>
              <w:t xml:space="preserve">167.43 </w:t>
            </w:r>
          </w:p>
        </w:tc>
        <w:tc>
          <w:tcPr>
            <w:tcW w:w="1924" w:type="dxa"/>
            <w:vAlign w:val="bottom"/>
          </w:tcPr>
          <w:p>
            <w:pPr>
              <w:jc w:val="center"/>
              <w:rPr>
                <w:bCs/>
                <w:color w:val="000000"/>
                <w:szCs w:val="21"/>
              </w:rPr>
            </w:pPr>
            <w:r>
              <w:rPr>
                <w:bCs/>
                <w:color w:val="000000"/>
                <w:szCs w:val="21"/>
              </w:rPr>
              <w:t xml:space="preserve">101.73 </w:t>
            </w:r>
          </w:p>
        </w:tc>
        <w:tc>
          <w:tcPr>
            <w:tcW w:w="1348" w:type="dxa"/>
            <w:vAlign w:val="bottom"/>
          </w:tcPr>
          <w:p>
            <w:pPr>
              <w:jc w:val="center"/>
              <w:rPr>
                <w:bCs/>
                <w:sz w:val="22"/>
                <w:szCs w:val="22"/>
              </w:rPr>
            </w:pPr>
            <w:r>
              <w:rPr>
                <w:bCs/>
                <w:sz w:val="22"/>
                <w:szCs w:val="22"/>
              </w:rPr>
              <w:t xml:space="preserve">45147.62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5" w:type="dxa"/>
            <w:gridSpan w:val="4"/>
            <w:vAlign w:val="center"/>
          </w:tcPr>
          <w:p>
            <w:pPr>
              <w:widowControl/>
              <w:snapToGrid w:val="0"/>
              <w:ind w:left="-15" w:leftChars="-51" w:right="-109" w:rightChars="-52" w:hanging="92" w:hangingChars="44"/>
              <w:jc w:val="center"/>
              <w:rPr>
                <w:bCs/>
                <w:iCs/>
                <w:kern w:val="0"/>
                <w:szCs w:val="21"/>
              </w:rPr>
            </w:pPr>
            <w:r>
              <w:rPr>
                <w:bCs/>
                <w:iCs/>
                <w:kern w:val="0"/>
                <w:szCs w:val="21"/>
              </w:rPr>
              <w:t>合    计</w:t>
            </w:r>
          </w:p>
        </w:tc>
        <w:tc>
          <w:tcPr>
            <w:tcW w:w="1611" w:type="dxa"/>
            <w:vAlign w:val="bottom"/>
          </w:tcPr>
          <w:p>
            <w:pPr>
              <w:jc w:val="center"/>
              <w:rPr>
                <w:rFonts w:ascii="Calibri" w:hAnsi="Calibri" w:cs="宋体"/>
                <w:sz w:val="22"/>
                <w:szCs w:val="22"/>
              </w:rPr>
            </w:pPr>
            <w:r>
              <w:rPr>
                <w:rFonts w:ascii="Calibri" w:hAnsi="Calibri"/>
                <w:sz w:val="22"/>
                <w:szCs w:val="22"/>
              </w:rPr>
              <w:t>211.00</w:t>
            </w:r>
          </w:p>
        </w:tc>
        <w:tc>
          <w:tcPr>
            <w:tcW w:w="1924" w:type="dxa"/>
            <w:vAlign w:val="bottom"/>
          </w:tcPr>
          <w:p>
            <w:pPr>
              <w:jc w:val="center"/>
              <w:rPr>
                <w:rFonts w:ascii="Calibri" w:hAnsi="Calibri" w:cs="宋体"/>
                <w:sz w:val="22"/>
                <w:szCs w:val="22"/>
              </w:rPr>
            </w:pPr>
            <w:r>
              <w:rPr>
                <w:rFonts w:ascii="Calibri" w:hAnsi="Calibri"/>
                <w:sz w:val="22"/>
                <w:szCs w:val="22"/>
              </w:rPr>
              <w:t>127.05</w:t>
            </w:r>
          </w:p>
        </w:tc>
        <w:tc>
          <w:tcPr>
            <w:tcW w:w="1348" w:type="dxa"/>
            <w:vAlign w:val="bottom"/>
          </w:tcPr>
          <w:p>
            <w:pPr>
              <w:jc w:val="center"/>
              <w:rPr>
                <w:rFonts w:ascii="Calibri" w:hAnsi="Calibri" w:cs="宋体"/>
                <w:sz w:val="22"/>
                <w:szCs w:val="22"/>
              </w:rPr>
            </w:pPr>
            <w:r>
              <w:rPr>
                <w:rFonts w:ascii="Calibri" w:hAnsi="Calibri"/>
                <w:sz w:val="22"/>
                <w:szCs w:val="22"/>
              </w:rPr>
              <w:t>56614.93</w:t>
            </w:r>
          </w:p>
        </w:tc>
      </w:tr>
    </w:tbl>
    <w:p>
      <w:pPr>
        <w:topLinePunct/>
        <w:spacing w:line="500" w:lineRule="exact"/>
        <w:ind w:firstLine="480" w:firstLineChars="200"/>
        <w:rPr>
          <w:bCs/>
          <w:color w:val="000000"/>
          <w:sz w:val="24"/>
        </w:rPr>
      </w:pPr>
      <w:r>
        <w:rPr>
          <w:rFonts w:hint="eastAsia" w:ascii="宋体" w:hAnsi="宋体" w:cs="宋体"/>
          <w:bCs/>
          <w:color w:val="000000"/>
          <w:sz w:val="24"/>
        </w:rPr>
        <w:t>②</w:t>
      </w:r>
      <w:r>
        <w:rPr>
          <w:bCs/>
          <w:color w:val="000000"/>
          <w:sz w:val="24"/>
        </w:rPr>
        <w:t>猪舍冲洗废水</w:t>
      </w:r>
    </w:p>
    <w:p>
      <w:pPr>
        <w:pStyle w:val="98"/>
        <w:spacing w:line="520" w:lineRule="exact"/>
        <w:ind w:firstLine="480"/>
        <w:rPr>
          <w:bCs/>
          <w:color w:val="000000"/>
        </w:rPr>
      </w:pPr>
      <w:r>
        <w:rPr>
          <w:bCs/>
          <w:color w:val="000000"/>
        </w:rPr>
        <w:t>则本工程猪舍冲洗水量总计为</w:t>
      </w:r>
      <w:r>
        <w:rPr>
          <w:rFonts w:hint="eastAsia"/>
          <w:bCs/>
          <w:iCs/>
          <w:szCs w:val="21"/>
        </w:rPr>
        <w:t>660</w:t>
      </w:r>
      <w:r>
        <w:rPr>
          <w:bCs/>
          <w:iCs/>
          <w:szCs w:val="21"/>
        </w:rPr>
        <w:t>0</w:t>
      </w:r>
      <w:r>
        <w:rPr>
          <w:bCs/>
          <w:color w:val="000000"/>
        </w:rPr>
        <w:t>m</w:t>
      </w:r>
      <w:r>
        <w:rPr>
          <w:bCs/>
          <w:color w:val="000000"/>
          <w:vertAlign w:val="superscript"/>
        </w:rPr>
        <w:t>3</w:t>
      </w:r>
      <w:r>
        <w:rPr>
          <w:bCs/>
          <w:color w:val="000000"/>
        </w:rPr>
        <w:t>/a（</w:t>
      </w:r>
      <w:r>
        <w:rPr>
          <w:iCs/>
          <w:kern w:val="0"/>
          <w:szCs w:val="21"/>
        </w:rPr>
        <w:t>其中</w:t>
      </w:r>
      <w:r>
        <w:rPr>
          <w:bCs/>
          <w:iCs/>
        </w:rPr>
        <w:t>新鲜水用量为</w:t>
      </w:r>
      <w:r>
        <w:rPr>
          <w:rFonts w:hint="eastAsia"/>
          <w:bCs/>
          <w:iCs/>
        </w:rPr>
        <w:t>3600</w:t>
      </w:r>
      <w:r>
        <w:rPr>
          <w:iCs/>
          <w:kern w:val="0"/>
          <w:szCs w:val="21"/>
        </w:rPr>
        <w:t>m</w:t>
      </w:r>
      <w:r>
        <w:rPr>
          <w:iCs/>
          <w:kern w:val="0"/>
          <w:szCs w:val="21"/>
          <w:vertAlign w:val="superscript"/>
        </w:rPr>
        <w:t>3</w:t>
      </w:r>
      <w:r>
        <w:rPr>
          <w:iCs/>
          <w:kern w:val="0"/>
          <w:szCs w:val="21"/>
        </w:rPr>
        <w:t>/a，沼液回用量为</w:t>
      </w:r>
      <w:r>
        <w:rPr>
          <w:rFonts w:hint="eastAsia"/>
          <w:iCs/>
          <w:kern w:val="0"/>
          <w:szCs w:val="21"/>
        </w:rPr>
        <w:t>30</w:t>
      </w:r>
      <w:r>
        <w:rPr>
          <w:iCs/>
          <w:kern w:val="0"/>
          <w:szCs w:val="21"/>
        </w:rPr>
        <w:t>00m</w:t>
      </w:r>
      <w:r>
        <w:rPr>
          <w:iCs/>
          <w:kern w:val="0"/>
          <w:szCs w:val="21"/>
          <w:vertAlign w:val="superscript"/>
        </w:rPr>
        <w:t>3</w:t>
      </w:r>
      <w:r>
        <w:rPr>
          <w:iCs/>
          <w:kern w:val="0"/>
          <w:szCs w:val="21"/>
        </w:rPr>
        <w:t>/a</w:t>
      </w:r>
      <w:r>
        <w:rPr>
          <w:bCs/>
          <w:color w:val="000000"/>
        </w:rPr>
        <w:t>），冲洗过程损耗量按20%计，则本工程猪舍冲洗废水产生量为</w:t>
      </w:r>
      <w:r>
        <w:rPr>
          <w:rFonts w:hint="eastAsia"/>
          <w:bCs/>
          <w:color w:val="000000"/>
        </w:rPr>
        <w:t>5280</w:t>
      </w:r>
      <w:r>
        <w:rPr>
          <w:bCs/>
          <w:color w:val="000000"/>
        </w:rPr>
        <w:t>m</w:t>
      </w:r>
      <w:r>
        <w:rPr>
          <w:bCs/>
          <w:color w:val="000000"/>
          <w:vertAlign w:val="superscript"/>
        </w:rPr>
        <w:t>3</w:t>
      </w:r>
      <w:r>
        <w:rPr>
          <w:bCs/>
          <w:color w:val="000000"/>
        </w:rPr>
        <w:t>/a。</w:t>
      </w:r>
    </w:p>
    <w:p>
      <w:pPr>
        <w:spacing w:line="520" w:lineRule="exact"/>
        <w:ind w:firstLine="480" w:firstLineChars="200"/>
        <w:rPr>
          <w:bCs/>
          <w:sz w:val="24"/>
        </w:rPr>
      </w:pPr>
      <w:r>
        <w:rPr>
          <w:rFonts w:hint="eastAsia" w:ascii="宋体" w:hAnsi="宋体" w:cs="宋体"/>
          <w:bCs/>
          <w:sz w:val="24"/>
        </w:rPr>
        <w:t>③</w:t>
      </w:r>
      <w:r>
        <w:rPr>
          <w:bCs/>
          <w:sz w:val="24"/>
        </w:rPr>
        <w:t>猪粪带入盖泻湖沼气池的废水</w:t>
      </w:r>
    </w:p>
    <w:p>
      <w:pPr>
        <w:pStyle w:val="98"/>
        <w:spacing w:line="520" w:lineRule="exact"/>
        <w:ind w:firstLine="480"/>
        <w:rPr>
          <w:bCs/>
        </w:rPr>
      </w:pPr>
      <w:r>
        <w:rPr>
          <w:bCs/>
        </w:rPr>
        <w:t>本项目采用环保部认定的干清粪工艺，粪尿产生后经粪污储存池暂存后用泵运至污水前处理系统进行固液分离，经固液分离后，分离出的猪粪运至固粪处置区制有机肥原料，污水进入盖泻湖沼气池进行处理。</w:t>
      </w:r>
    </w:p>
    <w:p>
      <w:pPr>
        <w:pStyle w:val="98"/>
        <w:spacing w:line="520" w:lineRule="exact"/>
        <w:ind w:firstLine="480"/>
      </w:pPr>
      <w:r>
        <w:rPr>
          <w:bCs/>
        </w:rPr>
        <w:t>新鲜猪粪含水率为80%，养殖粪污在污水前处理区进行固液分离，固液分离效率按50%计，项目猪粪产生量为14570.80t/a（</w:t>
      </w:r>
      <w:r>
        <w:rPr>
          <w:rFonts w:hint="eastAsia"/>
          <w:bCs/>
        </w:rPr>
        <w:t>39.92</w:t>
      </w:r>
      <w:r>
        <w:rPr>
          <w:bCs/>
        </w:rPr>
        <w:t>/d），则经固液分离后猪粪带入盖泻湖沼气池的总水量为</w:t>
      </w:r>
      <w:r>
        <w:rPr>
          <w:rFonts w:hint="eastAsia"/>
          <w:bCs/>
        </w:rPr>
        <w:t>24.52</w:t>
      </w:r>
      <w:r>
        <w:rPr>
          <w:bCs/>
        </w:rPr>
        <w:t>m</w:t>
      </w:r>
      <w:r>
        <w:rPr>
          <w:bCs/>
          <w:vertAlign w:val="superscript"/>
        </w:rPr>
        <w:t>3</w:t>
      </w:r>
      <w:r>
        <w:rPr>
          <w:bCs/>
        </w:rPr>
        <w:t>/d、8949.8m</w:t>
      </w:r>
      <w:r>
        <w:rPr>
          <w:bCs/>
          <w:vertAlign w:val="superscript"/>
        </w:rPr>
        <w:t>3</w:t>
      </w:r>
      <w:r>
        <w:rPr>
          <w:bCs/>
        </w:rPr>
        <w:t>/a。</w:t>
      </w:r>
    </w:p>
    <w:p>
      <w:pPr>
        <w:pStyle w:val="98"/>
        <w:spacing w:line="520" w:lineRule="exact"/>
        <w:ind w:firstLine="480"/>
        <w:rPr>
          <w:bCs/>
          <w:color w:val="000000"/>
        </w:rPr>
      </w:pPr>
      <w:r>
        <w:rPr>
          <w:bCs/>
        </w:rPr>
        <w:t>（2）</w:t>
      </w:r>
      <w:r>
        <w:rPr>
          <w:bCs/>
          <w:color w:val="000000"/>
        </w:rPr>
        <w:t>生活污水</w:t>
      </w:r>
    </w:p>
    <w:p>
      <w:pPr>
        <w:pStyle w:val="98"/>
        <w:spacing w:line="520" w:lineRule="exact"/>
        <w:ind w:firstLine="480"/>
        <w:rPr>
          <w:bCs/>
          <w:color w:val="000000"/>
        </w:rPr>
      </w:pPr>
      <w:r>
        <w:rPr>
          <w:bCs/>
          <w:color w:val="000000"/>
        </w:rPr>
        <w:t>本工程</w:t>
      </w:r>
      <w:r>
        <w:t>生活用水量为</w:t>
      </w:r>
      <w:r>
        <w:rPr>
          <w:rFonts w:hint="eastAsia"/>
        </w:rPr>
        <w:t>5.88</w:t>
      </w:r>
      <w:r>
        <w:t>m</w:t>
      </w:r>
      <w:r>
        <w:rPr>
          <w:vertAlign w:val="superscript"/>
        </w:rPr>
        <w:t>3</w:t>
      </w:r>
      <w:r>
        <w:t>/d、</w:t>
      </w:r>
      <w:r>
        <w:rPr>
          <w:rFonts w:hint="eastAsia"/>
        </w:rPr>
        <w:t>2146.2</w:t>
      </w:r>
      <w:r>
        <w:t>m</w:t>
      </w:r>
      <w:r>
        <w:rPr>
          <w:vertAlign w:val="superscript"/>
        </w:rPr>
        <w:t>3</w:t>
      </w:r>
      <w:r>
        <w:t>/a。废水排放量按用水量的80%计算，则生活污水产生量为</w:t>
      </w:r>
      <w:r>
        <w:rPr>
          <w:rFonts w:hint="eastAsia"/>
        </w:rPr>
        <w:t>4.70</w:t>
      </w:r>
      <w:r>
        <w:t>m</w:t>
      </w:r>
      <w:r>
        <w:rPr>
          <w:vertAlign w:val="superscript"/>
        </w:rPr>
        <w:t>3</w:t>
      </w:r>
      <w:r>
        <w:t>/d、</w:t>
      </w:r>
      <w:r>
        <w:rPr>
          <w:rFonts w:hint="eastAsia"/>
        </w:rPr>
        <w:t>1716.96</w:t>
      </w:r>
      <w:r>
        <w:t>m</w:t>
      </w:r>
      <w:r>
        <w:rPr>
          <w:vertAlign w:val="superscript"/>
        </w:rPr>
        <w:t>3</w:t>
      </w:r>
      <w:r>
        <w:t>/a。</w:t>
      </w:r>
    </w:p>
    <w:p>
      <w:pPr>
        <w:pStyle w:val="98"/>
        <w:spacing w:line="520" w:lineRule="exact"/>
        <w:ind w:firstLine="556" w:firstLineChars="232"/>
        <w:rPr>
          <w:bCs/>
        </w:rPr>
      </w:pPr>
      <w:r>
        <w:rPr>
          <w:bCs/>
        </w:rPr>
        <w:t>经计算，本项目用排水状况见表2.1-14、2.1-15。</w:t>
      </w:r>
    </w:p>
    <w:p/>
    <w:p>
      <w:pPr>
        <w:spacing w:afterLines="30" w:line="520" w:lineRule="exact"/>
        <w:jc w:val="center"/>
        <w:rPr>
          <w:b/>
          <w:bCs/>
          <w:sz w:val="24"/>
        </w:rPr>
      </w:pPr>
      <w:bookmarkStart w:id="84" w:name="_Ref377413095"/>
      <w:r>
        <w:rPr>
          <w:b/>
          <w:bCs/>
          <w:sz w:val="24"/>
        </w:rPr>
        <w:t>表2.1-14    项目用排水一览表</w:t>
      </w:r>
      <w:bookmarkEnd w:id="84"/>
      <w:r>
        <w:rPr>
          <w:b/>
          <w:bCs/>
          <w:sz w:val="24"/>
        </w:rPr>
        <w:t>（夏季122d）</w:t>
      </w:r>
    </w:p>
    <w:tbl>
      <w:tblPr>
        <w:tblStyle w:val="44"/>
        <w:tblW w:w="87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327"/>
        <w:gridCol w:w="3539"/>
        <w:gridCol w:w="29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2327" w:type="dxa"/>
            <w:tcMar>
              <w:top w:w="11" w:type="dxa"/>
              <w:left w:w="28" w:type="dxa"/>
              <w:bottom w:w="11" w:type="dxa"/>
              <w:right w:w="28" w:type="dxa"/>
            </w:tcMar>
            <w:vAlign w:val="center"/>
          </w:tcPr>
          <w:p>
            <w:pPr>
              <w:jc w:val="center"/>
              <w:rPr>
                <w:bCs/>
                <w:szCs w:val="21"/>
              </w:rPr>
            </w:pPr>
            <w:r>
              <w:rPr>
                <w:bCs/>
                <w:szCs w:val="21"/>
              </w:rPr>
              <w:t>名称</w:t>
            </w:r>
          </w:p>
        </w:tc>
        <w:tc>
          <w:tcPr>
            <w:tcW w:w="3539" w:type="dxa"/>
            <w:tcMar>
              <w:top w:w="11" w:type="dxa"/>
              <w:left w:w="28" w:type="dxa"/>
              <w:bottom w:w="11" w:type="dxa"/>
              <w:right w:w="28" w:type="dxa"/>
            </w:tcMar>
            <w:vAlign w:val="center"/>
          </w:tcPr>
          <w:p>
            <w:pPr>
              <w:jc w:val="center"/>
              <w:rPr>
                <w:bCs/>
                <w:szCs w:val="21"/>
              </w:rPr>
            </w:pPr>
            <w:r>
              <w:rPr>
                <w:bCs/>
                <w:szCs w:val="21"/>
              </w:rPr>
              <w:t>用水量（m</w:t>
            </w:r>
            <w:r>
              <w:rPr>
                <w:bCs/>
                <w:szCs w:val="21"/>
                <w:vertAlign w:val="superscript"/>
              </w:rPr>
              <w:t>3</w:t>
            </w:r>
            <w:r>
              <w:rPr>
                <w:bCs/>
                <w:szCs w:val="21"/>
              </w:rPr>
              <w:t>/d）</w:t>
            </w:r>
          </w:p>
        </w:tc>
        <w:tc>
          <w:tcPr>
            <w:tcW w:w="2922" w:type="dxa"/>
            <w:tcMar>
              <w:top w:w="11" w:type="dxa"/>
              <w:left w:w="28" w:type="dxa"/>
              <w:bottom w:w="11" w:type="dxa"/>
              <w:right w:w="28" w:type="dxa"/>
            </w:tcMar>
            <w:vAlign w:val="center"/>
          </w:tcPr>
          <w:p>
            <w:pPr>
              <w:jc w:val="center"/>
              <w:rPr>
                <w:bCs/>
                <w:szCs w:val="21"/>
              </w:rPr>
            </w:pPr>
            <w:r>
              <w:rPr>
                <w:bCs/>
                <w:szCs w:val="21"/>
              </w:rPr>
              <w:t>排水量（m</w:t>
            </w:r>
            <w:r>
              <w:rPr>
                <w:bCs/>
                <w:szCs w:val="21"/>
                <w:vertAlign w:val="superscript"/>
              </w:rPr>
              <w:t>3</w:t>
            </w:r>
            <w:r>
              <w:rPr>
                <w:bCs/>
                <w:szCs w:val="21"/>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widowControl/>
              <w:snapToGrid w:val="0"/>
              <w:ind w:left="-15" w:leftChars="-51" w:right="-109" w:rightChars="-52" w:hanging="92" w:hangingChars="44"/>
              <w:jc w:val="center"/>
              <w:rPr>
                <w:bCs/>
                <w:iCs/>
                <w:kern w:val="0"/>
                <w:szCs w:val="21"/>
              </w:rPr>
            </w:pPr>
            <w:bookmarkStart w:id="85" w:name="_Hlk376119699"/>
            <w:r>
              <w:rPr>
                <w:bCs/>
                <w:szCs w:val="21"/>
              </w:rPr>
              <w:t>猪舍冲洗水</w:t>
            </w:r>
          </w:p>
        </w:tc>
        <w:tc>
          <w:tcPr>
            <w:tcW w:w="3539" w:type="dxa"/>
            <w:tcMar>
              <w:top w:w="11" w:type="dxa"/>
              <w:left w:w="28" w:type="dxa"/>
              <w:bottom w:w="11" w:type="dxa"/>
              <w:right w:w="28" w:type="dxa"/>
            </w:tcMar>
            <w:vAlign w:val="bottom"/>
          </w:tcPr>
          <w:p>
            <w:pPr>
              <w:jc w:val="center"/>
              <w:rPr>
                <w:rFonts w:ascii="Calibri" w:hAnsi="Calibri" w:cs="宋体"/>
                <w:sz w:val="22"/>
                <w:szCs w:val="22"/>
              </w:rPr>
            </w:pPr>
            <w:r>
              <w:rPr>
                <w:rFonts w:ascii="Calibri" w:hAnsi="Calibri"/>
                <w:sz w:val="22"/>
                <w:szCs w:val="22"/>
              </w:rPr>
              <w:t>18.08</w:t>
            </w:r>
          </w:p>
        </w:tc>
        <w:tc>
          <w:tcPr>
            <w:tcW w:w="2922" w:type="dxa"/>
            <w:tcMar>
              <w:top w:w="11" w:type="dxa"/>
              <w:left w:w="28" w:type="dxa"/>
              <w:bottom w:w="11" w:type="dxa"/>
              <w:right w:w="28" w:type="dxa"/>
            </w:tcMar>
            <w:vAlign w:val="bottom"/>
          </w:tcPr>
          <w:p>
            <w:pPr>
              <w:jc w:val="center"/>
              <w:rPr>
                <w:rFonts w:ascii="Calibri" w:hAnsi="Calibri" w:cs="宋体"/>
                <w:sz w:val="22"/>
                <w:szCs w:val="22"/>
              </w:rPr>
            </w:pPr>
            <w:r>
              <w:rPr>
                <w:rFonts w:ascii="Calibri" w:hAnsi="Calibri"/>
                <w:sz w:val="22"/>
                <w:szCs w:val="22"/>
              </w:rPr>
              <w:t>14.47</w:t>
            </w:r>
          </w:p>
        </w:tc>
      </w:tr>
      <w:bookmarkEnd w:id="85"/>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widowControl/>
              <w:snapToGrid w:val="0"/>
              <w:ind w:left="-15" w:leftChars="-51" w:right="-109" w:rightChars="-52" w:hanging="92" w:hangingChars="44"/>
              <w:jc w:val="center"/>
              <w:rPr>
                <w:bCs/>
                <w:iCs/>
                <w:kern w:val="0"/>
                <w:szCs w:val="21"/>
              </w:rPr>
            </w:pPr>
            <w:r>
              <w:rPr>
                <w:bCs/>
                <w:szCs w:val="21"/>
              </w:rPr>
              <w:t>猪饮用水</w:t>
            </w:r>
          </w:p>
        </w:tc>
        <w:tc>
          <w:tcPr>
            <w:tcW w:w="3539" w:type="dxa"/>
            <w:tcMar>
              <w:top w:w="11" w:type="dxa"/>
              <w:left w:w="28" w:type="dxa"/>
              <w:bottom w:w="11" w:type="dxa"/>
              <w:right w:w="28" w:type="dxa"/>
            </w:tcMar>
            <w:vAlign w:val="center"/>
          </w:tcPr>
          <w:p>
            <w:pPr>
              <w:jc w:val="center"/>
              <w:rPr>
                <w:bCs/>
                <w:szCs w:val="21"/>
              </w:rPr>
            </w:pPr>
            <w:r>
              <w:rPr>
                <w:rFonts w:hint="eastAsia"/>
                <w:bCs/>
                <w:szCs w:val="21"/>
              </w:rPr>
              <w:t>458</w:t>
            </w:r>
          </w:p>
        </w:tc>
        <w:tc>
          <w:tcPr>
            <w:tcW w:w="2922" w:type="dxa"/>
            <w:tcMar>
              <w:top w:w="11" w:type="dxa"/>
              <w:left w:w="28" w:type="dxa"/>
              <w:bottom w:w="11" w:type="dxa"/>
              <w:right w:w="28" w:type="dxa"/>
            </w:tcMar>
            <w:vAlign w:val="center"/>
          </w:tcPr>
          <w:p>
            <w:pPr>
              <w:jc w:val="center"/>
              <w:rPr>
                <w:bCs/>
                <w:szCs w:val="21"/>
              </w:rPr>
            </w:pPr>
            <w:r>
              <w:rPr>
                <w:rFonts w:hint="eastAsia"/>
                <w:bCs/>
                <w:szCs w:val="21"/>
              </w:rPr>
              <w:t>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widowControl/>
              <w:snapToGrid w:val="0"/>
              <w:ind w:left="-15" w:leftChars="-51" w:right="-109" w:rightChars="-52" w:hanging="92" w:hangingChars="44"/>
              <w:jc w:val="center"/>
              <w:rPr>
                <w:bCs/>
                <w:szCs w:val="21"/>
              </w:rPr>
            </w:pPr>
            <w:r>
              <w:rPr>
                <w:bCs/>
                <w:szCs w:val="21"/>
              </w:rPr>
              <w:t>猪粪固液分离</w:t>
            </w:r>
          </w:p>
        </w:tc>
        <w:tc>
          <w:tcPr>
            <w:tcW w:w="3539" w:type="dxa"/>
            <w:tcMar>
              <w:top w:w="11" w:type="dxa"/>
              <w:left w:w="28" w:type="dxa"/>
              <w:bottom w:w="11" w:type="dxa"/>
              <w:right w:w="28" w:type="dxa"/>
            </w:tcMar>
            <w:vAlign w:val="center"/>
          </w:tcPr>
          <w:p>
            <w:pPr>
              <w:jc w:val="center"/>
              <w:rPr>
                <w:bCs/>
                <w:szCs w:val="21"/>
              </w:rPr>
            </w:pPr>
            <w:r>
              <w:rPr>
                <w:bCs/>
                <w:szCs w:val="21"/>
              </w:rPr>
              <w:t xml:space="preserve">0.00 </w:t>
            </w:r>
          </w:p>
        </w:tc>
        <w:tc>
          <w:tcPr>
            <w:tcW w:w="2922" w:type="dxa"/>
            <w:tcMar>
              <w:top w:w="11" w:type="dxa"/>
              <w:left w:w="28" w:type="dxa"/>
              <w:bottom w:w="11" w:type="dxa"/>
              <w:right w:w="28" w:type="dxa"/>
            </w:tcMar>
            <w:vAlign w:val="center"/>
          </w:tcPr>
          <w:p>
            <w:pPr>
              <w:jc w:val="center"/>
              <w:rPr>
                <w:bCs/>
                <w:szCs w:val="21"/>
              </w:rPr>
            </w:pPr>
            <w:r>
              <w:rPr>
                <w:rFonts w:hint="eastAsia"/>
                <w:bCs/>
                <w:szCs w:val="21"/>
              </w:rPr>
              <w:t>24.52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Cs/>
                <w:szCs w:val="21"/>
              </w:rPr>
            </w:pPr>
            <w:r>
              <w:rPr>
                <w:bCs/>
                <w:szCs w:val="21"/>
              </w:rPr>
              <w:t>猪舍降温用水</w:t>
            </w:r>
          </w:p>
        </w:tc>
        <w:tc>
          <w:tcPr>
            <w:tcW w:w="3539" w:type="dxa"/>
            <w:tcMar>
              <w:top w:w="11" w:type="dxa"/>
              <w:left w:w="28" w:type="dxa"/>
              <w:bottom w:w="11" w:type="dxa"/>
              <w:right w:w="28" w:type="dxa"/>
            </w:tcMar>
            <w:vAlign w:val="center"/>
          </w:tcPr>
          <w:p>
            <w:pPr>
              <w:jc w:val="center"/>
              <w:rPr>
                <w:bCs/>
                <w:szCs w:val="21"/>
              </w:rPr>
            </w:pPr>
            <w:r>
              <w:rPr>
                <w:bCs/>
                <w:szCs w:val="21"/>
              </w:rPr>
              <w:t>12</w:t>
            </w:r>
          </w:p>
        </w:tc>
        <w:tc>
          <w:tcPr>
            <w:tcW w:w="2922" w:type="dxa"/>
            <w:tcMar>
              <w:top w:w="11" w:type="dxa"/>
              <w:left w:w="28" w:type="dxa"/>
              <w:bottom w:w="11" w:type="dxa"/>
              <w:right w:w="28" w:type="dxa"/>
            </w:tcMar>
            <w:vAlign w:val="center"/>
          </w:tcPr>
          <w:p>
            <w:pPr>
              <w:jc w:val="center"/>
              <w:rPr>
                <w:bCs/>
                <w:szCs w:val="21"/>
              </w:rPr>
            </w:pPr>
            <w:r>
              <w:rPr>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Cs/>
                <w:szCs w:val="21"/>
              </w:rPr>
            </w:pPr>
            <w:r>
              <w:rPr>
                <w:bCs/>
                <w:szCs w:val="21"/>
              </w:rPr>
              <w:t>职工生活用水</w:t>
            </w:r>
          </w:p>
        </w:tc>
        <w:tc>
          <w:tcPr>
            <w:tcW w:w="3539" w:type="dxa"/>
            <w:tcMar>
              <w:top w:w="11" w:type="dxa"/>
              <w:left w:w="28" w:type="dxa"/>
              <w:bottom w:w="11" w:type="dxa"/>
              <w:right w:w="28" w:type="dxa"/>
            </w:tcMar>
            <w:vAlign w:val="center"/>
          </w:tcPr>
          <w:p>
            <w:pPr>
              <w:jc w:val="center"/>
              <w:rPr>
                <w:bCs/>
                <w:szCs w:val="21"/>
              </w:rPr>
            </w:pPr>
            <w:r>
              <w:rPr>
                <w:rFonts w:hint="eastAsia"/>
                <w:bCs/>
                <w:szCs w:val="21"/>
              </w:rPr>
              <w:t>5.88</w:t>
            </w:r>
          </w:p>
        </w:tc>
        <w:tc>
          <w:tcPr>
            <w:tcW w:w="2922" w:type="dxa"/>
            <w:tcMar>
              <w:top w:w="11" w:type="dxa"/>
              <w:left w:w="28" w:type="dxa"/>
              <w:bottom w:w="11" w:type="dxa"/>
              <w:right w:w="28" w:type="dxa"/>
            </w:tcMar>
            <w:vAlign w:val="center"/>
          </w:tcPr>
          <w:p>
            <w:pPr>
              <w:jc w:val="center"/>
              <w:rPr>
                <w:bCs/>
                <w:szCs w:val="21"/>
              </w:rPr>
            </w:pPr>
            <w:r>
              <w:rPr>
                <w:rFonts w:hint="eastAsia"/>
                <w:bCs/>
                <w:szCs w:val="21"/>
              </w:rPr>
              <w:t>4.70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Cs/>
                <w:szCs w:val="21"/>
              </w:rPr>
            </w:pPr>
            <w:r>
              <w:rPr>
                <w:bCs/>
                <w:szCs w:val="21"/>
              </w:rPr>
              <w:t>消毒用水</w:t>
            </w:r>
          </w:p>
        </w:tc>
        <w:tc>
          <w:tcPr>
            <w:tcW w:w="3539" w:type="dxa"/>
            <w:tcMar>
              <w:top w:w="11" w:type="dxa"/>
              <w:left w:w="28" w:type="dxa"/>
              <w:bottom w:w="11" w:type="dxa"/>
              <w:right w:w="28" w:type="dxa"/>
            </w:tcMar>
            <w:vAlign w:val="center"/>
          </w:tcPr>
          <w:p>
            <w:pPr>
              <w:jc w:val="center"/>
              <w:rPr>
                <w:bCs/>
                <w:szCs w:val="21"/>
              </w:rPr>
            </w:pPr>
            <w:r>
              <w:rPr>
                <w:bCs/>
                <w:szCs w:val="21"/>
              </w:rPr>
              <w:t>4.38</w:t>
            </w:r>
          </w:p>
        </w:tc>
        <w:tc>
          <w:tcPr>
            <w:tcW w:w="2922" w:type="dxa"/>
            <w:tcMar>
              <w:top w:w="11" w:type="dxa"/>
              <w:left w:w="28" w:type="dxa"/>
              <w:bottom w:w="11" w:type="dxa"/>
              <w:right w:w="28" w:type="dxa"/>
            </w:tcMar>
            <w:vAlign w:val="center"/>
          </w:tcPr>
          <w:p>
            <w:pPr>
              <w:jc w:val="center"/>
              <w:rPr>
                <w:bCs/>
                <w:szCs w:val="21"/>
              </w:rPr>
            </w:pPr>
            <w:r>
              <w:rPr>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Cs/>
                <w:szCs w:val="21"/>
              </w:rPr>
            </w:pPr>
            <w:r>
              <w:rPr>
                <w:bCs/>
                <w:szCs w:val="21"/>
              </w:rPr>
              <w:t>无害化处置用水</w:t>
            </w:r>
          </w:p>
        </w:tc>
        <w:tc>
          <w:tcPr>
            <w:tcW w:w="3539" w:type="dxa"/>
            <w:tcMar>
              <w:top w:w="11" w:type="dxa"/>
              <w:left w:w="28" w:type="dxa"/>
              <w:bottom w:w="11" w:type="dxa"/>
              <w:right w:w="28" w:type="dxa"/>
            </w:tcMar>
            <w:vAlign w:val="center"/>
          </w:tcPr>
          <w:p>
            <w:pPr>
              <w:jc w:val="center"/>
              <w:rPr>
                <w:bCs/>
                <w:szCs w:val="21"/>
              </w:rPr>
            </w:pPr>
            <w:r>
              <w:rPr>
                <w:bCs/>
                <w:szCs w:val="21"/>
              </w:rPr>
              <w:t>0.6</w:t>
            </w:r>
          </w:p>
        </w:tc>
        <w:tc>
          <w:tcPr>
            <w:tcW w:w="2922" w:type="dxa"/>
            <w:tcMar>
              <w:top w:w="11" w:type="dxa"/>
              <w:left w:w="28" w:type="dxa"/>
              <w:bottom w:w="11" w:type="dxa"/>
              <w:right w:w="28" w:type="dxa"/>
            </w:tcMar>
            <w:vAlign w:val="center"/>
          </w:tcPr>
          <w:p>
            <w:pPr>
              <w:jc w:val="center"/>
              <w:rPr>
                <w:bCs/>
                <w:szCs w:val="21"/>
              </w:rPr>
            </w:pPr>
            <w:r>
              <w:rPr>
                <w:bCs/>
                <w:szCs w:val="21"/>
              </w:rPr>
              <w:t>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Cs/>
                <w:szCs w:val="21"/>
              </w:rPr>
            </w:pPr>
            <w:r>
              <w:rPr>
                <w:bCs/>
                <w:szCs w:val="21"/>
              </w:rPr>
              <w:t>合计</w:t>
            </w:r>
          </w:p>
        </w:tc>
        <w:tc>
          <w:tcPr>
            <w:tcW w:w="3539" w:type="dxa"/>
            <w:tcMar>
              <w:top w:w="11" w:type="dxa"/>
              <w:left w:w="28" w:type="dxa"/>
              <w:bottom w:w="11" w:type="dxa"/>
              <w:right w:w="28" w:type="dxa"/>
            </w:tcMar>
            <w:vAlign w:val="bottom"/>
          </w:tcPr>
          <w:p>
            <w:pPr>
              <w:jc w:val="center"/>
              <w:rPr>
                <w:rFonts w:ascii="Calibri" w:hAnsi="Calibri" w:cs="宋体"/>
                <w:sz w:val="22"/>
                <w:szCs w:val="22"/>
              </w:rPr>
            </w:pPr>
            <w:r>
              <w:rPr>
                <w:rFonts w:ascii="Calibri" w:hAnsi="Calibri"/>
                <w:sz w:val="22"/>
                <w:szCs w:val="22"/>
              </w:rPr>
              <w:t>498.94</w:t>
            </w:r>
          </w:p>
        </w:tc>
        <w:tc>
          <w:tcPr>
            <w:tcW w:w="2922" w:type="dxa"/>
            <w:tcMar>
              <w:top w:w="11" w:type="dxa"/>
              <w:left w:w="28" w:type="dxa"/>
              <w:bottom w:w="11" w:type="dxa"/>
              <w:right w:w="28" w:type="dxa"/>
            </w:tcMar>
            <w:vAlign w:val="bottom"/>
          </w:tcPr>
          <w:p>
            <w:pPr>
              <w:jc w:val="center"/>
              <w:rPr>
                <w:rFonts w:ascii="Calibri" w:hAnsi="Calibri" w:cs="宋体"/>
                <w:sz w:val="22"/>
                <w:szCs w:val="22"/>
              </w:rPr>
            </w:pPr>
            <w:r>
              <w:rPr>
                <w:rFonts w:ascii="Calibri" w:hAnsi="Calibri"/>
                <w:sz w:val="22"/>
                <w:szCs w:val="22"/>
              </w:rPr>
              <w:t>255.17</w:t>
            </w:r>
          </w:p>
        </w:tc>
      </w:tr>
    </w:tbl>
    <w:p>
      <w:pPr>
        <w:spacing w:afterLines="30" w:line="520" w:lineRule="exact"/>
        <w:jc w:val="center"/>
        <w:rPr>
          <w:b/>
          <w:bCs/>
          <w:color w:val="000000" w:themeColor="text1"/>
          <w:sz w:val="24"/>
        </w:rPr>
      </w:pPr>
      <w:r>
        <w:rPr>
          <w:b/>
          <w:bCs/>
          <w:color w:val="000000" w:themeColor="text1"/>
          <w:sz w:val="24"/>
        </w:rPr>
        <w:t>表2.1-15   项目用排水一览表（其它季节243d）</w:t>
      </w:r>
    </w:p>
    <w:tbl>
      <w:tblPr>
        <w:tblStyle w:val="44"/>
        <w:tblW w:w="87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327"/>
        <w:gridCol w:w="3539"/>
        <w:gridCol w:w="29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2327" w:type="dxa"/>
            <w:tcMar>
              <w:top w:w="11" w:type="dxa"/>
              <w:left w:w="28" w:type="dxa"/>
              <w:bottom w:w="11" w:type="dxa"/>
              <w:right w:w="28" w:type="dxa"/>
            </w:tcMar>
            <w:vAlign w:val="center"/>
          </w:tcPr>
          <w:p>
            <w:pPr>
              <w:jc w:val="center"/>
              <w:rPr>
                <w:bCs/>
                <w:szCs w:val="21"/>
              </w:rPr>
            </w:pPr>
            <w:r>
              <w:rPr>
                <w:bCs/>
                <w:szCs w:val="21"/>
              </w:rPr>
              <w:t>名称</w:t>
            </w:r>
          </w:p>
        </w:tc>
        <w:tc>
          <w:tcPr>
            <w:tcW w:w="3539" w:type="dxa"/>
            <w:tcMar>
              <w:top w:w="11" w:type="dxa"/>
              <w:left w:w="28" w:type="dxa"/>
              <w:bottom w:w="11" w:type="dxa"/>
              <w:right w:w="28" w:type="dxa"/>
            </w:tcMar>
            <w:vAlign w:val="center"/>
          </w:tcPr>
          <w:p>
            <w:pPr>
              <w:jc w:val="center"/>
              <w:rPr>
                <w:bCs/>
                <w:szCs w:val="21"/>
              </w:rPr>
            </w:pPr>
            <w:r>
              <w:rPr>
                <w:bCs/>
                <w:szCs w:val="21"/>
              </w:rPr>
              <w:t>用水量（m</w:t>
            </w:r>
            <w:r>
              <w:rPr>
                <w:bCs/>
                <w:szCs w:val="21"/>
                <w:vertAlign w:val="superscript"/>
              </w:rPr>
              <w:t>3</w:t>
            </w:r>
            <w:r>
              <w:rPr>
                <w:bCs/>
                <w:szCs w:val="21"/>
              </w:rPr>
              <w:t>/d）</w:t>
            </w:r>
          </w:p>
        </w:tc>
        <w:tc>
          <w:tcPr>
            <w:tcW w:w="2922" w:type="dxa"/>
            <w:tcMar>
              <w:top w:w="11" w:type="dxa"/>
              <w:left w:w="28" w:type="dxa"/>
              <w:bottom w:w="11" w:type="dxa"/>
              <w:right w:w="28" w:type="dxa"/>
            </w:tcMar>
            <w:vAlign w:val="center"/>
          </w:tcPr>
          <w:p>
            <w:pPr>
              <w:jc w:val="center"/>
              <w:rPr>
                <w:bCs/>
                <w:szCs w:val="21"/>
              </w:rPr>
            </w:pPr>
            <w:r>
              <w:rPr>
                <w:bCs/>
                <w:szCs w:val="21"/>
              </w:rPr>
              <w:t>排水量（m</w:t>
            </w:r>
            <w:r>
              <w:rPr>
                <w:bCs/>
                <w:szCs w:val="21"/>
                <w:vertAlign w:val="superscript"/>
              </w:rPr>
              <w:t>3</w:t>
            </w:r>
            <w:r>
              <w:rPr>
                <w:bCs/>
                <w:szCs w:val="21"/>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widowControl/>
              <w:snapToGrid w:val="0"/>
              <w:ind w:left="-15" w:leftChars="-51" w:right="-109" w:rightChars="-52" w:hanging="92" w:hangingChars="44"/>
              <w:jc w:val="center"/>
              <w:rPr>
                <w:bCs/>
                <w:iCs/>
                <w:kern w:val="0"/>
                <w:szCs w:val="21"/>
              </w:rPr>
            </w:pPr>
            <w:r>
              <w:rPr>
                <w:bCs/>
                <w:szCs w:val="21"/>
              </w:rPr>
              <w:t>猪舍冲洗水</w:t>
            </w:r>
          </w:p>
        </w:tc>
        <w:tc>
          <w:tcPr>
            <w:tcW w:w="3539" w:type="dxa"/>
            <w:tcMar>
              <w:top w:w="11" w:type="dxa"/>
              <w:left w:w="28" w:type="dxa"/>
              <w:bottom w:w="11" w:type="dxa"/>
              <w:right w:w="28" w:type="dxa"/>
            </w:tcMar>
            <w:vAlign w:val="bottom"/>
          </w:tcPr>
          <w:p>
            <w:pPr>
              <w:jc w:val="center"/>
              <w:rPr>
                <w:bCs/>
                <w:szCs w:val="21"/>
              </w:rPr>
            </w:pPr>
            <w:r>
              <w:rPr>
                <w:bCs/>
                <w:szCs w:val="21"/>
              </w:rPr>
              <w:t>18.08</w:t>
            </w:r>
          </w:p>
        </w:tc>
        <w:tc>
          <w:tcPr>
            <w:tcW w:w="2922" w:type="dxa"/>
            <w:tcMar>
              <w:top w:w="11" w:type="dxa"/>
              <w:left w:w="28" w:type="dxa"/>
              <w:bottom w:w="11" w:type="dxa"/>
              <w:right w:w="28" w:type="dxa"/>
            </w:tcMar>
            <w:vAlign w:val="bottom"/>
          </w:tcPr>
          <w:p>
            <w:pPr>
              <w:jc w:val="center"/>
              <w:rPr>
                <w:rFonts w:ascii="Calibri" w:hAnsi="Calibri" w:cs="宋体"/>
                <w:sz w:val="22"/>
                <w:szCs w:val="22"/>
              </w:rPr>
            </w:pPr>
            <w:r>
              <w:rPr>
                <w:rFonts w:ascii="Calibri" w:hAnsi="Calibri"/>
                <w:sz w:val="22"/>
                <w:szCs w:val="22"/>
              </w:rPr>
              <w:t>14.47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widowControl/>
              <w:snapToGrid w:val="0"/>
              <w:ind w:left="-15" w:leftChars="-51" w:right="-109" w:rightChars="-52" w:hanging="92" w:hangingChars="44"/>
              <w:jc w:val="center"/>
              <w:rPr>
                <w:bCs/>
                <w:iCs/>
                <w:kern w:val="0"/>
                <w:szCs w:val="21"/>
              </w:rPr>
            </w:pPr>
            <w:r>
              <w:rPr>
                <w:bCs/>
                <w:szCs w:val="21"/>
              </w:rPr>
              <w:t>猪饮用水</w:t>
            </w:r>
          </w:p>
        </w:tc>
        <w:tc>
          <w:tcPr>
            <w:tcW w:w="3539" w:type="dxa"/>
            <w:tcMar>
              <w:top w:w="11" w:type="dxa"/>
              <w:left w:w="28" w:type="dxa"/>
              <w:bottom w:w="11" w:type="dxa"/>
              <w:right w:w="28" w:type="dxa"/>
            </w:tcMar>
            <w:vAlign w:val="center"/>
          </w:tcPr>
          <w:p>
            <w:pPr>
              <w:jc w:val="center"/>
              <w:rPr>
                <w:bCs/>
                <w:color w:val="000000"/>
                <w:szCs w:val="21"/>
              </w:rPr>
            </w:pPr>
            <w:r>
              <w:rPr>
                <w:rFonts w:hint="eastAsia"/>
                <w:bCs/>
                <w:color w:val="000000"/>
                <w:szCs w:val="21"/>
              </w:rPr>
              <w:t>267</w:t>
            </w:r>
          </w:p>
        </w:tc>
        <w:tc>
          <w:tcPr>
            <w:tcW w:w="2922" w:type="dxa"/>
            <w:tcMar>
              <w:top w:w="11" w:type="dxa"/>
              <w:left w:w="28" w:type="dxa"/>
              <w:bottom w:w="11" w:type="dxa"/>
              <w:right w:w="28" w:type="dxa"/>
            </w:tcMar>
            <w:vAlign w:val="center"/>
          </w:tcPr>
          <w:p>
            <w:pPr>
              <w:jc w:val="center"/>
              <w:rPr>
                <w:bCs/>
                <w:color w:val="000000"/>
                <w:szCs w:val="21"/>
              </w:rPr>
            </w:pPr>
            <w:r>
              <w:rPr>
                <w:rFonts w:hint="eastAsia"/>
                <w:bCs/>
                <w:color w:val="000000"/>
                <w:szCs w:val="21"/>
              </w:rPr>
              <w:t>127.05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widowControl/>
              <w:snapToGrid w:val="0"/>
              <w:ind w:left="-15" w:leftChars="-51" w:right="-109" w:rightChars="-52" w:hanging="92" w:hangingChars="44"/>
              <w:jc w:val="center"/>
              <w:rPr>
                <w:bCs/>
                <w:szCs w:val="21"/>
              </w:rPr>
            </w:pPr>
            <w:r>
              <w:rPr>
                <w:bCs/>
                <w:szCs w:val="21"/>
              </w:rPr>
              <w:t>猪粪固液分离</w:t>
            </w:r>
          </w:p>
        </w:tc>
        <w:tc>
          <w:tcPr>
            <w:tcW w:w="3539" w:type="dxa"/>
            <w:tcMar>
              <w:top w:w="11" w:type="dxa"/>
              <w:left w:w="28" w:type="dxa"/>
              <w:bottom w:w="11" w:type="dxa"/>
              <w:right w:w="28" w:type="dxa"/>
            </w:tcMar>
            <w:vAlign w:val="center"/>
          </w:tcPr>
          <w:p>
            <w:pPr>
              <w:jc w:val="center"/>
              <w:rPr>
                <w:bCs/>
                <w:szCs w:val="21"/>
              </w:rPr>
            </w:pPr>
            <w:r>
              <w:rPr>
                <w:bCs/>
                <w:szCs w:val="21"/>
              </w:rPr>
              <w:t xml:space="preserve">0.00 </w:t>
            </w:r>
          </w:p>
        </w:tc>
        <w:tc>
          <w:tcPr>
            <w:tcW w:w="2922" w:type="dxa"/>
            <w:tcMar>
              <w:top w:w="11" w:type="dxa"/>
              <w:left w:w="28" w:type="dxa"/>
              <w:bottom w:w="11" w:type="dxa"/>
              <w:right w:w="28" w:type="dxa"/>
            </w:tcMar>
            <w:vAlign w:val="center"/>
          </w:tcPr>
          <w:p>
            <w:pPr>
              <w:jc w:val="center"/>
              <w:rPr>
                <w:bCs/>
                <w:szCs w:val="21"/>
              </w:rPr>
            </w:pPr>
            <w:r>
              <w:rPr>
                <w:rFonts w:hint="eastAsia"/>
                <w:bCs/>
                <w:szCs w:val="21"/>
              </w:rPr>
              <w:t>24.52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Cs/>
                <w:szCs w:val="21"/>
              </w:rPr>
            </w:pPr>
            <w:r>
              <w:rPr>
                <w:bCs/>
                <w:szCs w:val="21"/>
              </w:rPr>
              <w:t>职工生活用水</w:t>
            </w:r>
          </w:p>
        </w:tc>
        <w:tc>
          <w:tcPr>
            <w:tcW w:w="3539" w:type="dxa"/>
            <w:tcMar>
              <w:top w:w="11" w:type="dxa"/>
              <w:left w:w="28" w:type="dxa"/>
              <w:bottom w:w="11" w:type="dxa"/>
              <w:right w:w="28" w:type="dxa"/>
            </w:tcMar>
            <w:vAlign w:val="center"/>
          </w:tcPr>
          <w:p>
            <w:pPr>
              <w:jc w:val="center"/>
              <w:rPr>
                <w:bCs/>
                <w:szCs w:val="21"/>
              </w:rPr>
            </w:pPr>
            <w:r>
              <w:rPr>
                <w:rFonts w:hint="eastAsia"/>
                <w:bCs/>
                <w:szCs w:val="21"/>
              </w:rPr>
              <w:t>5.88</w:t>
            </w:r>
          </w:p>
        </w:tc>
        <w:tc>
          <w:tcPr>
            <w:tcW w:w="2922" w:type="dxa"/>
            <w:tcMar>
              <w:top w:w="11" w:type="dxa"/>
              <w:left w:w="28" w:type="dxa"/>
              <w:bottom w:w="11" w:type="dxa"/>
              <w:right w:w="28" w:type="dxa"/>
            </w:tcMar>
            <w:vAlign w:val="center"/>
          </w:tcPr>
          <w:p>
            <w:pPr>
              <w:jc w:val="center"/>
              <w:rPr>
                <w:bCs/>
                <w:szCs w:val="21"/>
              </w:rPr>
            </w:pPr>
            <w:r>
              <w:rPr>
                <w:rFonts w:hint="eastAsia"/>
                <w:bCs/>
                <w:szCs w:val="21"/>
              </w:rPr>
              <w:t>4.70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Cs/>
                <w:szCs w:val="21"/>
              </w:rPr>
            </w:pPr>
            <w:r>
              <w:rPr>
                <w:bCs/>
                <w:szCs w:val="21"/>
              </w:rPr>
              <w:t>消毒用水</w:t>
            </w:r>
          </w:p>
        </w:tc>
        <w:tc>
          <w:tcPr>
            <w:tcW w:w="3539" w:type="dxa"/>
            <w:tcMar>
              <w:top w:w="11" w:type="dxa"/>
              <w:left w:w="28" w:type="dxa"/>
              <w:bottom w:w="11" w:type="dxa"/>
              <w:right w:w="28" w:type="dxa"/>
            </w:tcMar>
            <w:vAlign w:val="center"/>
          </w:tcPr>
          <w:p>
            <w:pPr>
              <w:jc w:val="center"/>
              <w:rPr>
                <w:bCs/>
                <w:szCs w:val="21"/>
              </w:rPr>
            </w:pPr>
            <w:r>
              <w:rPr>
                <w:bCs/>
                <w:szCs w:val="21"/>
              </w:rPr>
              <w:t>4.38</w:t>
            </w:r>
          </w:p>
        </w:tc>
        <w:tc>
          <w:tcPr>
            <w:tcW w:w="2922" w:type="dxa"/>
            <w:tcMar>
              <w:top w:w="11" w:type="dxa"/>
              <w:left w:w="28" w:type="dxa"/>
              <w:bottom w:w="11" w:type="dxa"/>
              <w:right w:w="28" w:type="dxa"/>
            </w:tcMar>
            <w:vAlign w:val="center"/>
          </w:tcPr>
          <w:p>
            <w:pPr>
              <w:jc w:val="center"/>
              <w:rPr>
                <w:bCs/>
                <w:szCs w:val="21"/>
              </w:rPr>
            </w:pPr>
            <w:r>
              <w:rPr>
                <w:bCs/>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Cs/>
                <w:szCs w:val="21"/>
              </w:rPr>
            </w:pPr>
            <w:r>
              <w:rPr>
                <w:bCs/>
                <w:szCs w:val="21"/>
              </w:rPr>
              <w:t>无害化处置用水</w:t>
            </w:r>
          </w:p>
        </w:tc>
        <w:tc>
          <w:tcPr>
            <w:tcW w:w="3539" w:type="dxa"/>
            <w:tcMar>
              <w:top w:w="11" w:type="dxa"/>
              <w:left w:w="28" w:type="dxa"/>
              <w:bottom w:w="11" w:type="dxa"/>
              <w:right w:w="28" w:type="dxa"/>
            </w:tcMar>
            <w:vAlign w:val="center"/>
          </w:tcPr>
          <w:p>
            <w:pPr>
              <w:jc w:val="center"/>
              <w:rPr>
                <w:bCs/>
                <w:szCs w:val="21"/>
              </w:rPr>
            </w:pPr>
            <w:r>
              <w:rPr>
                <w:bCs/>
                <w:szCs w:val="21"/>
              </w:rPr>
              <w:t>0.6</w:t>
            </w:r>
          </w:p>
        </w:tc>
        <w:tc>
          <w:tcPr>
            <w:tcW w:w="2922" w:type="dxa"/>
            <w:tcMar>
              <w:top w:w="11" w:type="dxa"/>
              <w:left w:w="28" w:type="dxa"/>
              <w:bottom w:w="11" w:type="dxa"/>
              <w:right w:w="28" w:type="dxa"/>
            </w:tcMar>
            <w:vAlign w:val="center"/>
          </w:tcPr>
          <w:p>
            <w:pPr>
              <w:jc w:val="center"/>
              <w:rPr>
                <w:bCs/>
                <w:szCs w:val="21"/>
              </w:rPr>
            </w:pPr>
            <w:r>
              <w:rPr>
                <w:bCs/>
                <w:szCs w:val="21"/>
              </w:rPr>
              <w:t>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27" w:type="dxa"/>
            <w:tcMar>
              <w:top w:w="11" w:type="dxa"/>
              <w:left w:w="28" w:type="dxa"/>
              <w:bottom w:w="11" w:type="dxa"/>
              <w:right w:w="28" w:type="dxa"/>
            </w:tcMar>
            <w:vAlign w:val="center"/>
          </w:tcPr>
          <w:p>
            <w:pPr>
              <w:jc w:val="center"/>
              <w:rPr>
                <w:bCs/>
                <w:szCs w:val="21"/>
              </w:rPr>
            </w:pPr>
            <w:r>
              <w:rPr>
                <w:bCs/>
                <w:szCs w:val="21"/>
              </w:rPr>
              <w:t>合计</w:t>
            </w:r>
          </w:p>
        </w:tc>
        <w:tc>
          <w:tcPr>
            <w:tcW w:w="3539" w:type="dxa"/>
            <w:tcMar>
              <w:top w:w="11" w:type="dxa"/>
              <w:left w:w="28" w:type="dxa"/>
              <w:bottom w:w="11" w:type="dxa"/>
              <w:right w:w="28" w:type="dxa"/>
            </w:tcMar>
            <w:vAlign w:val="bottom"/>
          </w:tcPr>
          <w:p>
            <w:pPr>
              <w:jc w:val="center"/>
              <w:rPr>
                <w:rFonts w:ascii="Calibri" w:hAnsi="Calibri" w:cs="宋体"/>
                <w:sz w:val="22"/>
                <w:szCs w:val="22"/>
              </w:rPr>
            </w:pPr>
            <w:r>
              <w:rPr>
                <w:rFonts w:ascii="Calibri" w:hAnsi="Calibri"/>
                <w:sz w:val="22"/>
                <w:szCs w:val="22"/>
              </w:rPr>
              <w:t>295.94</w:t>
            </w:r>
          </w:p>
        </w:tc>
        <w:tc>
          <w:tcPr>
            <w:tcW w:w="2922" w:type="dxa"/>
            <w:tcMar>
              <w:top w:w="11" w:type="dxa"/>
              <w:left w:w="28" w:type="dxa"/>
              <w:bottom w:w="11" w:type="dxa"/>
              <w:right w:w="28" w:type="dxa"/>
            </w:tcMar>
            <w:vAlign w:val="bottom"/>
          </w:tcPr>
          <w:p>
            <w:pPr>
              <w:jc w:val="center"/>
              <w:rPr>
                <w:rFonts w:ascii="Calibri" w:hAnsi="Calibri" w:cs="宋体"/>
                <w:sz w:val="22"/>
                <w:szCs w:val="22"/>
              </w:rPr>
            </w:pPr>
            <w:r>
              <w:rPr>
                <w:rFonts w:ascii="Calibri" w:hAnsi="Calibri"/>
                <w:sz w:val="22"/>
                <w:szCs w:val="22"/>
              </w:rPr>
              <w:t>171.22</w:t>
            </w:r>
          </w:p>
        </w:tc>
      </w:tr>
    </w:tbl>
    <w:p>
      <w:pPr>
        <w:tabs>
          <w:tab w:val="left" w:pos="580"/>
        </w:tabs>
        <w:spacing w:line="520" w:lineRule="exact"/>
        <w:rPr>
          <w:b/>
          <w:sz w:val="24"/>
        </w:rPr>
      </w:pPr>
      <w:r>
        <w:rPr>
          <w:b/>
          <w:sz w:val="24"/>
        </w:rPr>
        <w:t>2.1.6.3供配电情况</w:t>
      </w:r>
    </w:p>
    <w:p>
      <w:pPr>
        <w:spacing w:line="520" w:lineRule="exact"/>
        <w:ind w:firstLine="480" w:firstLineChars="200"/>
        <w:rPr>
          <w:sz w:val="24"/>
        </w:rPr>
      </w:pPr>
      <w:r>
        <w:rPr>
          <w:sz w:val="24"/>
        </w:rPr>
        <w:t>根据建设单位提供的资料，项目年用电量为120万度/年。项目用电由</w:t>
      </w:r>
      <w:r>
        <w:rPr>
          <w:rFonts w:hint="eastAsia"/>
          <w:sz w:val="24"/>
        </w:rPr>
        <w:t>东和店镇</w:t>
      </w:r>
      <w:r>
        <w:rPr>
          <w:sz w:val="24"/>
        </w:rPr>
        <w:t>供电所供应。</w:t>
      </w:r>
    </w:p>
    <w:p>
      <w:pPr>
        <w:spacing w:line="520" w:lineRule="exact"/>
        <w:rPr>
          <w:b/>
          <w:sz w:val="24"/>
        </w:rPr>
      </w:pPr>
      <w:r>
        <w:rPr>
          <w:b/>
          <w:sz w:val="24"/>
        </w:rPr>
        <w:t>2.1.6.4项目取暖情况</w:t>
      </w:r>
    </w:p>
    <w:p>
      <w:pPr>
        <w:spacing w:line="520" w:lineRule="exact"/>
        <w:ind w:firstLine="480" w:firstLineChars="200"/>
        <w:rPr>
          <w:sz w:val="24"/>
        </w:rPr>
      </w:pPr>
      <w:r>
        <w:rPr>
          <w:sz w:val="24"/>
        </w:rPr>
        <w:t>猪舍墙体做隔热保温层，切断猪舍内外热传递，冬季通风换气时，通过对进、出风实行热交换，使猪舍内温度保持在猪适宜的温度范围内，实现冬季保暖。</w:t>
      </w:r>
    </w:p>
    <w:p>
      <w:pPr>
        <w:spacing w:line="520" w:lineRule="exact"/>
        <w:rPr>
          <w:b/>
          <w:sz w:val="24"/>
        </w:rPr>
      </w:pPr>
      <w:r>
        <w:rPr>
          <w:b/>
          <w:sz w:val="24"/>
        </w:rPr>
        <w:t>2.1.6.5降温</w:t>
      </w:r>
    </w:p>
    <w:p>
      <w:pPr>
        <w:spacing w:line="520" w:lineRule="exact"/>
        <w:ind w:firstLine="480" w:firstLineChars="200"/>
        <w:rPr>
          <w:sz w:val="24"/>
        </w:rPr>
      </w:pPr>
      <w:r>
        <w:rPr>
          <w:sz w:val="24"/>
        </w:rPr>
        <w:t>夏季采用</w:t>
      </w:r>
      <w:r>
        <w:rPr>
          <w:rFonts w:hint="eastAsia"/>
          <w:sz w:val="24"/>
        </w:rPr>
        <w:t>喷雾</w:t>
      </w:r>
      <w:r>
        <w:rPr>
          <w:sz w:val="24"/>
        </w:rPr>
        <w:t>机降温，停止热交换系统工作，同时打开密闭的风机，利用风机通风。同时采用</w:t>
      </w:r>
      <w:r>
        <w:rPr>
          <w:rFonts w:hint="eastAsia"/>
          <w:sz w:val="24"/>
        </w:rPr>
        <w:t>喷雾</w:t>
      </w:r>
      <w:r>
        <w:rPr>
          <w:sz w:val="24"/>
        </w:rPr>
        <w:t>机降温，所有的温控全部由电脑程序自动控制，包括空气过滤、风机开启、地辅热启动，自动湿度调节等，该系统旨在给生猪提供一个温度适宜、湿度适中的饲养小环境。</w:t>
      </w:r>
    </w:p>
    <w:p>
      <w:pPr>
        <w:spacing w:line="520" w:lineRule="exact"/>
        <w:rPr>
          <w:b/>
          <w:sz w:val="24"/>
        </w:rPr>
      </w:pPr>
      <w:r>
        <w:rPr>
          <w:b/>
          <w:sz w:val="24"/>
        </w:rPr>
        <w:t>2.1.6.6通排风情况</w:t>
      </w:r>
    </w:p>
    <w:p>
      <w:pPr>
        <w:pStyle w:val="98"/>
        <w:spacing w:line="520" w:lineRule="exact"/>
        <w:ind w:firstLine="480"/>
      </w:pPr>
      <w:bookmarkStart w:id="86" w:name="_Toc30893"/>
      <w:r>
        <w:t>猪舍的通风采用公司发明的猪舍通风系统(专利号：ZL2008 2 0221077.1)，猪舍通风系统具有位于猪舍屋顶中间部位的排空气口，排空气口上部具有可产生虹吸作用的出风管道，猪舍的两侧设有进风窗。由于具有出风管道的自然虹吸下，猪舍内的热空气被抽吸出去，无需增加抽风装置，降低了运行成本，通风效果好，通过进风窗可控制对流的大小，操作方便。畅开的通风管可正常保持猪舍内的通风，圆形的排空气口设有排气扇，在夏天外界温度较高时，打开排风扇，可向外界抽风，从而保证猪舍内的通风。上进风窗位于猪床上部的墙壁上，从而保证猪床上部猪舍内的空气的对流，下进风窗设在猪床下部墙壁上，从而保证猪床下部猪舍内的空气的对流，即时将猪粪道内的有害气体排出。与现有技术相比，具有结构简单，通风效果好，运行成本低，操作方便的优点。</w:t>
      </w:r>
    </w:p>
    <w:p>
      <w:pPr>
        <w:spacing w:line="520" w:lineRule="exact"/>
        <w:rPr>
          <w:b/>
          <w:sz w:val="24"/>
        </w:rPr>
      </w:pPr>
      <w:r>
        <w:rPr>
          <w:b/>
          <w:sz w:val="24"/>
        </w:rPr>
        <w:t>2.1.7平面布置分析</w:t>
      </w:r>
      <w:bookmarkEnd w:id="86"/>
    </w:p>
    <w:p>
      <w:pPr>
        <w:adjustRightInd w:val="0"/>
        <w:snapToGrid w:val="0"/>
        <w:spacing w:line="520" w:lineRule="exact"/>
        <w:ind w:firstLine="480" w:firstLineChars="200"/>
        <w:rPr>
          <w:sz w:val="24"/>
        </w:rPr>
      </w:pPr>
      <w:r>
        <w:rPr>
          <w:color w:val="000000"/>
          <w:sz w:val="24"/>
        </w:rPr>
        <w:t>项目总占</w:t>
      </w:r>
      <w:r>
        <w:rPr>
          <w:sz w:val="24"/>
        </w:rPr>
        <w:t>地2</w:t>
      </w:r>
      <w:r>
        <w:rPr>
          <w:rFonts w:hint="eastAsia"/>
          <w:sz w:val="24"/>
        </w:rPr>
        <w:t>03</w:t>
      </w:r>
      <w:r>
        <w:rPr>
          <w:sz w:val="24"/>
        </w:rPr>
        <w:t>亩（1</w:t>
      </w:r>
      <w:r>
        <w:rPr>
          <w:rFonts w:hint="eastAsia"/>
          <w:sz w:val="24"/>
        </w:rPr>
        <w:t>35333</w:t>
      </w:r>
      <w:r>
        <w:rPr>
          <w:sz w:val="24"/>
        </w:rPr>
        <w:t>m</w:t>
      </w:r>
      <w:r>
        <w:rPr>
          <w:sz w:val="24"/>
          <w:vertAlign w:val="superscript"/>
        </w:rPr>
        <w:t>2</w:t>
      </w:r>
      <w:r>
        <w:rPr>
          <w:sz w:val="24"/>
        </w:rPr>
        <w:t>）</w:t>
      </w:r>
      <w:r>
        <w:rPr>
          <w:color w:val="000000"/>
          <w:sz w:val="24"/>
        </w:rPr>
        <w:t>，总建筑面积约为45225.34m</w:t>
      </w:r>
      <w:r>
        <w:rPr>
          <w:color w:val="000000"/>
          <w:sz w:val="24"/>
          <w:vertAlign w:val="superscript"/>
        </w:rPr>
        <w:t>2</w:t>
      </w:r>
      <w:r>
        <w:rPr>
          <w:color w:val="000000"/>
          <w:sz w:val="24"/>
        </w:rPr>
        <w:t>，主要建</w:t>
      </w:r>
      <w:r>
        <w:rPr>
          <w:sz w:val="24"/>
        </w:rPr>
        <w:t>设内容分为生产区（保育育肥一体舍80栋）及其附属配套设施，场区地形较为平坦。根据企业设计，考虑到周边地形、进出场区道路问题（污染治理区道路单独设计，与生产生活区道路分开；为了防疫安全，进出污染治理区、生活区道路要尽可能避开生产区），场区实行养殖区、办公区和粪污治理区三区分离，之间通过绿化带进行分离，办公区位于常年主导风向的上风向。具体分布如下：</w:t>
      </w:r>
    </w:p>
    <w:p>
      <w:pPr>
        <w:adjustRightInd w:val="0"/>
        <w:snapToGrid w:val="0"/>
        <w:spacing w:line="520" w:lineRule="exact"/>
        <w:ind w:firstLine="480" w:firstLineChars="200"/>
        <w:rPr>
          <w:sz w:val="24"/>
        </w:rPr>
      </w:pPr>
      <w:r>
        <w:rPr>
          <w:sz w:val="24"/>
        </w:rPr>
        <w:t>（1）养殖区：根据养殖工艺需要，养殖区共布置保育育肥舍80栋。</w:t>
      </w:r>
    </w:p>
    <w:p>
      <w:pPr>
        <w:adjustRightInd w:val="0"/>
        <w:snapToGrid w:val="0"/>
        <w:spacing w:line="520" w:lineRule="exact"/>
        <w:ind w:firstLine="480" w:firstLineChars="200"/>
        <w:rPr>
          <w:sz w:val="24"/>
        </w:rPr>
      </w:pPr>
      <w:r>
        <w:rPr>
          <w:sz w:val="24"/>
        </w:rPr>
        <w:t>（2）污水治理区：考虑到进出场区道路及地势问题，为便于管理，盖泄湖沼气池位于场区东部，场区的污水通过收集池收集，经固液分离后进入盖泄湖沼气池厌氧发酵处理，盖泄湖沼气池通过绿化带与养殖区隔开；粪污治理区为沼液储存池、盖泄湖沼气池及固粪处置区。</w:t>
      </w:r>
    </w:p>
    <w:p>
      <w:pPr>
        <w:numPr>
          <w:ilvl w:val="0"/>
          <w:numId w:val="1"/>
        </w:numPr>
        <w:adjustRightInd w:val="0"/>
        <w:snapToGrid w:val="0"/>
        <w:spacing w:line="520" w:lineRule="exact"/>
        <w:ind w:firstLine="352" w:firstLineChars="147"/>
        <w:rPr>
          <w:sz w:val="24"/>
        </w:rPr>
      </w:pPr>
      <w:r>
        <w:rPr>
          <w:sz w:val="24"/>
        </w:rPr>
        <w:t>办公生活区：占地较小，布置在场区西北部，位于主导风向上风向，与养殖区保持一定距离并通过绿化带隔开。</w:t>
      </w:r>
    </w:p>
    <w:p>
      <w:pPr>
        <w:numPr>
          <w:ilvl w:val="0"/>
          <w:numId w:val="1"/>
        </w:numPr>
        <w:adjustRightInd w:val="0"/>
        <w:snapToGrid w:val="0"/>
        <w:spacing w:line="520" w:lineRule="exact"/>
        <w:ind w:firstLine="352" w:firstLineChars="147"/>
        <w:rPr>
          <w:color w:val="FF0000"/>
          <w:sz w:val="24"/>
        </w:rPr>
      </w:pPr>
      <w:r>
        <w:rPr>
          <w:sz w:val="24"/>
        </w:rPr>
        <w:t>场区内道路规划：根据工艺需要，车间内各功能区均设置物料运输道路，基本满足车间内人员流和货物流需要。为避免交叉影响，考虑到人员进出及物料输送方便，项目在养殖区北部以及办公生活区北部各设置进出口1个。</w:t>
      </w:r>
    </w:p>
    <w:p>
      <w:pPr>
        <w:pStyle w:val="98"/>
        <w:spacing w:line="520" w:lineRule="exact"/>
        <w:ind w:firstLine="480"/>
        <w:rPr>
          <w:snapToGrid w:val="0"/>
          <w:kern w:val="0"/>
        </w:rPr>
      </w:pPr>
      <w:r>
        <w:t>同时，场区排水采用雨污分流制，雨水经场区内雨水沟流至场区外的农田；污水经污水管道排入沼气工程进行无害化处理。项目平面布置能满足</w:t>
      </w:r>
      <w:r>
        <w:rPr>
          <w:snapToGrid w:val="0"/>
          <w:kern w:val="0"/>
        </w:rPr>
        <w:t>《</w:t>
      </w:r>
      <w:r>
        <w:rPr>
          <w:kern w:val="0"/>
        </w:rPr>
        <w:t>畜禽养殖业污染防治技术规范</w:t>
      </w:r>
      <w:r>
        <w:rPr>
          <w:snapToGrid w:val="0"/>
          <w:kern w:val="0"/>
        </w:rPr>
        <w:t>》（</w:t>
      </w:r>
      <w:r>
        <w:t>HJ/T81—2001</w:t>
      </w:r>
      <w:r>
        <w:rPr>
          <w:snapToGrid w:val="0"/>
          <w:kern w:val="0"/>
        </w:rPr>
        <w:t>）中的要求，具体</w:t>
      </w:r>
      <w:r>
        <w:t>平面布置图见附图三</w:t>
      </w:r>
      <w:r>
        <w:rPr>
          <w:snapToGrid w:val="0"/>
          <w:kern w:val="0"/>
        </w:rPr>
        <w:t>。</w:t>
      </w:r>
    </w:p>
    <w:p>
      <w:pPr>
        <w:pStyle w:val="5"/>
        <w:snapToGrid w:val="0"/>
        <w:spacing w:before="0" w:after="0" w:line="520" w:lineRule="exact"/>
        <w:rPr>
          <w:rFonts w:eastAsia="黑体"/>
          <w:b w:val="0"/>
          <w:sz w:val="28"/>
          <w:szCs w:val="28"/>
        </w:rPr>
      </w:pPr>
      <w:bookmarkStart w:id="87" w:name="_Toc177"/>
      <w:r>
        <w:rPr>
          <w:rFonts w:eastAsia="黑体"/>
          <w:b w:val="0"/>
          <w:bCs w:val="0"/>
          <w:sz w:val="24"/>
          <w:szCs w:val="24"/>
        </w:rPr>
        <w:t>2.1.8劳动定员</w:t>
      </w:r>
      <w:bookmarkEnd w:id="87"/>
    </w:p>
    <w:p>
      <w:pPr>
        <w:pStyle w:val="98"/>
        <w:spacing w:line="520" w:lineRule="exact"/>
        <w:ind w:firstLine="480"/>
      </w:pPr>
      <w:r>
        <w:t>项目劳动定员共计</w:t>
      </w:r>
      <w:r>
        <w:rPr>
          <w:rFonts w:hint="eastAsia"/>
        </w:rPr>
        <w:t>49</w:t>
      </w:r>
      <w:r>
        <w:t>人，分为生产人员、后勤人员、管理人员等，工作制度实行8小时工作制，并辅以少量的值班人员。</w:t>
      </w:r>
    </w:p>
    <w:p>
      <w:pPr>
        <w:pStyle w:val="5"/>
        <w:snapToGrid w:val="0"/>
        <w:spacing w:before="0" w:after="0" w:line="520" w:lineRule="exact"/>
        <w:rPr>
          <w:rFonts w:eastAsia="黑体"/>
          <w:b w:val="0"/>
          <w:bCs w:val="0"/>
          <w:sz w:val="24"/>
          <w:szCs w:val="24"/>
        </w:rPr>
      </w:pPr>
      <w:bookmarkStart w:id="88" w:name="_Toc6081"/>
      <w:r>
        <w:rPr>
          <w:rFonts w:eastAsia="黑体"/>
          <w:b w:val="0"/>
          <w:bCs w:val="0"/>
          <w:sz w:val="24"/>
          <w:szCs w:val="24"/>
        </w:rPr>
        <w:t>2.1.9建设期限</w:t>
      </w:r>
      <w:bookmarkEnd w:id="88"/>
    </w:p>
    <w:p>
      <w:pPr>
        <w:pStyle w:val="98"/>
        <w:spacing w:line="520" w:lineRule="exact"/>
        <w:ind w:firstLine="480"/>
      </w:pPr>
      <w:bookmarkStart w:id="89" w:name="_Toc239913682"/>
      <w:bookmarkStart w:id="90" w:name="_Toc252554300"/>
      <w:bookmarkStart w:id="91" w:name="_Toc241388312"/>
      <w:bookmarkStart w:id="92" w:name="_Toc252554427"/>
      <w:bookmarkStart w:id="93" w:name="_Toc237749129"/>
      <w:bookmarkStart w:id="94" w:name="_Toc238488157"/>
      <w:bookmarkStart w:id="95" w:name="_Toc238894178"/>
      <w:bookmarkStart w:id="96" w:name="_Toc413166125"/>
      <w:bookmarkStart w:id="97" w:name="_Toc252632548"/>
      <w:bookmarkStart w:id="98" w:name="_Toc445457719"/>
      <w:bookmarkStart w:id="99" w:name="_Toc311979921"/>
      <w:bookmarkStart w:id="100" w:name="_Toc311979807"/>
      <w:bookmarkStart w:id="101" w:name="_Toc253231259"/>
      <w:bookmarkStart w:id="102" w:name="_Toc269400670"/>
      <w:bookmarkStart w:id="103" w:name="_Toc388881906"/>
      <w:bookmarkStart w:id="104" w:name="_Toc407001398"/>
      <w:bookmarkStart w:id="105" w:name="_Toc311979853"/>
      <w:bookmarkStart w:id="106" w:name="_Toc406847405"/>
      <w:r>
        <w:t>建设期</w:t>
      </w:r>
      <w:r>
        <w:rPr>
          <w:rFonts w:hint="eastAsia"/>
        </w:rPr>
        <w:t>8</w:t>
      </w:r>
      <w:r>
        <w:t>个月，2019年</w:t>
      </w:r>
      <w:r>
        <w:rPr>
          <w:rFonts w:hint="eastAsia"/>
        </w:rPr>
        <w:t>12</w:t>
      </w:r>
      <w:r>
        <w:t>月—2020年</w:t>
      </w:r>
      <w:r>
        <w:rPr>
          <w:rFonts w:hint="eastAsia"/>
        </w:rPr>
        <w:t>8</w:t>
      </w:r>
      <w:r>
        <w:t>月。</w:t>
      </w:r>
    </w:p>
    <w:p>
      <w:pPr>
        <w:pStyle w:val="4"/>
        <w:spacing w:before="156" w:after="156"/>
        <w:rPr>
          <w:rFonts w:hAnsi="Times New Roman"/>
          <w:color w:val="000000"/>
        </w:rPr>
      </w:pPr>
      <w:bookmarkStart w:id="107" w:name="_Toc937"/>
      <w:bookmarkStart w:id="108" w:name="_Toc3019526"/>
      <w:bookmarkStart w:id="109" w:name="_Toc485996376"/>
      <w:bookmarkStart w:id="110" w:name="_Toc1685"/>
      <w:r>
        <w:rPr>
          <w:rFonts w:hAnsi="Times New Roman"/>
          <w:color w:val="000000"/>
        </w:rPr>
        <w:t>2.2项目工艺</w:t>
      </w:r>
      <w:bookmarkEnd w:id="89"/>
      <w:bookmarkEnd w:id="90"/>
      <w:bookmarkEnd w:id="91"/>
      <w:bookmarkEnd w:id="92"/>
      <w:bookmarkEnd w:id="93"/>
      <w:bookmarkEnd w:id="94"/>
      <w:bookmarkEnd w:id="95"/>
      <w:r>
        <w:rPr>
          <w:rFonts w:hAnsi="Times New Roman"/>
          <w:color w:val="000000"/>
        </w:rPr>
        <w:t>流程</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pPr>
        <w:pStyle w:val="5"/>
        <w:snapToGrid w:val="0"/>
        <w:spacing w:before="0" w:after="0" w:line="520" w:lineRule="exact"/>
        <w:rPr>
          <w:rFonts w:eastAsia="黑体"/>
          <w:b w:val="0"/>
          <w:bCs w:val="0"/>
          <w:sz w:val="24"/>
          <w:szCs w:val="24"/>
        </w:rPr>
      </w:pPr>
      <w:bookmarkStart w:id="111" w:name="_Toc12631"/>
      <w:r>
        <w:rPr>
          <w:rFonts w:eastAsia="黑体"/>
          <w:b w:val="0"/>
          <w:bCs w:val="0"/>
          <w:sz w:val="24"/>
          <w:szCs w:val="24"/>
        </w:rPr>
        <w:t>2.2.1养殖工艺流程</w:t>
      </w:r>
      <w:bookmarkEnd w:id="111"/>
    </w:p>
    <w:p>
      <w:pPr>
        <w:spacing w:before="156" w:after="156" w:line="500" w:lineRule="exact"/>
        <w:ind w:firstLine="480" w:firstLineChars="200"/>
        <w:rPr>
          <w:b/>
          <w:color w:val="000000"/>
          <w:sz w:val="24"/>
        </w:rPr>
      </w:pPr>
      <w:r>
        <w:rPr>
          <w:color w:val="000000"/>
          <w:sz w:val="24"/>
        </w:rPr>
        <w:t>本项目采用集约化养殖方式饲养生猪，按照现代化养猪要求设计养殖工艺流程，实行流水生产工艺，即把猪群按照生产过程专业化的要求划分为配种妊娠阶段、分娩哺乳阶段、仔猪保育阶段、生长育肥阶段。</w:t>
      </w:r>
    </w:p>
    <w:p>
      <w:pPr>
        <w:spacing w:before="156" w:after="156" w:line="500" w:lineRule="exact"/>
        <w:ind w:firstLine="480" w:firstLineChars="200"/>
        <w:rPr>
          <w:color w:val="000000"/>
          <w:sz w:val="24"/>
        </w:rPr>
      </w:pPr>
      <w:r>
        <w:rPr>
          <w:color w:val="000000"/>
          <w:sz w:val="24"/>
        </w:rPr>
        <w:t>拟建项目场区不包括配种妊娠阶段、分娩哺乳阶段，仅为仔猪保育阶段、生长育肥阶段。仔猪由牧原食品股份有限公司其他场区运来进行保育、育肥。养殖工艺流程如下：</w:t>
      </w:r>
    </w:p>
    <w:p>
      <w:pPr>
        <w:spacing w:before="156" w:after="156" w:line="500" w:lineRule="exact"/>
        <w:ind w:firstLine="480" w:firstLineChars="200"/>
        <w:rPr>
          <w:color w:val="000000"/>
          <w:sz w:val="24"/>
        </w:rPr>
      </w:pPr>
      <w:r>
        <w:rPr>
          <w:color w:val="000000"/>
          <w:sz w:val="24"/>
        </w:rPr>
        <w:t>（1）仔猪保育阶段</w:t>
      </w:r>
    </w:p>
    <w:p>
      <w:pPr>
        <w:spacing w:before="156" w:after="156" w:line="520" w:lineRule="exact"/>
        <w:ind w:firstLine="480" w:firstLineChars="200"/>
        <w:rPr>
          <w:bCs/>
          <w:sz w:val="24"/>
        </w:rPr>
      </w:pPr>
      <w:r>
        <w:rPr>
          <w:sz w:val="24"/>
        </w:rPr>
        <w:t>仔猪由牧原食品股份有限公司其他场区运来转入保育阶段。</w:t>
      </w:r>
      <w:r>
        <w:rPr>
          <w:bCs/>
          <w:sz w:val="24"/>
        </w:rPr>
        <w:t>这一阶段，仔猪与母猪不在一起，营养来源由母乳供给转变为仔猪独立采食饲料。这种环境的变化，对于仔猪是一个应激。因此，保育阶段的主要任务是创造条件，减少应激，缩短适应期，保持快速生长，防止拉痢掉膘。</w:t>
      </w:r>
    </w:p>
    <w:p>
      <w:pPr>
        <w:spacing w:before="156" w:after="156" w:line="520" w:lineRule="exact"/>
        <w:ind w:firstLine="480" w:firstLineChars="200"/>
        <w:rPr>
          <w:bCs/>
          <w:sz w:val="24"/>
        </w:rPr>
      </w:pPr>
      <w:r>
        <w:rPr>
          <w:bCs/>
          <w:sz w:val="24"/>
        </w:rPr>
        <w:t>保育的适宜温度和相对湿度控制在20</w:t>
      </w:r>
      <w:r>
        <w:rPr>
          <w:rFonts w:hint="eastAsia" w:ascii="宋体" w:hAnsi="宋体" w:cs="宋体"/>
          <w:bCs/>
          <w:sz w:val="24"/>
        </w:rPr>
        <w:t>℃</w:t>
      </w:r>
      <w:r>
        <w:rPr>
          <w:bCs/>
          <w:sz w:val="24"/>
        </w:rPr>
        <w:t>～22</w:t>
      </w:r>
      <w:r>
        <w:rPr>
          <w:rFonts w:hint="eastAsia" w:ascii="宋体" w:hAnsi="宋体" w:cs="宋体"/>
          <w:bCs/>
          <w:sz w:val="24"/>
        </w:rPr>
        <w:t>℃</w:t>
      </w:r>
      <w:r>
        <w:rPr>
          <w:bCs/>
          <w:sz w:val="24"/>
        </w:rPr>
        <w:t>和65％～70％，并注意良好的通风换气，保持圈舍清洁、干燥，饮水充足。进入保育舍的幼猪，7～10日内应保持原来的乳猪饲料，并严格控制采食量，由自由采食改为日喂4~5餐，投料量为自由采食的70％。以后逐渐过渡到仔猪料。3～5周龄断奶的仔猪，如不控制采食量，便容易诱发胃肠炎，造成增重减慢，甚至拉稀死亡。保育阶段应安排驱虫、防疫注射工作。</w:t>
      </w:r>
    </w:p>
    <w:p>
      <w:pPr>
        <w:spacing w:before="156" w:after="156" w:line="520" w:lineRule="exact"/>
        <w:ind w:firstLine="480" w:firstLineChars="200"/>
        <w:rPr>
          <w:bCs/>
          <w:sz w:val="24"/>
        </w:rPr>
      </w:pPr>
      <w:r>
        <w:rPr>
          <w:color w:val="000000"/>
          <w:sz w:val="24"/>
        </w:rPr>
        <w:t>（2）生长育肥阶段</w:t>
      </w:r>
    </w:p>
    <w:p>
      <w:pPr>
        <w:spacing w:before="156" w:after="156" w:line="520" w:lineRule="exact"/>
        <w:ind w:firstLine="480" w:firstLineChars="200"/>
        <w:rPr>
          <w:bCs/>
          <w:sz w:val="24"/>
        </w:rPr>
      </w:pPr>
      <w:r>
        <w:rPr>
          <w:bCs/>
          <w:sz w:val="24"/>
        </w:rPr>
        <w:t>育肥舍在进猪前应进行维修和彻底地冲洗、消毒。进猪后保持舍内清洁、干燥、通风良好、饮水充足，温度控制在18~22</w:t>
      </w:r>
      <w:r>
        <w:rPr>
          <w:rFonts w:hint="eastAsia" w:ascii="宋体" w:hAnsi="宋体" w:cs="宋体"/>
          <w:bCs/>
          <w:sz w:val="24"/>
        </w:rPr>
        <w:t>℃</w:t>
      </w:r>
      <w:r>
        <w:rPr>
          <w:bCs/>
          <w:sz w:val="24"/>
        </w:rPr>
        <w:t>，夏季注意防暑降温。转群时应将原圈猪按体重大小、性别、强弱分群，每群大小应视圈舍大小而定，一般为10~20头。</w:t>
      </w:r>
    </w:p>
    <w:p>
      <w:pPr>
        <w:spacing w:before="156" w:after="156" w:line="520" w:lineRule="exact"/>
        <w:ind w:firstLine="480" w:firstLineChars="200"/>
        <w:rPr>
          <w:sz w:val="24"/>
        </w:rPr>
      </w:pPr>
      <w:r>
        <w:rPr>
          <w:bCs/>
          <w:sz w:val="24"/>
        </w:rPr>
        <w:t>每月要定期称重，以检查饲喂效果。经常检查猪群的采食、发育等情况，及时调整饲料配方，发现疫病及时报告，采取有效措施进行治疗和处理。</w:t>
      </w:r>
      <w:r>
        <w:rPr>
          <w:color w:val="000000"/>
          <w:sz w:val="24"/>
        </w:rPr>
        <w:t>保育猪和育肥猪养殖过程工艺流程及产污环节见</w:t>
      </w:r>
      <w:r>
        <w:rPr>
          <w:bCs/>
          <w:sz w:val="24"/>
        </w:rPr>
        <w:t>图2.2-1。</w:t>
      </w:r>
    </w:p>
    <w:p>
      <w:pPr>
        <w:spacing w:line="520" w:lineRule="exact"/>
        <w:ind w:firstLine="480" w:firstLineChars="200"/>
        <w:rPr>
          <w:sz w:val="24"/>
        </w:rPr>
        <w:sectPr>
          <w:headerReference r:id="rId5" w:type="default"/>
          <w:pgSz w:w="11906" w:h="16838"/>
          <w:pgMar w:top="1984" w:right="1587" w:bottom="1701" w:left="1587" w:header="851" w:footer="992" w:gutter="0"/>
          <w:pgNumType w:start="1"/>
          <w:cols w:space="720" w:num="1"/>
          <w:docGrid w:linePitch="312" w:charSpace="0"/>
        </w:sectPr>
      </w:pPr>
    </w:p>
    <w:p>
      <w:pPr>
        <w:spacing w:line="520" w:lineRule="exact"/>
        <w:jc w:val="center"/>
        <w:rPr>
          <w:sz w:val="24"/>
        </w:rPr>
      </w:pPr>
      <w:r>
        <w:rPr>
          <w:sz w:val="24"/>
        </w:rPr>
        <w:drawing>
          <wp:anchor distT="0" distB="0" distL="114300" distR="114300" simplePos="0" relativeHeight="251680768" behindDoc="0" locked="0" layoutInCell="1" allowOverlap="1">
            <wp:simplePos x="0" y="0"/>
            <wp:positionH relativeFrom="column">
              <wp:posOffset>20955</wp:posOffset>
            </wp:positionH>
            <wp:positionV relativeFrom="paragraph">
              <wp:posOffset>52705</wp:posOffset>
            </wp:positionV>
            <wp:extent cx="8173720" cy="4736465"/>
            <wp:effectExtent l="19050" t="0" r="0" b="0"/>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noChangeArrowheads="1"/>
                    </pic:cNvPicPr>
                  </pic:nvPicPr>
                  <pic:blipFill>
                    <a:blip r:embed="rId10" cstate="print"/>
                    <a:srcRect/>
                    <a:stretch>
                      <a:fillRect/>
                    </a:stretch>
                  </pic:blipFill>
                  <pic:spPr>
                    <a:xfrm>
                      <a:off x="0" y="0"/>
                      <a:ext cx="8173720" cy="4736465"/>
                    </a:xfrm>
                    <a:prstGeom prst="rect">
                      <a:avLst/>
                    </a:prstGeom>
                    <a:noFill/>
                    <a:ln w="9525">
                      <a:noFill/>
                      <a:miter lim="800000"/>
                      <a:headEnd/>
                      <a:tailEnd/>
                    </a:ln>
                  </pic:spPr>
                </pic:pic>
              </a:graphicData>
            </a:graphic>
          </wp:anchor>
        </w:drawing>
      </w:r>
    </w:p>
    <w:p>
      <w:pPr>
        <w:spacing w:line="520" w:lineRule="exact"/>
        <w:jc w:val="center"/>
        <w:rPr>
          <w:sz w:val="24"/>
        </w:rPr>
      </w:pPr>
    </w:p>
    <w:p>
      <w:pPr>
        <w:spacing w:line="520" w:lineRule="exact"/>
        <w:jc w:val="center"/>
        <w:rPr>
          <w:sz w:val="24"/>
        </w:rPr>
      </w:pPr>
    </w:p>
    <w:p>
      <w:pPr>
        <w:spacing w:line="520" w:lineRule="exact"/>
        <w:jc w:val="center"/>
        <w:rPr>
          <w:sz w:val="24"/>
        </w:rPr>
      </w:pPr>
    </w:p>
    <w:p>
      <w:pPr>
        <w:spacing w:line="520" w:lineRule="exact"/>
        <w:jc w:val="center"/>
        <w:rPr>
          <w:sz w:val="24"/>
        </w:rPr>
      </w:pPr>
    </w:p>
    <w:p>
      <w:pPr>
        <w:spacing w:line="520" w:lineRule="exact"/>
        <w:jc w:val="center"/>
        <w:rPr>
          <w:sz w:val="24"/>
        </w:rPr>
      </w:pPr>
    </w:p>
    <w:p>
      <w:pPr>
        <w:spacing w:line="520" w:lineRule="exact"/>
        <w:jc w:val="center"/>
        <w:rPr>
          <w:sz w:val="24"/>
        </w:rPr>
      </w:pPr>
    </w:p>
    <w:p>
      <w:pPr>
        <w:spacing w:line="520" w:lineRule="exact"/>
        <w:jc w:val="center"/>
        <w:rPr>
          <w:sz w:val="24"/>
        </w:rPr>
      </w:pPr>
    </w:p>
    <w:p>
      <w:pPr>
        <w:spacing w:line="520" w:lineRule="exact"/>
        <w:jc w:val="center"/>
        <w:rPr>
          <w:sz w:val="24"/>
        </w:rPr>
      </w:pPr>
    </w:p>
    <w:p>
      <w:pPr>
        <w:spacing w:line="520" w:lineRule="exact"/>
        <w:jc w:val="center"/>
        <w:rPr>
          <w:sz w:val="24"/>
        </w:rPr>
      </w:pPr>
    </w:p>
    <w:p>
      <w:pPr>
        <w:spacing w:line="520" w:lineRule="exact"/>
        <w:jc w:val="center"/>
        <w:rPr>
          <w:sz w:val="24"/>
        </w:rPr>
      </w:pPr>
      <w:r>
        <w:rPr>
          <w:sz w:val="24"/>
        </w:rPr>
        <w:pict>
          <v:shape id="_x0000_s3928" o:spid="_x0000_s3928" o:spt="202" type="#_x0000_t202" style="position:absolute;left:0pt;margin-left:184.2pt;margin-top:7.15pt;height:114.75pt;width:77.25pt;z-index:251714560;mso-width-relative:page;mso-height-relative:page;" stroked="t" coordsize="21600,21600">
            <v:path/>
            <v:fill focussize="0,0"/>
            <v:stroke color="#7030A0" dashstyle="dash"/>
            <v:imagedata o:title=""/>
            <o:lock v:ext="edit"/>
            <v:textbox>
              <w:txbxContent>
                <w:p>
                  <w:pPr>
                    <w:jc w:val="center"/>
                  </w:pPr>
                </w:p>
                <w:p>
                  <w:pPr>
                    <w:jc w:val="center"/>
                  </w:pPr>
                </w:p>
                <w:p>
                  <w:pPr>
                    <w:jc w:val="center"/>
                  </w:pPr>
                </w:p>
                <w:p>
                  <w:pPr>
                    <w:jc w:val="center"/>
                  </w:pPr>
                  <w:r>
                    <w:rPr>
                      <w:rFonts w:hint="eastAsia"/>
                    </w:rPr>
                    <w:t>场区内无害化处置中心处置处置</w:t>
                  </w:r>
                </w:p>
              </w:txbxContent>
            </v:textbox>
          </v:shape>
        </w:pict>
      </w:r>
    </w:p>
    <w:p>
      <w:pPr>
        <w:spacing w:line="520" w:lineRule="exact"/>
        <w:jc w:val="center"/>
        <w:rPr>
          <w:sz w:val="24"/>
        </w:rPr>
      </w:pPr>
    </w:p>
    <w:p>
      <w:pPr>
        <w:spacing w:line="520" w:lineRule="exact"/>
        <w:jc w:val="center"/>
        <w:rPr>
          <w:sz w:val="24"/>
        </w:rPr>
      </w:pPr>
    </w:p>
    <w:p>
      <w:pPr>
        <w:spacing w:line="520" w:lineRule="exact"/>
        <w:jc w:val="center"/>
        <w:rPr>
          <w:sz w:val="24"/>
        </w:rPr>
      </w:pPr>
      <w:r>
        <w:rPr>
          <w:sz w:val="24"/>
        </w:rPr>
        <w:pict>
          <v:shape id="_x0000_s4397" o:spid="_x0000_s4397" o:spt="202" type="#_x0000_t202" style="position:absolute;left:0pt;margin-left:336.9pt;margin-top:10.5pt;height:20.9pt;width:73.7pt;z-index:251751424;mso-width-relative:page;mso-height-relative:page;" coordsize="21600,21600">
            <v:path/>
            <v:fill focussize="0,0"/>
            <v:stroke joinstyle="miter"/>
            <v:imagedata o:title=""/>
            <o:lock v:ext="edit"/>
            <v:textbox>
              <w:txbxContent>
                <w:p>
                  <w:r>
                    <w:rPr>
                      <w:rFonts w:hint="eastAsia"/>
                    </w:rPr>
                    <w:t>有机肥基肥</w:t>
                  </w:r>
                </w:p>
              </w:txbxContent>
            </v:textbox>
          </v:shape>
        </w:pict>
      </w:r>
      <w:r>
        <w:rPr>
          <w:sz w:val="24"/>
        </w:rPr>
        <w:pict>
          <v:shape id="_x0000_s3929" o:spid="_x0000_s3929" o:spt="202" type="#_x0000_t202" style="position:absolute;left:0pt;margin-left:159.75pt;margin-top:8.8pt;height:25.5pt;width:23.25pt;z-index:251715584;mso-width-relative:page;mso-height-relative:page;" stroked="f" coordsize="21600,21600">
            <v:path/>
            <v:fill focussize="0,0"/>
            <v:stroke on="f" joinstyle="miter"/>
            <v:imagedata o:title=""/>
            <o:lock v:ext="edit"/>
            <v:textbox>
              <w:txbxContent>
                <w:p/>
              </w:txbxContent>
            </v:textbox>
          </v:shape>
        </w:pict>
      </w:r>
    </w:p>
    <w:p>
      <w:pPr>
        <w:spacing w:line="520" w:lineRule="exact"/>
        <w:jc w:val="center"/>
        <w:rPr>
          <w:b/>
          <w:sz w:val="24"/>
          <w:u w:val="single"/>
        </w:rPr>
      </w:pPr>
      <w:r>
        <w:rPr>
          <w:sz w:val="24"/>
        </w:rPr>
        <w:pict>
          <v:shape id="_x0000_s3750" o:spid="_x0000_s3750" o:spt="202" type="#_x0000_t202" style="position:absolute;left:0pt;margin-left:247pt;margin-top:17.25pt;height:22.75pt;width:263pt;z-index:251702272;mso-width-relative:margin;mso-height-relative:margin;mso-width-percent:400;mso-height-percent:200;" filled="f" stroked="f" coordsize="21600,21600">
            <v:path/>
            <v:fill on="f" focussize="0,0"/>
            <v:stroke on="f" joinstyle="miter"/>
            <v:imagedata o:title=""/>
            <o:lock v:ext="edit"/>
            <v:textbox style="mso-fit-shape-to-text:t;">
              <w:txbxContent>
                <w:p>
                  <w:r>
                    <w:rPr>
                      <w:b/>
                      <w:sz w:val="24"/>
                    </w:rPr>
                    <w:t xml:space="preserve">图2.2-1  </w:t>
                  </w:r>
                  <w:r>
                    <w:rPr>
                      <w:rFonts w:hint="eastAsia"/>
                      <w:b/>
                      <w:sz w:val="24"/>
                    </w:rPr>
                    <w:t>工艺</w:t>
                  </w:r>
                  <w:r>
                    <w:rPr>
                      <w:b/>
                      <w:sz w:val="24"/>
                    </w:rPr>
                    <w:t>流程及产污环节</w:t>
                  </w:r>
                  <w:r>
                    <w:rPr>
                      <w:rFonts w:hint="eastAsia"/>
                      <w:b/>
                      <w:sz w:val="24"/>
                    </w:rPr>
                    <w:t>图</w:t>
                  </w:r>
                </w:p>
              </w:txbxContent>
            </v:textbox>
          </v:shape>
        </w:pict>
      </w:r>
      <w:r>
        <w:rPr>
          <w:sz w:val="24"/>
        </w:rPr>
        <w:tab/>
      </w:r>
    </w:p>
    <w:p>
      <w:pPr>
        <w:spacing w:line="520" w:lineRule="exact"/>
        <w:jc w:val="center"/>
        <w:rPr>
          <w:b/>
          <w:sz w:val="24"/>
          <w:u w:val="single"/>
        </w:rPr>
        <w:sectPr>
          <w:pgSz w:w="16838" w:h="11906" w:orient="landscape"/>
          <w:pgMar w:top="1587" w:right="1984" w:bottom="1587" w:left="1701" w:header="851" w:footer="992" w:gutter="0"/>
          <w:pgNumType w:fmt="numberInDash"/>
          <w:cols w:space="720" w:num="1"/>
          <w:docGrid w:linePitch="312" w:charSpace="0"/>
        </w:sectPr>
      </w:pPr>
    </w:p>
    <w:p>
      <w:pPr>
        <w:pStyle w:val="98"/>
        <w:spacing w:line="520" w:lineRule="exact"/>
        <w:ind w:firstLine="0" w:firstLineChars="0"/>
      </w:pPr>
      <w:r>
        <w:t>2.2.2养殖设备工艺</w:t>
      </w:r>
    </w:p>
    <w:p>
      <w:pPr>
        <w:pStyle w:val="98"/>
        <w:spacing w:line="520" w:lineRule="exact"/>
        <w:ind w:firstLine="480"/>
      </w:pPr>
      <w:r>
        <w:fldChar w:fldCharType="begin"/>
      </w:r>
      <w:r>
        <w:instrText xml:space="preserve"> = 1 \* GB3 </w:instrText>
      </w:r>
      <w:r>
        <w:fldChar w:fldCharType="separate"/>
      </w:r>
      <w:r>
        <w:rPr>
          <w:rFonts w:hint="eastAsia" w:ascii="宋体" w:hAnsi="宋体" w:cs="宋体"/>
        </w:rPr>
        <w:t>①</w:t>
      </w:r>
      <w:r>
        <w:fldChar w:fldCharType="end"/>
      </w:r>
      <w:r>
        <w:t xml:space="preserve"> 供料系统</w:t>
      </w:r>
    </w:p>
    <w:p>
      <w:pPr>
        <w:pStyle w:val="98"/>
        <w:spacing w:line="520" w:lineRule="exact"/>
        <w:ind w:firstLine="480"/>
      </w:pPr>
      <w:r>
        <w:t>本项目场区内不设饲料制作车间，前期饲料由正阳牧原农牧有限公司饲料厂统一配送，待平舆牧原农牧有限公司饲料厂（现正在前期选址阶段）建成后，由平舆牧原农牧有限公司饲料厂供给，猪场采用全自动配送上料系统和限位猪槽，机械化操作，定时定量供应饲料，保证生猪饮食需求，同时减少浪费，节约人力和饲料用量，降低生产成本。</w:t>
      </w:r>
    </w:p>
    <w:p>
      <w:pPr>
        <w:pStyle w:val="98"/>
        <w:spacing w:line="520" w:lineRule="exact"/>
        <w:ind w:firstLine="480"/>
      </w:pPr>
      <w:r>
        <w:fldChar w:fldCharType="begin"/>
      </w:r>
      <w:r>
        <w:instrText xml:space="preserve"> = 2 \* GB3 </w:instrText>
      </w:r>
      <w:r>
        <w:fldChar w:fldCharType="separate"/>
      </w:r>
      <w:r>
        <w:rPr>
          <w:rFonts w:hint="eastAsia" w:ascii="宋体" w:hAnsi="宋体" w:cs="宋体"/>
        </w:rPr>
        <w:t>②</w:t>
      </w:r>
      <w:r>
        <w:fldChar w:fldCharType="end"/>
      </w:r>
      <w:r>
        <w:t xml:space="preserve"> 饮水系统工艺说明</w:t>
      </w:r>
    </w:p>
    <w:p>
      <w:pPr>
        <w:spacing w:line="520" w:lineRule="exact"/>
        <w:ind w:firstLine="480" w:firstLineChars="200"/>
        <w:rPr>
          <w:sz w:val="24"/>
        </w:rPr>
      </w:pPr>
      <w:r>
        <w:rPr>
          <w:sz w:val="24"/>
        </w:rPr>
        <w:t>项目采用先进的限位饮水器，限位饮水器的底部槽体液面始终维持在2cm的液面高度，在此液面高度时，饮水器与外界空气形成负压，当生猪喝水时，饮水器与空气接触，内部压力大于外部压力，水自动地从管内流出直至液面高度在2cm时饮水器自动停止供水。能保证生猪随时饮用新鲜水，同时避免不必要的浪费，节约水资源。</w:t>
      </w:r>
    </w:p>
    <w:p>
      <w:pPr>
        <w:pStyle w:val="98"/>
        <w:spacing w:line="520" w:lineRule="exact"/>
        <w:ind w:firstLine="480"/>
      </w:pPr>
      <w:r>
        <w:fldChar w:fldCharType="begin"/>
      </w:r>
      <w:r>
        <w:instrText xml:space="preserve"> = 3 \* GB3 </w:instrText>
      </w:r>
      <w:r>
        <w:fldChar w:fldCharType="separate"/>
      </w:r>
      <w:r>
        <w:rPr>
          <w:rFonts w:hint="eastAsia" w:ascii="宋体" w:hAnsi="宋体" w:cs="宋体"/>
        </w:rPr>
        <w:t>③</w:t>
      </w:r>
      <w:r>
        <w:fldChar w:fldCharType="end"/>
      </w:r>
      <w:r>
        <w:t xml:space="preserve"> 取暖系统工艺</w:t>
      </w:r>
    </w:p>
    <w:p>
      <w:pPr>
        <w:widowControl/>
        <w:adjustRightInd w:val="0"/>
        <w:snapToGrid w:val="0"/>
        <w:spacing w:line="520" w:lineRule="exact"/>
        <w:ind w:firstLine="480" w:firstLineChars="200"/>
        <w:jc w:val="left"/>
        <w:rPr>
          <w:bCs/>
          <w:sz w:val="24"/>
          <w:szCs w:val="28"/>
        </w:rPr>
      </w:pPr>
      <w:r>
        <w:rPr>
          <w:bCs/>
          <w:sz w:val="24"/>
          <w:szCs w:val="28"/>
        </w:rPr>
        <w:t>项目通过优化猪舍结构设计、墙体做隔热保温层来切断猪舍内外热传递。同时，猪舍冬季通风换气时，通过热交换系统对进、出风实行热交换，使猪舍内温度保持在猪适宜的温度范围内。具体措施如下：</w:t>
      </w:r>
    </w:p>
    <w:p>
      <w:pPr>
        <w:widowControl/>
        <w:adjustRightInd w:val="0"/>
        <w:snapToGrid w:val="0"/>
        <w:spacing w:line="520" w:lineRule="exact"/>
        <w:ind w:firstLine="480" w:firstLineChars="200"/>
        <w:jc w:val="left"/>
        <w:rPr>
          <w:bCs/>
          <w:sz w:val="24"/>
          <w:szCs w:val="28"/>
        </w:rPr>
      </w:pPr>
      <w:r>
        <w:rPr>
          <w:bCs/>
          <w:sz w:val="24"/>
          <w:szCs w:val="28"/>
        </w:rPr>
        <w:t>猪舍结构：墙体外铺挤塑式聚苯乙烯隔热保温板（冬季有很好的阻热作用）+猪舍内热交换系统（冬季有效利用热量，较少热量损失）+ 风机（夏季有很好的通风作用）。墙体由挤塑式聚苯乙烯隔热保温板（简称“挤塑板”）来切断猪舍内外热传递，该材料具有高热阻、低线性、膨胀比低的特点，其结构的闭孔率达到了99%以上，形成真空层，避免空气流动散热，确保其保温性能的持久和稳定。</w:t>
      </w:r>
    </w:p>
    <w:p>
      <w:pPr>
        <w:widowControl/>
        <w:adjustRightInd w:val="0"/>
        <w:snapToGrid w:val="0"/>
        <w:spacing w:line="520" w:lineRule="exact"/>
        <w:ind w:firstLine="480" w:firstLineChars="200"/>
        <w:jc w:val="left"/>
        <w:rPr>
          <w:bCs/>
          <w:sz w:val="24"/>
          <w:szCs w:val="28"/>
        </w:rPr>
      </w:pPr>
      <w:r>
        <w:rPr>
          <w:bCs/>
          <w:sz w:val="24"/>
          <w:szCs w:val="28"/>
        </w:rPr>
        <w:t>热交换系统主要原理：热交换通风系统主要包括猪舍保温墙、风机、风管布风管及窗户等。其中布风管和进风管相联通安装于猪舍上部，中间为猪群生活的漏缝板，猪舍下部为封闭的排风道，变速风机位于猪舍另一侧排风道中间。当变速风机启动时，从封闭通道抽出猪舍内部污浊高温的空气，室外清新的冷空气经由进风道进入猪舍内。因进风管采用导热性能较好的材料制成，在冷空气进入猪舍内的过程中，可通过进风管壁与猪舍内空气进行充分的热交换，使进入猪舍的新鲜空气温度大大提高，避免了猪群在生长过程中的冷应激作用。</w:t>
      </w:r>
    </w:p>
    <w:p>
      <w:pPr>
        <w:widowControl/>
        <w:adjustRightInd w:val="0"/>
        <w:snapToGrid w:val="0"/>
        <w:spacing w:line="520" w:lineRule="exact"/>
        <w:ind w:firstLine="480" w:firstLineChars="200"/>
        <w:jc w:val="left"/>
        <w:rPr>
          <w:bCs/>
          <w:sz w:val="24"/>
          <w:szCs w:val="28"/>
        </w:rPr>
      </w:pPr>
      <w:r>
        <w:rPr>
          <w:bCs/>
          <w:sz w:val="24"/>
          <w:szCs w:val="28"/>
        </w:rPr>
        <w:t>在对猪舍内外空气进行交换的同时，也进行热量交换，猪舍在热交换的过程中，实施最小通风量，防止过度通风带来不必要的热量损失。运行时，新风从排风获得热量，温度升高，通过换热芯体的全热换热过程，让新风从排风中回收能量，保证在通风时也保持猪舍内部温度，既保证了猪群对新鲜空气的需要，又保证猪舍内有害气体不超标，同时满足了通风和稳定猪舍温度的需求，节约了能源消耗，降低了饲养成本。</w:t>
      </w:r>
    </w:p>
    <w:p>
      <w:pPr>
        <w:widowControl/>
        <w:adjustRightInd w:val="0"/>
        <w:snapToGrid w:val="0"/>
        <w:spacing w:line="520" w:lineRule="exact"/>
        <w:ind w:firstLine="480" w:firstLineChars="200"/>
        <w:jc w:val="left"/>
        <w:rPr>
          <w:bCs/>
          <w:sz w:val="24"/>
          <w:szCs w:val="28"/>
        </w:rPr>
      </w:pPr>
      <w:r>
        <w:rPr>
          <w:bCs/>
          <w:sz w:val="24"/>
          <w:szCs w:val="28"/>
        </w:rPr>
        <w:t>冬季保温：主要是通过猪舍墙体保温材料与外部断绝热交换，猪舍内部通风通过热交换系统进行，实施最小通风量，既保证猪需要的氧气量，又保证猪舍内有害气体不超标，防止过度通风降低猪舍温度。</w:t>
      </w:r>
    </w:p>
    <w:p>
      <w:pPr>
        <w:spacing w:line="500" w:lineRule="exact"/>
        <w:ind w:firstLine="480" w:firstLineChars="200"/>
        <w:rPr>
          <w:sz w:val="24"/>
        </w:rPr>
      </w:pPr>
      <w:r>
        <w:rPr>
          <w:sz w:val="24"/>
        </w:rPr>
        <w:fldChar w:fldCharType="begin"/>
      </w:r>
      <w:r>
        <w:rPr>
          <w:sz w:val="24"/>
        </w:rPr>
        <w:instrText xml:space="preserve"> = 4 \* GB3 </w:instrText>
      </w:r>
      <w:r>
        <w:rPr>
          <w:sz w:val="24"/>
        </w:rPr>
        <w:fldChar w:fldCharType="separate"/>
      </w:r>
      <w:r>
        <w:rPr>
          <w:rFonts w:hint="eastAsia" w:ascii="宋体" w:hAnsi="宋体" w:cs="宋体"/>
          <w:sz w:val="24"/>
        </w:rPr>
        <w:t>④</w:t>
      </w:r>
      <w:r>
        <w:rPr>
          <w:sz w:val="24"/>
        </w:rPr>
        <w:fldChar w:fldCharType="end"/>
      </w:r>
      <w:r>
        <w:rPr>
          <w:sz w:val="24"/>
        </w:rPr>
        <w:t xml:space="preserve"> 降温系统</w:t>
      </w:r>
    </w:p>
    <w:p>
      <w:pPr>
        <w:spacing w:line="520" w:lineRule="exact"/>
        <w:ind w:firstLine="480" w:firstLineChars="200"/>
        <w:rPr>
          <w:sz w:val="24"/>
        </w:rPr>
      </w:pPr>
      <w:r>
        <w:rPr>
          <w:bCs/>
          <w:sz w:val="24"/>
          <w:szCs w:val="28"/>
        </w:rPr>
        <w:t>夏季降温：</w:t>
      </w:r>
      <w:r>
        <w:rPr>
          <w:sz w:val="24"/>
        </w:rPr>
        <w:t>夏季采用喷雾降温，停止热交换系统工作，同时打开密闭的风机，利用风机通风。所有的温控全部由电脑程序自动控制，包括空气过滤、风机开启、地辅热启动，自动湿度调节等，该系统旨在给生猪提供一个温度适宜、湿度适中的饲养小环境。</w:t>
      </w:r>
    </w:p>
    <w:p>
      <w:pPr>
        <w:pStyle w:val="98"/>
        <w:spacing w:line="520" w:lineRule="exact"/>
        <w:ind w:firstLine="480"/>
      </w:pPr>
      <w:r>
        <w:fldChar w:fldCharType="begin"/>
      </w:r>
      <w:r>
        <w:instrText xml:space="preserve"> = 5 \* GB3 </w:instrText>
      </w:r>
      <w:r>
        <w:fldChar w:fldCharType="separate"/>
      </w:r>
      <w:r>
        <w:rPr>
          <w:rFonts w:hint="eastAsia" w:ascii="宋体" w:hAnsi="宋体" w:cs="宋体"/>
        </w:rPr>
        <w:t>⑤</w:t>
      </w:r>
      <w:r>
        <w:fldChar w:fldCharType="end"/>
      </w:r>
      <w:r>
        <w:t xml:space="preserve"> 卫生防疫</w:t>
      </w:r>
    </w:p>
    <w:p>
      <w:pPr>
        <w:spacing w:line="520" w:lineRule="exact"/>
        <w:ind w:firstLine="480" w:firstLineChars="200"/>
        <w:rPr>
          <w:sz w:val="24"/>
        </w:rPr>
      </w:pPr>
      <w:bookmarkStart w:id="112" w:name="_Toc1553"/>
      <w:r>
        <w:rPr>
          <w:sz w:val="24"/>
        </w:rPr>
        <w:t>在各阶段猪出栏后，通过过氧乙酸对猪舍进行消毒处理，发生特别疫情时用高锰酸钾消毒液进行消毒处理。</w:t>
      </w:r>
    </w:p>
    <w:p>
      <w:pPr>
        <w:spacing w:line="520" w:lineRule="exact"/>
        <w:ind w:firstLine="480" w:firstLineChars="200"/>
        <w:rPr>
          <w:sz w:val="24"/>
        </w:rPr>
      </w:pPr>
      <w:r>
        <w:rPr>
          <w:sz w:val="24"/>
        </w:rPr>
        <w:t>场内部养殖区、办公生活区建设实体隔离墙；场区、生产场区大门口建设与门同宽，</w:t>
      </w:r>
      <w:r>
        <w:rPr>
          <w:color w:val="000000"/>
          <w:sz w:val="24"/>
        </w:rPr>
        <w:t>长12m，宽3.5m，深0.2m</w:t>
      </w:r>
      <w:r>
        <w:rPr>
          <w:sz w:val="24"/>
        </w:rPr>
        <w:t>的消毒池。</w:t>
      </w:r>
    </w:p>
    <w:p>
      <w:pPr>
        <w:tabs>
          <w:tab w:val="left" w:pos="624"/>
        </w:tabs>
        <w:spacing w:line="520" w:lineRule="exact"/>
        <w:ind w:firstLine="480" w:firstLineChars="200"/>
        <w:jc w:val="left"/>
        <w:rPr>
          <w:sz w:val="24"/>
        </w:rPr>
      </w:pPr>
      <w:r>
        <w:rPr>
          <w:sz w:val="24"/>
        </w:rPr>
        <w:fldChar w:fldCharType="begin"/>
      </w:r>
      <w:r>
        <w:rPr>
          <w:sz w:val="24"/>
        </w:rPr>
        <w:instrText xml:space="preserve">= 6 \* GB3</w:instrText>
      </w:r>
      <w:r>
        <w:rPr>
          <w:sz w:val="24"/>
        </w:rPr>
        <w:fldChar w:fldCharType="separate"/>
      </w:r>
      <w:r>
        <w:rPr>
          <w:rFonts w:hint="eastAsia" w:ascii="宋体" w:hAnsi="宋体" w:cs="宋体"/>
          <w:sz w:val="24"/>
        </w:rPr>
        <w:t>⑥</w:t>
      </w:r>
      <w:r>
        <w:rPr>
          <w:sz w:val="24"/>
        </w:rPr>
        <w:fldChar w:fldCharType="end"/>
      </w:r>
      <w:r>
        <w:rPr>
          <w:sz w:val="24"/>
        </w:rPr>
        <w:t>漏缝地板粪污处理</w:t>
      </w:r>
    </w:p>
    <w:p>
      <w:pPr>
        <w:tabs>
          <w:tab w:val="left" w:pos="624"/>
        </w:tabs>
        <w:spacing w:line="520" w:lineRule="exact"/>
        <w:ind w:firstLine="480" w:firstLineChars="200"/>
        <w:rPr>
          <w:sz w:val="24"/>
        </w:rPr>
      </w:pPr>
      <w:r>
        <w:rPr>
          <w:sz w:val="24"/>
        </w:rPr>
        <w:t>生猪饲养猪舍采用漏缝地板饲养，漏缝地板下设贮存池，粪尿在贮存池中贮存后到治污区，通过固液分离机对粪污进行干湿分离，猪粪用于生产有机肥原料，废水进入沼气工程区生产沼气。</w:t>
      </w:r>
    </w:p>
    <w:p>
      <w:pPr>
        <w:pStyle w:val="5"/>
        <w:snapToGrid w:val="0"/>
        <w:spacing w:before="0" w:after="0" w:line="520" w:lineRule="exact"/>
        <w:rPr>
          <w:rFonts w:eastAsia="黑体"/>
          <w:b w:val="0"/>
          <w:bCs w:val="0"/>
          <w:sz w:val="24"/>
          <w:szCs w:val="24"/>
        </w:rPr>
      </w:pPr>
      <w:r>
        <w:rPr>
          <w:rFonts w:eastAsia="黑体"/>
          <w:b w:val="0"/>
          <w:bCs w:val="0"/>
          <w:sz w:val="24"/>
          <w:szCs w:val="24"/>
        </w:rPr>
        <w:t>2.2.2养殖模式与清粪模式</w:t>
      </w:r>
      <w:bookmarkEnd w:id="112"/>
    </w:p>
    <w:p>
      <w:pPr>
        <w:spacing w:line="520" w:lineRule="exact"/>
        <w:ind w:firstLine="480" w:firstLineChars="200"/>
        <w:rPr>
          <w:sz w:val="24"/>
        </w:rPr>
      </w:pPr>
      <w:bookmarkStart w:id="113" w:name="_Toc6340"/>
      <w:r>
        <w:rPr>
          <w:sz w:val="24"/>
        </w:rPr>
        <w:t>（1）猪场养殖模式</w:t>
      </w:r>
    </w:p>
    <w:p>
      <w:pPr>
        <w:spacing w:line="520" w:lineRule="exact"/>
        <w:ind w:firstLine="480" w:firstLineChars="200"/>
        <w:rPr>
          <w:sz w:val="24"/>
        </w:rPr>
      </w:pPr>
      <w:r>
        <w:rPr>
          <w:sz w:val="24"/>
        </w:rPr>
        <w:t>猪舍的设计养殖模式与清粪工艺、养殖规模、饲养方式、劳动效率、卫生防疫及养殖成本都有着密切的关系。通过考察及查阅相关资料得知，目前国内已建猪场并存的模式有农舍式、通仓式、生态垫料和高架床等。</w:t>
      </w:r>
    </w:p>
    <w:p>
      <w:pPr>
        <w:spacing w:line="520" w:lineRule="exact"/>
        <w:ind w:firstLine="480" w:firstLineChars="200"/>
        <w:rPr>
          <w:sz w:val="24"/>
        </w:rPr>
      </w:pPr>
      <w:r>
        <w:rPr>
          <w:sz w:val="24"/>
        </w:rPr>
        <w:t>A、农舍式</w:t>
      </w:r>
    </w:p>
    <w:p>
      <w:pPr>
        <w:spacing w:line="520" w:lineRule="exact"/>
        <w:ind w:firstLine="480" w:firstLineChars="200"/>
        <w:rPr>
          <w:sz w:val="24"/>
        </w:rPr>
      </w:pPr>
      <w:r>
        <w:rPr>
          <w:sz w:val="24"/>
        </w:rPr>
        <w:t>农舍式基本上由传统的农家猪舍改造集合而成，每个养猪单元内划分休息区、喂食饮水区、排粪区。排粪区内的尿液至收集槽内汇集，猪粪由人工清除后运出，以水冲洗残渣，属于环保部认定的干清粪模式。</w:t>
      </w:r>
    </w:p>
    <w:p>
      <w:pPr>
        <w:spacing w:line="520" w:lineRule="exact"/>
        <w:ind w:firstLine="480" w:firstLineChars="200"/>
        <w:rPr>
          <w:sz w:val="24"/>
        </w:rPr>
      </w:pPr>
      <w:r>
        <w:rPr>
          <w:sz w:val="24"/>
        </w:rPr>
        <w:t>优点：该模式符合《畜禽养殖业污染防治技术规范》（HJ/T81-2001）中4.3款“新建、改建、扩建的畜禽养殖场应采取环保部认定的干清粪工艺，采取有效措施及时、单独清出，不可与尿、污水混合排出，并将产生的粪渣及时运至贮存或处理场所，实现日产日清”的要求。粪便与尿液分离彻底，废水污染物浓度低，便于污水的后续处理。</w:t>
      </w:r>
    </w:p>
    <w:p>
      <w:pPr>
        <w:spacing w:line="520" w:lineRule="exact"/>
        <w:ind w:firstLine="480" w:firstLineChars="200"/>
        <w:rPr>
          <w:sz w:val="24"/>
        </w:rPr>
      </w:pPr>
      <w:r>
        <w:rPr>
          <w:sz w:val="24"/>
        </w:rPr>
        <w:t>缺点：该模式存在以下问题：a、难以实现机械化操作，平均一名饲养员只能饲养300头生猪，劳动力需求大；b、猪舍占地面积大，相应的增加了冲洗面积，冲洗水量和废水产生量大；c、单位面积经济产出低，不适于集约化经营。</w:t>
      </w:r>
    </w:p>
    <w:p>
      <w:pPr>
        <w:spacing w:line="520" w:lineRule="exact"/>
        <w:ind w:firstLine="480" w:firstLineChars="200"/>
        <w:rPr>
          <w:sz w:val="24"/>
        </w:rPr>
      </w:pPr>
      <w:r>
        <w:rPr>
          <w:sz w:val="24"/>
        </w:rPr>
        <w:t>B、通仓式</w:t>
      </w:r>
    </w:p>
    <w:p>
      <w:pPr>
        <w:spacing w:line="520" w:lineRule="exact"/>
        <w:ind w:firstLine="480" w:firstLineChars="200"/>
        <w:rPr>
          <w:sz w:val="24"/>
        </w:rPr>
      </w:pPr>
      <w:r>
        <w:rPr>
          <w:sz w:val="24"/>
        </w:rPr>
        <w:t>通仓式为20世纪80年代由西方引进的水冲粪模式改造而来，圈舍呈条排式设计，净道和脏道于圈舍两端贯穿，净道上料、脏道清粪。脏道设于车间内或车间内，猪粪尿排入脏道内，由人工清出固粪，尿液排入集尿池内，再用水冲洗猪舍和脏道。</w:t>
      </w:r>
    </w:p>
    <w:p>
      <w:pPr>
        <w:spacing w:line="520" w:lineRule="exact"/>
        <w:ind w:firstLine="480" w:firstLineChars="200"/>
        <w:rPr>
          <w:sz w:val="24"/>
        </w:rPr>
      </w:pPr>
      <w:r>
        <w:rPr>
          <w:sz w:val="24"/>
        </w:rPr>
        <w:t>优点：可保持猪舍内的环境清洁，利于动物健康。劳动强度小，劳动效率高。</w:t>
      </w:r>
    </w:p>
    <w:p>
      <w:pPr>
        <w:spacing w:line="520" w:lineRule="exact"/>
        <w:ind w:firstLine="480" w:firstLineChars="200"/>
        <w:rPr>
          <w:sz w:val="24"/>
        </w:rPr>
      </w:pPr>
      <w:r>
        <w:rPr>
          <w:sz w:val="24"/>
        </w:rPr>
        <w:t>缺点：耗水量大，废水污染物浓度高，固液分离后，大部分可溶性有机质及微量元素等留在污水中，分离出的固体物养分含量低，肥料利用价值较小，另外污水处理基建投资大，动力消耗及运行成本均较高。</w:t>
      </w:r>
    </w:p>
    <w:p>
      <w:pPr>
        <w:spacing w:line="520" w:lineRule="exact"/>
        <w:ind w:firstLine="480" w:firstLineChars="200"/>
        <w:rPr>
          <w:sz w:val="24"/>
        </w:rPr>
      </w:pPr>
      <w:r>
        <w:rPr>
          <w:sz w:val="24"/>
        </w:rPr>
        <w:t>C、生态垫料</w:t>
      </w:r>
    </w:p>
    <w:p>
      <w:pPr>
        <w:spacing w:line="520" w:lineRule="exact"/>
        <w:ind w:firstLine="480" w:firstLineChars="200"/>
        <w:rPr>
          <w:sz w:val="24"/>
        </w:rPr>
      </w:pPr>
      <w:r>
        <w:rPr>
          <w:sz w:val="24"/>
        </w:rPr>
        <w:t>发酵床为日本、台湾等地区广泛采用的养殖工艺，由福建、山东等地引入。具体工艺是粪尿排至舍内预铺设垫料上，再利用生猪的拱翻习性作为机器加工，使猪粪、尿和垫料充分混合，通过发酵床的分解发酵，使猪粪、尿中的有机物质得到充分的分解和转化，植物以尚未消化的猪粪为食饵，繁殖滋生。随着猪粪尿的处理，臭味也就没有了。而同时繁殖生长的大量植物又向生猪提供了无机物营养和菌体蛋白质被猪食用，从而相辅相成将猪舍垫料发酵床演变成微生态饲料加工厂，达到无臭、无味、无害化的目的，是一种无污染、无排放的、无臭气的新型环保</w:t>
      </w:r>
      <w:r>
        <w:fldChar w:fldCharType="begin"/>
      </w:r>
      <w:r>
        <w:instrText xml:space="preserve"> HYPERLINK "http://baike.baidu.com/view/3923967.htm" </w:instrText>
      </w:r>
      <w:r>
        <w:fldChar w:fldCharType="separate"/>
      </w:r>
      <w:r>
        <w:rPr>
          <w:sz w:val="24"/>
        </w:rPr>
        <w:t>生态养猪技术</w:t>
      </w:r>
      <w:r>
        <w:rPr>
          <w:sz w:val="24"/>
        </w:rPr>
        <w:fldChar w:fldCharType="end"/>
      </w:r>
      <w:r>
        <w:rPr>
          <w:sz w:val="24"/>
        </w:rPr>
        <w:t>。其特点是粪污固性化，利于资源化处理利用，排污周期长，养殖期无需人工清粪。</w:t>
      </w:r>
    </w:p>
    <w:p>
      <w:pPr>
        <w:spacing w:line="520" w:lineRule="exact"/>
        <w:ind w:firstLine="480" w:firstLineChars="200"/>
        <w:rPr>
          <w:sz w:val="24"/>
        </w:rPr>
      </w:pPr>
      <w:r>
        <w:rPr>
          <w:sz w:val="24"/>
        </w:rPr>
        <w:t>优点：基建投资小；冬季猪舍不需加温，节约资源能源；粪污资源化利用程度高；无需人工清粪。</w:t>
      </w:r>
    </w:p>
    <w:p>
      <w:pPr>
        <w:spacing w:line="520" w:lineRule="exact"/>
        <w:ind w:firstLine="480" w:firstLineChars="200"/>
        <w:rPr>
          <w:sz w:val="24"/>
        </w:rPr>
      </w:pPr>
      <w:r>
        <w:rPr>
          <w:sz w:val="24"/>
        </w:rPr>
        <w:t>缺点：垫料菌种投资大；生猪料肉比低，生长周期长，饲料投入大；猪粪在垫料上需要翻料埋粪，劳动强度大；夏季温度高，需做降温处理，冬季不宜冲水，垫料干燥，猪舍内粉尘量大，易引发呼吸道疾病。</w:t>
      </w:r>
    </w:p>
    <w:p>
      <w:pPr>
        <w:spacing w:line="520" w:lineRule="exact"/>
        <w:ind w:firstLine="480" w:firstLineChars="200"/>
        <w:rPr>
          <w:sz w:val="24"/>
        </w:rPr>
      </w:pPr>
      <w:r>
        <w:rPr>
          <w:sz w:val="24"/>
        </w:rPr>
        <w:t>D、高架床</w:t>
      </w:r>
      <w:r>
        <w:rPr>
          <w:sz w:val="24"/>
        </w:rPr>
        <w:tab/>
      </w:r>
    </w:p>
    <w:p>
      <w:pPr>
        <w:spacing w:line="520" w:lineRule="exact"/>
        <w:ind w:firstLine="480" w:firstLineChars="200"/>
        <w:rPr>
          <w:sz w:val="24"/>
        </w:rPr>
      </w:pPr>
      <w:r>
        <w:rPr>
          <w:sz w:val="24"/>
        </w:rPr>
        <w:t>高架床属欧美等西方国家推广和普遍采用的先进养殖模式，猪舍设计为高架网床漏缝板，下部设集粪池，猪粪和尿液经漏缝板下泄至集粪池内，池中预加水作水封，单池排贮周期为2~3个月，待猪出栏时，将贮粪池冲水，尿、粪混合物一次排出贮池。</w:t>
      </w:r>
    </w:p>
    <w:p>
      <w:pPr>
        <w:spacing w:line="520" w:lineRule="exact"/>
        <w:ind w:firstLine="480" w:firstLineChars="200"/>
        <w:rPr>
          <w:sz w:val="24"/>
        </w:rPr>
      </w:pPr>
      <w:r>
        <w:rPr>
          <w:sz w:val="24"/>
        </w:rPr>
        <w:t>优点：基建投资小；粪污无需人工清理，清理周期长；猪舍平时无需冲洗，用水量和排水量小。</w:t>
      </w:r>
    </w:p>
    <w:p>
      <w:pPr>
        <w:spacing w:line="520" w:lineRule="exact"/>
        <w:ind w:firstLine="480" w:firstLineChars="200"/>
        <w:rPr>
          <w:sz w:val="24"/>
        </w:rPr>
      </w:pPr>
      <w:r>
        <w:rPr>
          <w:sz w:val="24"/>
        </w:rPr>
        <w:t>缺点：粪污经长时间浸泡，污染物浓度高，固液分离难度大，增加后续污水处理成本。</w:t>
      </w:r>
    </w:p>
    <w:p>
      <w:pPr>
        <w:spacing w:line="520" w:lineRule="exact"/>
        <w:ind w:firstLine="360" w:firstLineChars="150"/>
        <w:rPr>
          <w:sz w:val="24"/>
        </w:rPr>
      </w:pPr>
      <w:r>
        <w:rPr>
          <w:sz w:val="24"/>
        </w:rPr>
        <w:t>（2）项目设计养殖模式与清粪模式</w:t>
      </w:r>
    </w:p>
    <w:p>
      <w:pPr>
        <w:spacing w:line="520" w:lineRule="exact"/>
        <w:ind w:firstLine="480" w:firstLineChars="200"/>
        <w:rPr>
          <w:sz w:val="24"/>
        </w:rPr>
      </w:pPr>
      <w:r>
        <w:rPr>
          <w:sz w:val="24"/>
        </w:rPr>
        <w:t>通过对比目前国内主要的养殖模式和清粪模式，牧原食品股份有限公司在高架网床的基础上，进行了一定的技术改造，采用环保部认定的干清粪工艺作为公司养殖清粪模式，该模式已在牧原食品股份有限公司养殖场得到了广泛应用。</w:t>
      </w:r>
    </w:p>
    <w:p>
      <w:pPr>
        <w:spacing w:line="520" w:lineRule="exact"/>
        <w:ind w:firstLine="480" w:firstLineChars="200"/>
        <w:rPr>
          <w:sz w:val="24"/>
        </w:rPr>
      </w:pPr>
      <w:r>
        <w:rPr>
          <w:sz w:val="24"/>
        </w:rPr>
        <w:t>牧原食品股份有限公司采用了切合实际的环保部认定的干清粪工艺，养殖周期内粪污水收集于舍下，可做到充分的厌氧杀菌、适度降低有机物浓度，避免在施用农田过程中出现二次发酵的现象。同时免除了清水用于圈舍粪尿日常清理，粪尿产生即依靠离开猪舍进入猪舍下部储存池，粪污离开储存池即进行干湿分离和无害化并全部实现综合利用，不混合排出。根据国家环保部、农业部多次组织专家对牧原食品股份有限公司所采用模式的考察、论证，最终认定该模式属于环保部认定的干清粪工艺的一种（环办函[2015]425号）。</w:t>
      </w:r>
    </w:p>
    <w:p>
      <w:pPr>
        <w:spacing w:line="520" w:lineRule="exact"/>
        <w:ind w:firstLine="480" w:firstLineChars="200"/>
        <w:rPr>
          <w:sz w:val="24"/>
        </w:rPr>
      </w:pPr>
      <w:r>
        <w:rPr>
          <w:sz w:val="24"/>
        </w:rPr>
        <w:t>圈舍冲洗仅在转栏时进行，废水产生量少；粪污在存栏周期内在圈舍内储存不排外，粪污离开圈舍即进行干湿分离，废水经厌氧发酵处理后做农肥施用于农田，固形物则经过堆肥发酵作为有机肥原料外售，实现了粪污的资源化利用。</w:t>
      </w:r>
    </w:p>
    <w:p>
      <w:pPr>
        <w:spacing w:line="520" w:lineRule="exact"/>
        <w:ind w:firstLine="480" w:firstLineChars="200"/>
        <w:rPr>
          <w:sz w:val="24"/>
        </w:rPr>
      </w:pPr>
      <w:r>
        <w:rPr>
          <w:sz w:val="24"/>
        </w:rPr>
        <w:t>与目前国内采用的集中常用的养殖模式对比，本项目所用环保部认定的干清粪模式具有以下优点：</w:t>
      </w:r>
      <w:r>
        <w:rPr>
          <w:rFonts w:hint="eastAsia" w:ascii="宋体" w:hAnsi="宋体" w:cs="宋体"/>
          <w:sz w:val="24"/>
        </w:rPr>
        <w:t>①</w:t>
      </w:r>
      <w:r>
        <w:rPr>
          <w:sz w:val="24"/>
        </w:rPr>
        <w:t>项目养殖模式实现了干清粪，符合技术规范要求；</w:t>
      </w:r>
      <w:r>
        <w:rPr>
          <w:rFonts w:hint="eastAsia" w:ascii="宋体" w:hAnsi="宋体" w:cs="宋体"/>
          <w:sz w:val="24"/>
        </w:rPr>
        <w:t>②</w:t>
      </w:r>
      <w:r>
        <w:rPr>
          <w:sz w:val="24"/>
        </w:rPr>
        <w:t>项目养殖模式适合进行大规模集约化养殖；</w:t>
      </w:r>
      <w:r>
        <w:rPr>
          <w:rFonts w:hint="eastAsia" w:ascii="宋体" w:hAnsi="宋体" w:cs="宋体"/>
          <w:sz w:val="24"/>
        </w:rPr>
        <w:t>③</w:t>
      </w:r>
      <w:r>
        <w:rPr>
          <w:sz w:val="24"/>
        </w:rPr>
        <w:t>减少了劳动强度和人力资源消耗；</w:t>
      </w:r>
      <w:r>
        <w:rPr>
          <w:rFonts w:hint="eastAsia" w:ascii="宋体" w:hAnsi="宋体" w:cs="宋体"/>
          <w:sz w:val="24"/>
        </w:rPr>
        <w:t>④</w:t>
      </w:r>
      <w:r>
        <w:rPr>
          <w:sz w:val="24"/>
        </w:rPr>
        <w:t>采用立体设计结构，生猪饲养、粪污清理和废水收集垂直进行，减少了占地面积。</w:t>
      </w:r>
    </w:p>
    <w:p>
      <w:pPr>
        <w:spacing w:line="520" w:lineRule="exact"/>
        <w:ind w:firstLine="480" w:firstLineChars="200"/>
        <w:rPr>
          <w:sz w:val="24"/>
        </w:rPr>
      </w:pPr>
      <w:r>
        <w:rPr>
          <w:sz w:val="24"/>
        </w:rPr>
        <w:t>本项目采用环保部认定的干清粪工艺，符合《畜禽养殖业污染防治技术政策》（环发［2012］151号）要求，且与其他模式相比具有明显优势和先进性。综合对比分析，项目选取模式可行。</w:t>
      </w:r>
    </w:p>
    <w:p>
      <w:pPr>
        <w:pStyle w:val="5"/>
        <w:snapToGrid w:val="0"/>
        <w:spacing w:before="0" w:after="0" w:line="520" w:lineRule="exact"/>
        <w:rPr>
          <w:rFonts w:eastAsia="黑体"/>
          <w:b w:val="0"/>
          <w:bCs w:val="0"/>
          <w:sz w:val="24"/>
          <w:szCs w:val="24"/>
        </w:rPr>
      </w:pPr>
      <w:r>
        <w:rPr>
          <w:rFonts w:eastAsia="黑体"/>
          <w:b w:val="0"/>
          <w:bCs w:val="0"/>
          <w:sz w:val="24"/>
          <w:szCs w:val="24"/>
        </w:rPr>
        <w:t>2.2.3污染治理工程工艺</w:t>
      </w:r>
      <w:bookmarkEnd w:id="113"/>
    </w:p>
    <w:p>
      <w:pPr>
        <w:pStyle w:val="7"/>
        <w:spacing w:before="0" w:after="0" w:line="520" w:lineRule="exact"/>
        <w:rPr>
          <w:sz w:val="24"/>
          <w:szCs w:val="24"/>
        </w:rPr>
      </w:pPr>
      <w:r>
        <w:rPr>
          <w:sz w:val="24"/>
          <w:szCs w:val="24"/>
        </w:rPr>
        <w:t>2.2.3.1清粪工艺</w:t>
      </w:r>
    </w:p>
    <w:p>
      <w:pPr>
        <w:spacing w:line="520" w:lineRule="exact"/>
        <w:ind w:firstLine="480" w:firstLineChars="200"/>
        <w:rPr>
          <w:sz w:val="24"/>
        </w:rPr>
      </w:pPr>
      <w:r>
        <w:rPr>
          <w:sz w:val="24"/>
        </w:rPr>
        <w:t>本项目采用环保部认定的干清粪工艺：猪只生活在漏缝地板上，猪舍内产生的猪粪由于猪的踩踏及重力作用离开猪舍进入猪舍底部的粪污储存池，储存池底部设计成一端高一端低的倾斜结构，排粪塞位于最低端，项目粪污储存池定期排空，排空时粪尿依靠储存池底部坡度由储存池排出，进入干湿分离机进行干湿分离，粪渣制肥，粪液厌氧发酵，沼液贮存在沼液储存池内用于周围土地消纳，全部综合利用。</w:t>
      </w:r>
    </w:p>
    <w:p>
      <w:pPr>
        <w:spacing w:line="520" w:lineRule="exact"/>
        <w:ind w:firstLine="480" w:firstLineChars="200"/>
        <w:rPr>
          <w:sz w:val="24"/>
        </w:rPr>
      </w:pPr>
    </w:p>
    <w:p>
      <w:pPr>
        <w:spacing w:line="500" w:lineRule="exact"/>
        <w:ind w:firstLine="480" w:firstLineChars="200"/>
        <w:rPr>
          <w:sz w:val="24"/>
        </w:rPr>
      </w:pPr>
      <w:r>
        <w:rPr>
          <w:sz w:val="24"/>
        </w:rPr>
        <w:pict>
          <v:shape id="_x0000_s3252" o:spid="_x0000_s3252" o:spt="202" type="#_x0000_t202" style="position:absolute;left:0pt;margin-left:58pt;margin-top:0pt;height:23.25pt;width:70.5pt;z-index:251637760;mso-width-relative:page;mso-height-relative:page;" filled="f" stroked="f" coordsize="21600,21600">
            <v:path/>
            <v:fill on="f" focussize="0,0"/>
            <v:stroke on="f" joinstyle="miter"/>
            <v:imagedata o:title=""/>
            <o:lock v:ext="edit"/>
            <v:textbox>
              <w:txbxContent>
                <w:p>
                  <w:pPr>
                    <w:rPr>
                      <w:szCs w:val="21"/>
                    </w:rPr>
                  </w:pPr>
                  <w:r>
                    <w:rPr>
                      <w:rFonts w:hint="eastAsia"/>
                      <w:szCs w:val="21"/>
                    </w:rPr>
                    <w:t>漏缝板</w:t>
                  </w:r>
                </w:p>
              </w:txbxContent>
            </v:textbox>
          </v:shape>
        </w:pict>
      </w:r>
      <w:r>
        <w:rPr>
          <w:sz w:val="24"/>
        </w:rPr>
        <w:pict>
          <v:shape id="_x0000_s3248" o:spid="_x0000_s3248" o:spt="7" type="#_x0000_t7" style="position:absolute;left:0pt;margin-left:-9.5pt;margin-top:17.75pt;height:27.25pt;width:174.75pt;z-index:251633664;mso-width-relative:page;mso-height-relative:page;" fillcolor="#000000" filled="t" coordsize="21600,21600">
            <v:path/>
            <v:fill type="pattern" on="t" o:title="轮廓式菱形" focussize="0,0" r:id="rId11"/>
            <v:stroke joinstyle="miter"/>
            <v:imagedata o:title=""/>
            <o:lock v:ext="edit"/>
          </v:shape>
        </w:pict>
      </w:r>
    </w:p>
    <w:p>
      <w:pPr>
        <w:spacing w:line="500" w:lineRule="exact"/>
        <w:ind w:firstLine="480" w:firstLineChars="200"/>
        <w:rPr>
          <w:sz w:val="24"/>
        </w:rPr>
      </w:pPr>
      <w:r>
        <w:rPr>
          <w:sz w:val="24"/>
        </w:rPr>
        <w:pict>
          <v:shape id="_x0000_s3250" o:spid="_x0000_s3250" o:spt="32" type="#_x0000_t32" style="position:absolute;left:0pt;margin-left:91.75pt;margin-top:10.75pt;height:68.25pt;width:0pt;z-index:251635712;mso-width-relative:page;mso-height-relative:page;" o:connectortype="straight" filled="f" coordsize="21600,21600">
            <v:path arrowok="t"/>
            <v:fill on="f" focussize="0,0"/>
            <v:stroke endarrow="block"/>
            <v:imagedata o:title=""/>
            <o:lock v:ext="edit"/>
          </v:shape>
        </w:pict>
      </w:r>
    </w:p>
    <w:p>
      <w:pPr>
        <w:spacing w:line="500" w:lineRule="exact"/>
        <w:ind w:firstLine="480" w:firstLineChars="200"/>
        <w:rPr>
          <w:sz w:val="24"/>
        </w:rPr>
      </w:pPr>
      <w:r>
        <w:rPr>
          <w:sz w:val="24"/>
        </w:rPr>
        <w:pict>
          <v:shape id="_x0000_s3251" o:spid="_x0000_s3251" o:spt="202" type="#_x0000_t202" style="position:absolute;left:0pt;margin-left:85pt;margin-top:4.75pt;height:23.25pt;width:70.5pt;z-index:251636736;mso-width-relative:page;mso-height-relative:page;" filled="f" stroked="f" coordsize="21600,21600">
            <v:path/>
            <v:fill on="f" focussize="0,0"/>
            <v:stroke on="f" joinstyle="miter"/>
            <v:imagedata o:title=""/>
            <o:lock v:ext="edit"/>
            <v:textbox>
              <w:txbxContent>
                <w:p>
                  <w:pPr>
                    <w:rPr>
                      <w:szCs w:val="21"/>
                    </w:rPr>
                  </w:pPr>
                  <w:r>
                    <w:rPr>
                      <w:rFonts w:hint="eastAsia"/>
                      <w:szCs w:val="21"/>
                    </w:rPr>
                    <w:t>猪粪猪尿</w:t>
                  </w:r>
                </w:p>
              </w:txbxContent>
            </v:textbox>
          </v:shape>
        </w:pict>
      </w:r>
    </w:p>
    <w:p>
      <w:pPr>
        <w:spacing w:line="500" w:lineRule="exact"/>
        <w:ind w:firstLine="480" w:firstLineChars="200"/>
        <w:rPr>
          <w:sz w:val="24"/>
        </w:rPr>
      </w:pPr>
      <w:r>
        <w:rPr>
          <w:sz w:val="24"/>
        </w:rPr>
        <w:pict>
          <v:shape id="_x0000_s3253" o:spid="_x0000_s3253" o:spt="202" type="#_x0000_t202" style="position:absolute;left:0pt;margin-left:4pt;margin-top:16.25pt;height:23.25pt;width:94.5pt;z-index:251638784;mso-width-relative:page;mso-height-relative:page;" filled="f" stroked="f" coordsize="21600,21600">
            <v:path/>
            <v:fill on="f" focussize="0,0"/>
            <v:stroke on="f" joinstyle="miter"/>
            <v:imagedata o:title=""/>
            <o:lock v:ext="edit"/>
            <v:textbox>
              <w:txbxContent>
                <w:p>
                  <w:pPr>
                    <w:rPr>
                      <w:szCs w:val="21"/>
                    </w:rPr>
                  </w:pPr>
                  <w:r>
                    <w:rPr>
                      <w:rFonts w:hint="eastAsia"/>
                      <w:szCs w:val="21"/>
                    </w:rPr>
                    <w:t>粪污储存池</w:t>
                  </w:r>
                </w:p>
              </w:txbxContent>
            </v:textbox>
          </v:shape>
        </w:pict>
      </w:r>
      <w:r>
        <w:rPr>
          <w:sz w:val="24"/>
        </w:rPr>
        <w:pict>
          <v:shape id="_x0000_s3249" o:spid="_x0000_s3249" o:spt="8" type="#_x0000_t8" style="position:absolute;left:0pt;margin-left:-15.5pt;margin-top:7.5pt;height:71.75pt;width:146.25pt;z-index:251634688;mso-width-relative:page;mso-height-relative:page;" coordsize="21600,21600">
            <v:path/>
            <v:fill focussize="0,0"/>
            <v:stroke joinstyle="miter"/>
            <v:imagedata o:title=""/>
            <o:lock v:ext="edit"/>
          </v:shape>
        </w:pict>
      </w:r>
    </w:p>
    <w:p>
      <w:pPr>
        <w:spacing w:line="500" w:lineRule="exact"/>
        <w:ind w:firstLine="480" w:firstLineChars="200"/>
        <w:rPr>
          <w:sz w:val="24"/>
        </w:rPr>
      </w:pPr>
    </w:p>
    <w:p>
      <w:pPr>
        <w:spacing w:line="500" w:lineRule="exact"/>
        <w:ind w:firstLine="480" w:firstLineChars="200"/>
        <w:rPr>
          <w:sz w:val="24"/>
        </w:rPr>
      </w:pPr>
      <w:r>
        <w:rPr>
          <w:color w:val="FF0000"/>
          <w:sz w:val="24"/>
        </w:rPr>
        <w:pict>
          <v:shape id="_x0000_s3264" o:spid="_x0000_s3264" o:spt="95" type="#_x0000_t95" style="position:absolute;left:0pt;margin-left:72.25pt;margin-top:1.25pt;height:35.5pt;width:19.5pt;z-index:251650048;mso-width-relative:page;mso-height-relative:page;" coordsize="21600,21600">
            <v:path/>
            <v:fill focussize="0,0"/>
            <v:stroke joinstyle="miter"/>
            <v:imagedata o:title=""/>
            <o:lock v:ext="edit"/>
          </v:shape>
        </w:pict>
      </w:r>
      <w:r>
        <w:rPr>
          <w:color w:val="FF0000"/>
          <w:sz w:val="24"/>
        </w:rPr>
        <w:pict>
          <v:shape id="_x0000_s3254" o:spid="_x0000_s3254" o:spt="22" type="#_x0000_t22" style="position:absolute;left:0pt;margin-left:70.75pt;margin-top:15pt;height:17.25pt;width:21pt;z-index:251639808;mso-width-relative:page;mso-height-relative:page;" coordsize="21600,21600">
            <v:path/>
            <v:fill focussize="0,0"/>
            <v:stroke/>
            <v:imagedata o:title=""/>
            <o:lock v:ext="edit"/>
          </v:shape>
        </w:pict>
      </w:r>
      <w:r>
        <w:rPr>
          <w:color w:val="FF0000"/>
          <w:sz w:val="24"/>
        </w:rPr>
        <w:pict>
          <v:shape id="_x0000_s3255" o:spid="_x0000_s3255" o:spt="202" type="#_x0000_t202" style="position:absolute;left:0pt;margin-left:98.5pt;margin-top:9pt;height:27.75pt;width:54pt;z-index:251640832;mso-width-relative:page;mso-height-relative:page;" filled="f" stroked="f" coordsize="21600,21600">
            <v:path/>
            <v:fill on="f" focussize="0,0"/>
            <v:stroke on="f" joinstyle="miter"/>
            <v:imagedata o:title=""/>
            <o:lock v:ext="edit"/>
            <v:textbox>
              <w:txbxContent>
                <w:p>
                  <w:pPr>
                    <w:rPr>
                      <w:szCs w:val="21"/>
                    </w:rPr>
                  </w:pPr>
                  <w:r>
                    <w:rPr>
                      <w:rFonts w:hint="eastAsia"/>
                      <w:szCs w:val="21"/>
                    </w:rPr>
                    <w:t>排粪塞</w:t>
                  </w:r>
                </w:p>
              </w:txbxContent>
            </v:textbox>
          </v:shape>
        </w:pict>
      </w:r>
    </w:p>
    <w:p>
      <w:pPr>
        <w:spacing w:line="500" w:lineRule="exact"/>
        <w:ind w:firstLine="480" w:firstLineChars="200"/>
        <w:rPr>
          <w:sz w:val="24"/>
        </w:rPr>
      </w:pPr>
      <w:r>
        <w:rPr>
          <w:sz w:val="24"/>
        </w:rPr>
        <w:pict>
          <v:shape id="_x0000_s3257" o:spid="_x0000_s3257" style="position:absolute;left:0pt;margin-left:72.25pt;margin-top:7.25pt;height:82pt;width:167.75pt;z-index:251642880;mso-width-relative:page;mso-height-relative:page;" filled="f" coordsize="3120,1755" path="m0,0hdc23,91,8,40,45,150c56,184,94,206,105,240c143,353,92,214,150,330c157,344,155,363,165,375c176,389,195,395,210,405c248,482,287,552,360,600c445,727,305,530,480,705c520,745,575,770,615,810c675,870,739,913,810,960c857,992,939,1063,990,1080c1035,1095,1084,1117,1125,1140c1299,1237,1130,1172,1305,1230c1360,1248,1400,1302,1455,1320c1470,1325,1486,1328,1500,1335c1516,1343,1528,1359,1545,1365c1584,1379,1625,1385,1665,1395c1726,1410,1784,1440,1845,1455c2030,1501,2215,1544,2400,1590c2446,1602,2489,1623,2535,1635c2669,1669,2804,1698,2940,1725c3009,1739,3048,1755,3120,1755e">
            <v:path arrowok="t"/>
            <v:fill on="f" focussize="0,0"/>
            <v:stroke/>
            <v:imagedata o:title=""/>
            <o:lock v:ext="edit"/>
          </v:shape>
        </w:pict>
      </w:r>
      <w:r>
        <w:rPr>
          <w:sz w:val="24"/>
        </w:rPr>
        <w:pict>
          <v:shape id="_x0000_s3256" o:spid="_x0000_s3256" style="position:absolute;left:0pt;margin-left:91.75pt;margin-top:7.25pt;height:63.75pt;width:148.25pt;z-index:251641856;mso-width-relative:page;mso-height-relative:page;" filled="f" coordsize="3120,1755" path="m0,0hdc23,91,8,40,45,150c56,184,94,206,105,240c143,353,92,214,150,330c157,344,155,363,165,375c176,389,195,395,210,405c248,482,287,552,360,600c445,727,305,530,480,705c520,745,575,770,615,810c675,870,739,913,810,960c857,992,939,1063,990,1080c1035,1095,1084,1117,1125,1140c1299,1237,1130,1172,1305,1230c1360,1248,1400,1302,1455,1320c1470,1325,1486,1328,1500,1335c1516,1343,1528,1359,1545,1365c1584,1379,1625,1385,1665,1395c1726,1410,1784,1440,1845,1455c2030,1501,2215,1544,2400,1590c2446,1602,2489,1623,2535,1635c2669,1669,2804,1698,2940,1725c3009,1739,3048,1755,3120,1755e">
            <v:path arrowok="t"/>
            <v:fill on="f" focussize="0,0"/>
            <v:stroke/>
            <v:imagedata o:title=""/>
            <o:lock v:ext="edit"/>
          </v:shape>
        </w:pict>
      </w:r>
      <w:r>
        <w:rPr>
          <w:sz w:val="24"/>
        </w:rPr>
        <w:pict>
          <v:shape id="_x0000_s3259" o:spid="_x0000_s3259" o:spt="202" type="#_x0000_t202" style="position:absolute;left:0pt;margin-left:72.25pt;margin-top:11.75pt;height:23.25pt;width:46.5pt;z-index:251644928;mso-width-relative:page;mso-height-relative:page;" filled="f" stroked="f" coordsize="21600,21600">
            <v:path/>
            <v:fill on="f" focussize="0,0"/>
            <v:stroke on="f" joinstyle="miter"/>
            <v:imagedata o:title=""/>
            <o:lock v:ext="edit"/>
            <v:textbox>
              <w:txbxContent>
                <w:p>
                  <w:pPr>
                    <w:rPr>
                      <w:szCs w:val="21"/>
                    </w:rPr>
                  </w:pPr>
                  <w:r>
                    <w:rPr>
                      <w:rFonts w:hint="eastAsia"/>
                      <w:szCs w:val="21"/>
                    </w:rPr>
                    <w:t>粪尿</w:t>
                  </w:r>
                </w:p>
              </w:txbxContent>
            </v:textbox>
          </v:shape>
        </w:pict>
      </w:r>
    </w:p>
    <w:p>
      <w:pPr>
        <w:spacing w:line="500" w:lineRule="exact"/>
        <w:ind w:firstLine="480" w:firstLineChars="200"/>
        <w:rPr>
          <w:sz w:val="24"/>
        </w:rPr>
      </w:pPr>
      <w:r>
        <w:rPr>
          <w:sz w:val="24"/>
        </w:rPr>
        <w:pict>
          <v:shape id="_x0000_s3258" o:spid="_x0000_s3258" o:spt="32" type="#_x0000_t32" style="position:absolute;left:0pt;margin-left:102.75pt;margin-top:10pt;height:21.25pt;width:44.25pt;z-index:251643904;mso-width-relative:page;mso-height-relative:page;" o:connectortype="straight" filled="f" coordsize="21600,21600">
            <v:path arrowok="t"/>
            <v:fill on="f" focussize="0,0"/>
            <v:stroke endarrow="block"/>
            <v:imagedata o:title=""/>
            <o:lock v:ext="edit"/>
          </v:shape>
        </w:pict>
      </w:r>
      <w:r>
        <w:rPr>
          <w:sz w:val="24"/>
        </w:rPr>
        <w:pict>
          <v:shape id="_x0000_s3261" o:spid="_x0000_s3261" o:spt="202" type="#_x0000_t202" style="position:absolute;left:0pt;margin-left:301pt;margin-top:8pt;height:95pt;width:25.5pt;z-index:251646976;mso-width-relative:page;mso-height-relative:page;" filled="f" coordsize="21600,21600">
            <v:path/>
            <v:fill on="f" focussize="0,0"/>
            <v:stroke joinstyle="miter"/>
            <v:imagedata o:title=""/>
            <o:lock v:ext="edit"/>
            <v:textbox>
              <w:txbxContent>
                <w:p>
                  <w:pPr>
                    <w:spacing w:beforeLines="50"/>
                    <w:rPr>
                      <w:szCs w:val="21"/>
                    </w:rPr>
                  </w:pPr>
                  <w:r>
                    <w:rPr>
                      <w:rFonts w:hint="eastAsia"/>
                      <w:szCs w:val="21"/>
                    </w:rPr>
                    <w:t>固液分离机</w:t>
                  </w:r>
                </w:p>
              </w:txbxContent>
            </v:textbox>
          </v:shape>
        </w:pict>
      </w:r>
      <w:r>
        <w:rPr>
          <w:sz w:val="24"/>
        </w:rPr>
        <w:pict>
          <v:shape id="_x0000_s3271" o:spid="_x0000_s3271" o:spt="202" type="#_x0000_t202" style="position:absolute;left:0pt;margin-left:339.25pt;margin-top:5.75pt;height:23.25pt;width:57.75pt;z-index:251657216;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干物质</w:t>
                  </w:r>
                </w:p>
              </w:txbxContent>
            </v:textbox>
          </v:shape>
        </w:pict>
      </w:r>
      <w:r>
        <w:rPr>
          <w:sz w:val="24"/>
        </w:rPr>
        <w:pict>
          <v:shape id="_x0000_s3268" o:spid="_x0000_s3268" o:spt="202" type="#_x0000_t202" style="position:absolute;left:0pt;margin-left:403pt;margin-top:18.5pt;height:21pt;width:68.25pt;z-index:251654144;mso-width-relative:page;mso-height-relative:page;" filled="f" coordsize="21600,21600">
            <v:path/>
            <v:fill on="f" focussize="0,0"/>
            <v:stroke joinstyle="miter"/>
            <v:imagedata o:title=""/>
            <o:lock v:ext="edit"/>
            <v:textbox>
              <w:txbxContent>
                <w:p>
                  <w:pPr>
                    <w:jc w:val="center"/>
                    <w:rPr>
                      <w:szCs w:val="21"/>
                    </w:rPr>
                  </w:pPr>
                  <w:r>
                    <w:rPr>
                      <w:rFonts w:hint="eastAsia"/>
                      <w:szCs w:val="21"/>
                    </w:rPr>
                    <w:t>固废处理区</w:t>
                  </w:r>
                </w:p>
              </w:txbxContent>
            </v:textbox>
          </v:shape>
        </w:pict>
      </w:r>
    </w:p>
    <w:p>
      <w:pPr>
        <w:spacing w:line="500" w:lineRule="exact"/>
        <w:ind w:firstLine="480" w:firstLineChars="200"/>
        <w:rPr>
          <w:sz w:val="24"/>
        </w:rPr>
      </w:pPr>
      <w:r>
        <w:rPr>
          <w:sz w:val="24"/>
        </w:rPr>
        <w:pict>
          <v:shape id="_x0000_s3267" o:spid="_x0000_s3267" o:spt="32" type="#_x0000_t32" style="position:absolute;left:0pt;margin-left:356.6pt;margin-top:4pt;height:0pt;width:46.4pt;z-index:251653120;mso-width-relative:page;mso-height-relative:page;" o:connectortype="straight" filled="f" coordsize="21600,21600">
            <v:path arrowok="t"/>
            <v:fill on="f" focussize="0,0"/>
            <v:stroke endarrow="block"/>
            <v:imagedata o:title=""/>
            <o:lock v:ext="edit"/>
          </v:shape>
        </w:pict>
      </w:r>
      <w:r>
        <w:rPr>
          <w:sz w:val="24"/>
        </w:rPr>
        <w:pict>
          <v:shape id="_x0000_s3266" o:spid="_x0000_s3266" o:spt="32" type="#_x0000_t32" style="position:absolute;left:0pt;margin-left:356.55pt;margin-top:4pt;height:45.55pt;width:0.05pt;z-index:251652096;mso-width-relative:page;mso-height-relative:page;" o:connectortype="straight" filled="f" coordsize="21600,21600">
            <v:path arrowok="t"/>
            <v:fill on="f" focussize="0,0"/>
            <v:stroke/>
            <v:imagedata o:title=""/>
            <o:lock v:ext="edit"/>
          </v:shape>
        </w:pict>
      </w:r>
      <w:r>
        <w:rPr>
          <w:sz w:val="24"/>
        </w:rPr>
        <w:pict>
          <v:shape id="_x0000_s3260" o:spid="_x0000_s3260" o:spt="202" type="#_x0000_t202" style="position:absolute;left:0pt;margin-left:244.75pt;margin-top:1pt;height:55.5pt;width:26.25pt;z-index:251645952;mso-width-relative:page;mso-height-relative:page;" filled="f" coordsize="21600,21600">
            <v:path/>
            <v:fill on="f" focussize="0,0"/>
            <v:stroke joinstyle="miter"/>
            <v:imagedata o:title=""/>
            <o:lock v:ext="edit"/>
            <v:textbox>
              <w:txbxContent>
                <w:p>
                  <w:pPr>
                    <w:rPr>
                      <w:szCs w:val="21"/>
                    </w:rPr>
                  </w:pPr>
                  <w:r>
                    <w:rPr>
                      <w:rFonts w:hint="eastAsia"/>
                      <w:szCs w:val="21"/>
                    </w:rPr>
                    <w:t>收集池</w:t>
                  </w:r>
                </w:p>
              </w:txbxContent>
            </v:textbox>
          </v:shape>
        </w:pict>
      </w:r>
    </w:p>
    <w:p>
      <w:pPr>
        <w:spacing w:line="500" w:lineRule="exact"/>
        <w:ind w:firstLine="480" w:firstLineChars="200"/>
        <w:rPr>
          <w:sz w:val="24"/>
        </w:rPr>
      </w:pPr>
      <w:r>
        <w:rPr>
          <w:sz w:val="24"/>
        </w:rPr>
        <w:pict>
          <v:shape id="_x0000_s3262" o:spid="_x0000_s3262" o:spt="32" type="#_x0000_t32" style="position:absolute;left:0pt;margin-left:184.25pt;margin-top:2.1pt;height:0.1pt;width:55.75pt;z-index:251648000;mso-width-relative:page;mso-height-relative:page;" o:connectortype="straight" filled="f" coordsize="21600,21600">
            <v:path arrowok="t"/>
            <v:fill on="f" focussize="0,0"/>
            <v:stroke endarrow="block"/>
            <v:imagedata o:title=""/>
            <o:lock v:ext="edit"/>
          </v:shape>
        </w:pict>
      </w:r>
      <w:r>
        <w:rPr>
          <w:sz w:val="24"/>
        </w:rPr>
        <w:pict>
          <v:shape id="_x0000_s3272" o:spid="_x0000_s3272" o:spt="202" type="#_x0000_t202" style="position:absolute;left:0pt;margin-left:356.6pt;margin-top:22.5pt;height:23.25pt;width:46.4pt;z-index:251658240;mso-width-relative:page;mso-height-relative:page;" filled="f" stroked="f" coordsize="21600,21600">
            <v:path/>
            <v:fill on="f" focussize="0,0"/>
            <v:stroke on="f" joinstyle="miter"/>
            <v:imagedata o:title=""/>
            <o:lock v:ext="edit"/>
            <v:textbox>
              <w:txbxContent>
                <w:p>
                  <w:pPr>
                    <w:jc w:val="center"/>
                    <w:rPr>
                      <w:szCs w:val="21"/>
                    </w:rPr>
                  </w:pPr>
                  <w:r>
                    <w:rPr>
                      <w:rFonts w:hint="eastAsia"/>
                      <w:szCs w:val="21"/>
                    </w:rPr>
                    <w:t>液体</w:t>
                  </w:r>
                </w:p>
              </w:txbxContent>
            </v:textbox>
          </v:shape>
        </w:pict>
      </w:r>
      <w:r>
        <w:rPr>
          <w:sz w:val="24"/>
        </w:rPr>
        <w:pict>
          <v:shape id="_x0000_s3270" o:spid="_x0000_s3270" o:spt="202" type="#_x0000_t202" style="position:absolute;left:0pt;margin-left:403pt;margin-top:14.25pt;height:21pt;width:68.25pt;z-index:251656192;mso-width-relative:page;mso-height-relative:page;" filled="f" coordsize="21600,21600">
            <v:path/>
            <v:fill on="f" focussize="0,0"/>
            <v:stroke joinstyle="miter"/>
            <v:imagedata o:title=""/>
            <o:lock v:ext="edit"/>
            <v:textbox>
              <w:txbxContent>
                <w:p>
                  <w:pPr>
                    <w:jc w:val="center"/>
                    <w:rPr>
                      <w:szCs w:val="21"/>
                    </w:rPr>
                  </w:pPr>
                  <w:r>
                    <w:rPr>
                      <w:rFonts w:hint="eastAsia"/>
                      <w:szCs w:val="21"/>
                    </w:rPr>
                    <w:t>厌氧发酵</w:t>
                  </w:r>
                </w:p>
              </w:txbxContent>
            </v:textbox>
          </v:shape>
        </w:pict>
      </w:r>
      <w:r>
        <w:rPr>
          <w:sz w:val="24"/>
        </w:rPr>
        <w:pict>
          <v:shape id="_x0000_s3269" o:spid="_x0000_s3269" o:spt="32" type="#_x0000_t32" style="position:absolute;left:0pt;margin-left:356.6pt;margin-top:24.55pt;height:0pt;width:46.4pt;z-index:251655168;mso-width-relative:page;mso-height-relative:page;" o:connectortype="straight" filled="f" coordsize="21600,21600">
            <v:path arrowok="t"/>
            <v:fill on="f" focussize="0,0"/>
            <v:stroke endarrow="block"/>
            <v:imagedata o:title=""/>
            <o:lock v:ext="edit"/>
          </v:shape>
        </w:pict>
      </w:r>
      <w:r>
        <w:rPr>
          <w:sz w:val="24"/>
        </w:rPr>
        <w:pict>
          <v:shape id="_x0000_s3265" o:spid="_x0000_s3265" o:spt="32" type="#_x0000_t32" style="position:absolute;left:0pt;margin-left:326.5pt;margin-top:2.2pt;height:0.05pt;width:30pt;z-index:251651072;mso-width-relative:page;mso-height-relative:page;" o:connectortype="straight" filled="f" coordsize="21600,21600">
            <v:path arrowok="t"/>
            <v:fill on="f" focussize="0,0"/>
            <v:stroke endarrow="block"/>
            <v:imagedata o:title=""/>
            <o:lock v:ext="edit"/>
          </v:shape>
        </w:pict>
      </w:r>
      <w:r>
        <w:rPr>
          <w:sz w:val="24"/>
        </w:rPr>
        <w:pict>
          <v:shape id="_x0000_s3263" o:spid="_x0000_s3263" o:spt="32" type="#_x0000_t32" style="position:absolute;left:0pt;margin-left:271pt;margin-top:2.3pt;height:0.05pt;width:30pt;z-index:251649024;mso-width-relative:page;mso-height-relative:page;" o:connectortype="straight" filled="f" coordsize="21600,21600">
            <v:path arrowok="t"/>
            <v:fill on="f" focussize="0,0"/>
            <v:stroke endarrow="block"/>
            <v:imagedata o:title=""/>
            <o:lock v:ext="edit"/>
          </v:shape>
        </w:pict>
      </w:r>
    </w:p>
    <w:p>
      <w:pPr>
        <w:spacing w:line="500" w:lineRule="exact"/>
        <w:ind w:firstLine="480" w:firstLineChars="200"/>
        <w:rPr>
          <w:sz w:val="24"/>
        </w:rPr>
      </w:pPr>
    </w:p>
    <w:p>
      <w:pPr>
        <w:rPr>
          <w:sz w:val="24"/>
        </w:rPr>
      </w:pPr>
    </w:p>
    <w:p>
      <w:pPr>
        <w:tabs>
          <w:tab w:val="left" w:pos="624"/>
        </w:tabs>
        <w:spacing w:line="360" w:lineRule="auto"/>
        <w:jc w:val="center"/>
        <w:rPr>
          <w:b/>
          <w:color w:val="000000"/>
          <w:sz w:val="24"/>
        </w:rPr>
      </w:pPr>
      <w:r>
        <w:rPr>
          <w:b/>
          <w:color w:val="000000"/>
          <w:sz w:val="24"/>
        </w:rPr>
        <w:t>图2.2-2   项目粪污处理工艺流程图</w:t>
      </w:r>
    </w:p>
    <w:p>
      <w:pPr>
        <w:spacing w:line="500" w:lineRule="exact"/>
        <w:ind w:firstLine="480" w:firstLineChars="200"/>
        <w:rPr>
          <w:sz w:val="24"/>
        </w:rPr>
      </w:pPr>
      <w:r>
        <w:rPr>
          <w:sz w:val="24"/>
        </w:rPr>
        <w:t>本项目干湿（固液）分离工段设有收集池，粪尿进入收集池后，再通过无堵浆液泵将猪粪尿抽送至固液分离机，分离后的固态猪粪送至固粪处置区生产有机肥原料；液体进入盖泻湖沼气池进行厌氧发酵。</w:t>
      </w:r>
    </w:p>
    <w:p>
      <w:pPr>
        <w:spacing w:line="500" w:lineRule="exact"/>
        <w:ind w:firstLine="480" w:firstLineChars="200"/>
        <w:rPr>
          <w:sz w:val="24"/>
        </w:rPr>
      </w:pPr>
      <w:r>
        <w:rPr>
          <w:sz w:val="24"/>
        </w:rPr>
        <w:t>盖泻湖沼气池厌氧发酵产生的沼液暂存于沼液暂存池，施肥季节用于农田施肥。厌氧发酵产生的沼渣通过管道送入固粪处置区。固粪处置区地面由上至下分别铺设锰钢网、碎石子，底部为斜坡，进入固粪处置区的沼渣堆放在碎石子地面上，水分在重力作用下经锰钢网和碎石子渗滤到底部斜坡上，由斜坡导流入废水收集管道，再汇集到废水收集池，去盖泻湖沼气池进一步处理（根据建设项目已建成此类工程，沼渣渗滤液在导流的过程中基本蒸发完毕）。</w:t>
      </w:r>
    </w:p>
    <w:p>
      <w:pPr>
        <w:spacing w:line="520" w:lineRule="exact"/>
        <w:ind w:firstLine="480" w:firstLineChars="200"/>
        <w:rPr>
          <w:sz w:val="24"/>
        </w:rPr>
      </w:pPr>
      <w:r>
        <w:rPr>
          <w:sz w:val="24"/>
        </w:rPr>
        <w:t xml:space="preserve">环保部办公厅“关于牧原食品股份有限公司部分养殖场清粪工艺问题的复函”（环办函【2015】425号）明确指出：“牧原食品股份有限公司部分养殖场所采用的清粪工艺不将清水用于圈舍粪尿日常清理，粪尿产生即依靠重力离开猪舍进入储存池，大大减少了粪污产生量，并实现粪尿及时清理；粪污离开储存池即进行干湿分离和无害化并全部实现综合利用，没有混合排出。我部认为该清粪工艺具备干清粪工艺基本特征，符合相关技术规范的要求。” </w:t>
      </w:r>
    </w:p>
    <w:p>
      <w:pPr>
        <w:pStyle w:val="7"/>
        <w:spacing w:before="0" w:after="0" w:line="520" w:lineRule="exact"/>
        <w:rPr>
          <w:sz w:val="24"/>
          <w:szCs w:val="24"/>
        </w:rPr>
      </w:pPr>
      <w:r>
        <w:rPr>
          <w:sz w:val="24"/>
          <w:szCs w:val="24"/>
        </w:rPr>
        <w:t>2.2.3.2 猪舍、粪污池除臭工艺</w:t>
      </w:r>
    </w:p>
    <w:p>
      <w:pPr>
        <w:topLinePunct/>
        <w:spacing w:line="520" w:lineRule="exact"/>
        <w:ind w:firstLine="480" w:firstLineChars="200"/>
        <w:rPr>
          <w:sz w:val="24"/>
        </w:rPr>
      </w:pPr>
      <w:r>
        <w:rPr>
          <w:rFonts w:hint="eastAsia" w:ascii="宋体" w:hAnsi="宋体" w:cs="宋体"/>
          <w:sz w:val="24"/>
        </w:rPr>
        <w:t>①</w:t>
      </w:r>
      <w:r>
        <w:rPr>
          <w:sz w:val="24"/>
        </w:rPr>
        <w:t>项目采用环保部认定的干清粪工艺，项目采用墙体集热板、猪舍内热交换系统、红外灯和喷雾相结合进行猪舍内温度控制，降低舍内有害气体浓度。</w:t>
      </w:r>
    </w:p>
    <w:p>
      <w:pPr>
        <w:topLinePunct/>
        <w:spacing w:line="520" w:lineRule="exact"/>
        <w:ind w:firstLine="480" w:firstLineChars="200"/>
        <w:rPr>
          <w:sz w:val="24"/>
        </w:rPr>
      </w:pPr>
      <w:r>
        <w:rPr>
          <w:rFonts w:hint="eastAsia" w:ascii="宋体" w:hAnsi="宋体" w:cs="宋体"/>
          <w:sz w:val="24"/>
        </w:rPr>
        <w:t>②</w:t>
      </w:r>
      <w:r>
        <w:rPr>
          <w:sz w:val="24"/>
        </w:rPr>
        <w:t>在猪舍设置通风口、鼓风机等换气设备，定期进行通风换气，加快排除有害气体。</w:t>
      </w:r>
    </w:p>
    <w:p>
      <w:pPr>
        <w:topLinePunct/>
        <w:spacing w:line="520" w:lineRule="exact"/>
        <w:ind w:firstLine="480" w:firstLineChars="200"/>
        <w:rPr>
          <w:sz w:val="24"/>
        </w:rPr>
      </w:pPr>
      <w:r>
        <w:rPr>
          <w:rFonts w:hint="eastAsia" w:ascii="宋体" w:hAnsi="宋体" w:cs="宋体"/>
          <w:sz w:val="24"/>
        </w:rPr>
        <w:t>③</w:t>
      </w:r>
      <w:r>
        <w:rPr>
          <w:sz w:val="24"/>
        </w:rPr>
        <w:t>养殖场场区等消毒应采用环境友好的消毒剂和消毒措施，防止产生氯代有机物及其他二次污染物。</w:t>
      </w:r>
    </w:p>
    <w:p>
      <w:pPr>
        <w:topLinePunct/>
        <w:spacing w:line="520" w:lineRule="exact"/>
        <w:ind w:firstLine="480" w:firstLineChars="200"/>
        <w:rPr>
          <w:sz w:val="24"/>
        </w:rPr>
      </w:pPr>
      <w:r>
        <w:rPr>
          <w:rFonts w:hint="eastAsia" w:ascii="宋体" w:hAnsi="宋体" w:cs="宋体"/>
          <w:sz w:val="24"/>
        </w:rPr>
        <w:t>④</w:t>
      </w:r>
      <w:r>
        <w:rPr>
          <w:sz w:val="24"/>
        </w:rPr>
        <w:t>加强场区及场界的绿化，场区绿化以完全消灭裸露地面为原则，选择适宜吸臭植物种类，广种花草树木，场界边缘地带种植双季槐等高大树种形成多层防护林带，以降低恶臭污染的影响程度。</w:t>
      </w:r>
    </w:p>
    <w:p>
      <w:pPr>
        <w:pStyle w:val="98"/>
        <w:spacing w:line="520" w:lineRule="exact"/>
        <w:ind w:firstLine="480"/>
        <w:rPr>
          <w:kern w:val="0"/>
          <w:szCs w:val="20"/>
        </w:rPr>
      </w:pPr>
      <w:r>
        <w:rPr>
          <w:rFonts w:hint="eastAsia" w:ascii="宋体" w:hAnsi="宋体" w:cs="宋体"/>
          <w:kern w:val="0"/>
          <w:szCs w:val="20"/>
        </w:rPr>
        <w:t>⑤</w:t>
      </w:r>
      <w:r>
        <w:rPr>
          <w:kern w:val="0"/>
          <w:szCs w:val="20"/>
        </w:rPr>
        <w:t>对猪舍、收集池、沼液储存池周边、</w:t>
      </w:r>
      <w:r>
        <w:t>固粪处置区</w:t>
      </w:r>
      <w:r>
        <w:rPr>
          <w:kern w:val="0"/>
          <w:szCs w:val="20"/>
        </w:rPr>
        <w:t>喷洒除臭剂。</w:t>
      </w:r>
    </w:p>
    <w:p>
      <w:pPr>
        <w:pStyle w:val="7"/>
        <w:spacing w:before="0" w:after="0" w:line="520" w:lineRule="exact"/>
        <w:rPr>
          <w:sz w:val="24"/>
          <w:szCs w:val="24"/>
        </w:rPr>
      </w:pPr>
      <w:r>
        <w:rPr>
          <w:sz w:val="24"/>
          <w:szCs w:val="24"/>
        </w:rPr>
        <w:t>2.2.3.3 粪污水处理工艺</w:t>
      </w:r>
    </w:p>
    <w:p>
      <w:pPr>
        <w:topLinePunct/>
        <w:spacing w:line="520" w:lineRule="exact"/>
        <w:ind w:firstLine="480" w:firstLineChars="200"/>
        <w:rPr>
          <w:sz w:val="24"/>
        </w:rPr>
      </w:pPr>
      <w:r>
        <w:rPr>
          <w:sz w:val="24"/>
        </w:rPr>
        <w:t>本项目粪污水处理工艺见图2.2-3。</w:t>
      </w:r>
    </w:p>
    <w:p>
      <w:pPr>
        <w:topLinePunct/>
        <w:spacing w:line="520" w:lineRule="exact"/>
        <w:ind w:firstLine="480" w:firstLineChars="200"/>
        <w:rPr>
          <w:sz w:val="24"/>
        </w:rPr>
      </w:pPr>
    </w:p>
    <w:p>
      <w:pPr>
        <w:topLinePunct/>
        <w:spacing w:line="520" w:lineRule="exact"/>
        <w:ind w:firstLine="480" w:firstLineChars="200"/>
        <w:rPr>
          <w:sz w:val="24"/>
        </w:rPr>
      </w:pPr>
    </w:p>
    <w:p>
      <w:pPr>
        <w:topLinePunct/>
        <w:spacing w:line="520" w:lineRule="exact"/>
        <w:ind w:firstLine="480" w:firstLineChars="200"/>
        <w:rPr>
          <w:sz w:val="24"/>
        </w:rPr>
      </w:pPr>
    </w:p>
    <w:p>
      <w:pPr>
        <w:topLinePunct/>
        <w:spacing w:line="520" w:lineRule="exact"/>
        <w:ind w:firstLine="480" w:firstLineChars="200"/>
        <w:rPr>
          <w:sz w:val="24"/>
        </w:rPr>
      </w:pPr>
    </w:p>
    <w:p>
      <w:pPr>
        <w:topLinePunct/>
        <w:spacing w:line="520" w:lineRule="exact"/>
        <w:ind w:firstLine="480" w:firstLineChars="200"/>
        <w:rPr>
          <w:sz w:val="24"/>
        </w:rPr>
      </w:pPr>
    </w:p>
    <w:p>
      <w:pPr>
        <w:pStyle w:val="2"/>
        <w:ind w:firstLine="480"/>
        <w:rPr>
          <w:b/>
          <w:sz w:val="24"/>
        </w:rPr>
      </w:pPr>
      <w:r>
        <w:rPr>
          <w:rFonts w:hint="eastAsia" w:eastAsia="宋体"/>
          <w:b/>
          <w:sz w:val="24"/>
          <w:szCs w:val="24"/>
          <w:lang w:eastAsia="zh-CN"/>
        </w:rPr>
        <w:drawing>
          <wp:anchor distT="0" distB="0" distL="114300" distR="114300" simplePos="0" relativeHeight="253664256" behindDoc="0" locked="0" layoutInCell="1" allowOverlap="1">
            <wp:simplePos x="0" y="0"/>
            <wp:positionH relativeFrom="column">
              <wp:posOffset>393700</wp:posOffset>
            </wp:positionH>
            <wp:positionV relativeFrom="paragraph">
              <wp:posOffset>10160</wp:posOffset>
            </wp:positionV>
            <wp:extent cx="4678680" cy="4220845"/>
            <wp:effectExtent l="0" t="0" r="7620" b="8255"/>
            <wp:wrapNone/>
            <wp:docPr id="35" name="图片 2410" descr="1578279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10" descr="1578279001(1)"/>
                    <pic:cNvPicPr>
                      <a:picLocks noChangeAspect="1"/>
                    </pic:cNvPicPr>
                  </pic:nvPicPr>
                  <pic:blipFill>
                    <a:blip r:embed="rId12"/>
                    <a:stretch>
                      <a:fillRect/>
                    </a:stretch>
                  </pic:blipFill>
                  <pic:spPr>
                    <a:xfrm>
                      <a:off x="0" y="0"/>
                      <a:ext cx="4678680" cy="4220845"/>
                    </a:xfrm>
                    <a:prstGeom prst="rect">
                      <a:avLst/>
                    </a:prstGeom>
                    <a:noFill/>
                    <a:ln>
                      <a:noFill/>
                    </a:ln>
                  </pic:spPr>
                </pic:pic>
              </a:graphicData>
            </a:graphic>
          </wp:anchor>
        </w:drawing>
      </w:r>
      <w:r>
        <w:rPr>
          <w:sz w:val="24"/>
        </w:rPr>
        <w:pict>
          <v:rect id="_x0000_s4398" o:spid="_x0000_s4398" o:spt="1" style="position:absolute;left:0pt;margin-left:259.7pt;margin-top:150.3pt;height:24pt;width:111.4pt;z-index:251752448;mso-width-relative:page;mso-height-relative:page;" coordsize="21600,21600">
            <v:path/>
            <v:fill focussize="0,0"/>
            <v:stroke/>
            <v:imagedata o:title=""/>
            <o:lock v:ext="edit"/>
            <v:textbox>
              <w:txbxContent>
                <w:p>
                  <w:r>
                    <w:rPr>
                      <w:rFonts w:hint="eastAsia"/>
                    </w:rPr>
                    <w:t>猪粪生产有机肥基肥</w:t>
                  </w:r>
                </w:p>
              </w:txbxContent>
            </v:textbox>
          </v:rect>
        </w:pict>
      </w:r>
      <w:r>
        <w:rPr>
          <w:sz w:val="24"/>
        </w:rPr>
        <w:pict>
          <v:rect id="_x0000_s4391" o:spid="_x0000_s4391" o:spt="1" style="position:absolute;left:0pt;margin-left:283.65pt;margin-top:229.3pt;height:24pt;width:73.5pt;z-index:251748352;mso-width-relative:page;mso-height-relative:page;" coordsize="21600,21600">
            <v:path/>
            <v:fill focussize="0,0"/>
            <v:stroke/>
            <v:imagedata o:title=""/>
            <o:lock v:ext="edit"/>
            <v:textbox>
              <w:txbxContent>
                <w:p>
                  <w:r>
                    <w:rPr>
                      <w:rFonts w:hint="eastAsia"/>
                    </w:rPr>
                    <w:t>固粪处理区</w:t>
                  </w:r>
                </w:p>
              </w:txbxContent>
            </v:textbox>
          </v:rect>
        </w:pict>
      </w:r>
    </w:p>
    <w:p>
      <w:pPr>
        <w:topLinePunct/>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pStyle w:val="2"/>
        <w:rPr>
          <w:color w:val="000000"/>
          <w:sz w:val="24"/>
        </w:rPr>
      </w:pPr>
    </w:p>
    <w:p>
      <w:pPr>
        <w:tabs>
          <w:tab w:val="left" w:pos="624"/>
        </w:tabs>
        <w:spacing w:line="360" w:lineRule="auto"/>
        <w:jc w:val="center"/>
        <w:rPr>
          <w:b/>
          <w:color w:val="000000"/>
          <w:sz w:val="24"/>
        </w:rPr>
      </w:pPr>
      <w:r>
        <w:rPr>
          <w:b/>
          <w:color w:val="000000"/>
          <w:sz w:val="24"/>
        </w:rPr>
        <w:t xml:space="preserve">图2.2-3    </w:t>
      </w:r>
      <w:r>
        <w:rPr>
          <w:b/>
          <w:sz w:val="24"/>
        </w:rPr>
        <w:t>污水处理工艺</w:t>
      </w:r>
    </w:p>
    <w:p>
      <w:pPr>
        <w:tabs>
          <w:tab w:val="left" w:pos="624"/>
        </w:tabs>
        <w:spacing w:line="360" w:lineRule="auto"/>
        <w:rPr>
          <w:b/>
          <w:color w:val="000000"/>
          <w:sz w:val="24"/>
        </w:rPr>
      </w:pPr>
      <w:r>
        <w:rPr>
          <w:b/>
          <w:color w:val="000000"/>
          <w:sz w:val="24"/>
        </w:rPr>
        <w:t>工艺简述：</w:t>
      </w:r>
    </w:p>
    <w:p>
      <w:pPr>
        <w:tabs>
          <w:tab w:val="left" w:pos="624"/>
        </w:tabs>
        <w:spacing w:line="520" w:lineRule="exact"/>
        <w:ind w:firstLine="480" w:firstLineChars="200"/>
        <w:rPr>
          <w:color w:val="000000"/>
          <w:sz w:val="24"/>
        </w:rPr>
      </w:pPr>
      <w:r>
        <w:rPr>
          <w:color w:val="000000"/>
          <w:sz w:val="24"/>
        </w:rPr>
        <w:t>在选用粪污处理工艺时，根据养殖场的养殖种类、养殖规模、粪污收集方式、当地的自然地理环境条件、排放去向等因素确定工艺路线及处理目标，本工程设计结合《畜禽养殖业污染治理工程技术规范》（HJ497-2009）中要求对污水进行处理。</w:t>
      </w:r>
    </w:p>
    <w:p>
      <w:pPr>
        <w:tabs>
          <w:tab w:val="left" w:pos="624"/>
        </w:tabs>
        <w:spacing w:line="520" w:lineRule="exact"/>
        <w:ind w:firstLine="480" w:firstLineChars="200"/>
        <w:rPr>
          <w:sz w:val="24"/>
        </w:rPr>
      </w:pPr>
      <w:r>
        <w:rPr>
          <w:color w:val="000000"/>
          <w:sz w:val="24"/>
        </w:rPr>
        <w:t>本项目粪污处理系统的核心技术是“盖泻湖沼气池”，粪便污水经固液分离后进入盖泻湖沼气池，在沼气池内进行厌氧发酵，经厌氧发酵去除了大部分有机物，设计发酵周期为30天，发酵结束后，沼渣进入</w:t>
      </w:r>
      <w:r>
        <w:rPr>
          <w:rFonts w:hint="eastAsia"/>
          <w:color w:val="000000"/>
          <w:sz w:val="24"/>
        </w:rPr>
        <w:t>收集池</w:t>
      </w:r>
      <w:r>
        <w:rPr>
          <w:color w:val="000000"/>
          <w:sz w:val="24"/>
        </w:rPr>
        <w:t>，最终用于制作有机肥基肥打包出厂外售。厌氧发酵产生的沼</w:t>
      </w:r>
      <w:r>
        <w:rPr>
          <w:sz w:val="24"/>
        </w:rPr>
        <w:t>气经净化后，用于伙房灶台，多余用于沼气热水炉。</w:t>
      </w:r>
    </w:p>
    <w:p>
      <w:pPr>
        <w:pStyle w:val="98"/>
        <w:spacing w:line="500" w:lineRule="exact"/>
        <w:ind w:firstLine="480"/>
      </w:pPr>
      <w:r>
        <w:t>黑膜沼气池：容积10243m</w:t>
      </w:r>
      <w:r>
        <w:rPr>
          <w:vertAlign w:val="superscript"/>
        </w:rPr>
        <w:t>3</w:t>
      </w:r>
      <w:r>
        <w:t>，主要处理经固液分离后的粪污水。</w:t>
      </w:r>
    </w:p>
    <w:p>
      <w:pPr>
        <w:pStyle w:val="98"/>
        <w:spacing w:line="500" w:lineRule="exact"/>
        <w:ind w:firstLine="480"/>
      </w:pPr>
      <w:r>
        <w:t>沼液储存池：沼液储存池1个，总容积64006m</w:t>
      </w:r>
      <w:r>
        <w:rPr>
          <w:vertAlign w:val="superscript"/>
        </w:rPr>
        <w:t>3</w:t>
      </w:r>
      <w:r>
        <w:t>，主要用于在非施肥季节期间储存沼液。</w:t>
      </w:r>
    </w:p>
    <w:p>
      <w:pPr>
        <w:pStyle w:val="98"/>
        <w:spacing w:line="500" w:lineRule="exact"/>
        <w:ind w:firstLine="480"/>
        <w:rPr>
          <w:kern w:val="0"/>
        </w:rPr>
      </w:pPr>
      <w:r>
        <w:rPr>
          <w:bCs/>
        </w:rPr>
        <w:t>本项目盖泻湖沼气池采用常温发酵，沼气池主体工程位于地下，塘口、底部用HDPE黑膜密封，采用全封闭结构，沼气池内的温度能保持常温发酵。废水处理产生的沼气经配套净化装置净化后，部分供给职工食堂使用，剩余部分全部供沼气锅炉使用；沼液在非施肥季节储存于沼液储存池，满足《畜禽养殖业污染防治技术规范》（HJ/T 81-2001）相关要求，盖泻湖沼气池结构见图2.2-4。</w:t>
      </w:r>
    </w:p>
    <w:p>
      <w:pPr>
        <w:tabs>
          <w:tab w:val="left" w:pos="624"/>
        </w:tabs>
        <w:spacing w:before="156" w:after="156" w:line="360" w:lineRule="auto"/>
        <w:jc w:val="center"/>
        <w:rPr>
          <w:bCs/>
          <w:color w:val="000000"/>
          <w:sz w:val="24"/>
        </w:rPr>
      </w:pPr>
      <w:r>
        <w:rPr>
          <w:bCs/>
        </w:rPr>
        <w:drawing>
          <wp:inline distT="0" distB="0" distL="0" distR="0">
            <wp:extent cx="5210175" cy="2476500"/>
            <wp:effectExtent l="19050" t="0" r="9525" b="0"/>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noChangeArrowheads="1"/>
                    </pic:cNvPicPr>
                  </pic:nvPicPr>
                  <pic:blipFill>
                    <a:blip r:embed="rId13" cstate="print"/>
                    <a:srcRect/>
                    <a:stretch>
                      <a:fillRect/>
                    </a:stretch>
                  </pic:blipFill>
                  <pic:spPr>
                    <a:xfrm>
                      <a:off x="0" y="0"/>
                      <a:ext cx="5210175" cy="2476500"/>
                    </a:xfrm>
                    <a:prstGeom prst="rect">
                      <a:avLst/>
                    </a:prstGeom>
                    <a:noFill/>
                    <a:ln w="9525">
                      <a:noFill/>
                      <a:miter lim="800000"/>
                      <a:headEnd/>
                      <a:tailEnd/>
                    </a:ln>
                  </pic:spPr>
                </pic:pic>
              </a:graphicData>
            </a:graphic>
          </wp:inline>
        </w:drawing>
      </w:r>
    </w:p>
    <w:p>
      <w:pPr>
        <w:adjustRightInd w:val="0"/>
        <w:snapToGrid w:val="0"/>
        <w:spacing w:before="156" w:after="156" w:line="520" w:lineRule="exact"/>
        <w:ind w:firstLine="2771" w:firstLineChars="1150"/>
        <w:rPr>
          <w:rFonts w:eastAsia="黑体"/>
          <w:b/>
          <w:bCs/>
          <w:sz w:val="24"/>
        </w:rPr>
      </w:pPr>
      <w:r>
        <w:rPr>
          <w:rFonts w:eastAsia="黑体"/>
          <w:b/>
          <w:bCs/>
          <w:sz w:val="24"/>
        </w:rPr>
        <w:t>图2.2-4盖泻湖沼气池结构示意图</w:t>
      </w:r>
    </w:p>
    <w:p>
      <w:pPr>
        <w:pStyle w:val="7"/>
        <w:spacing w:before="0" w:after="0" w:line="520" w:lineRule="exact"/>
        <w:rPr>
          <w:sz w:val="24"/>
          <w:szCs w:val="24"/>
        </w:rPr>
      </w:pPr>
      <w:r>
        <w:rPr>
          <w:sz w:val="24"/>
          <w:szCs w:val="24"/>
        </w:rPr>
        <w:t>2.2.3.4沼气利用工程</w:t>
      </w:r>
    </w:p>
    <w:p>
      <w:pPr>
        <w:autoSpaceDE w:val="0"/>
        <w:autoSpaceDN w:val="0"/>
        <w:adjustRightInd w:val="0"/>
        <w:snapToGrid w:val="0"/>
        <w:spacing w:line="520" w:lineRule="exact"/>
        <w:ind w:firstLine="480" w:firstLineChars="200"/>
        <w:rPr>
          <w:color w:val="FF0000"/>
          <w:sz w:val="24"/>
        </w:rPr>
      </w:pPr>
      <w:r>
        <w:rPr>
          <w:sz w:val="24"/>
        </w:rPr>
        <w:t>根据《畜禽养殖业污染防治技术政策》（环发[2010]151号）中有关内容，厌氧发酵产生的沼气应进行收集，并根据利用途径进行脱水、脱硫等净化处理。沼气宜作为燃料直接利用。根据牧原实际运营经验，每去除1kgCOD可产生0.25m</w:t>
      </w:r>
      <w:r>
        <w:rPr>
          <w:sz w:val="24"/>
          <w:vertAlign w:val="superscript"/>
        </w:rPr>
        <w:t>3</w:t>
      </w:r>
      <w:r>
        <w:rPr>
          <w:sz w:val="24"/>
        </w:rPr>
        <w:t>沼气进行计算，本项目夏季沼气产生量为</w:t>
      </w:r>
      <w:r>
        <w:rPr>
          <w:rFonts w:hint="eastAsia"/>
          <w:sz w:val="24"/>
        </w:rPr>
        <w:t>284</w:t>
      </w:r>
      <w:r>
        <w:rPr>
          <w:sz w:val="24"/>
        </w:rPr>
        <w:t>m</w:t>
      </w:r>
      <w:r>
        <w:rPr>
          <w:sz w:val="24"/>
          <w:vertAlign w:val="superscript"/>
        </w:rPr>
        <w:t>3</w:t>
      </w:r>
      <w:r>
        <w:rPr>
          <w:sz w:val="24"/>
        </w:rPr>
        <w:t>/d、其他季节沼气产生量为</w:t>
      </w:r>
      <w:r>
        <w:rPr>
          <w:rFonts w:hint="eastAsia"/>
          <w:sz w:val="24"/>
        </w:rPr>
        <w:t>190</w:t>
      </w:r>
      <w:r>
        <w:rPr>
          <w:sz w:val="24"/>
        </w:rPr>
        <w:t>m</w:t>
      </w:r>
      <w:r>
        <w:rPr>
          <w:sz w:val="24"/>
          <w:vertAlign w:val="superscript"/>
        </w:rPr>
        <w:t>3</w:t>
      </w:r>
      <w:r>
        <w:rPr>
          <w:sz w:val="24"/>
        </w:rPr>
        <w:t>/d。</w:t>
      </w:r>
    </w:p>
    <w:p>
      <w:pPr>
        <w:spacing w:line="500" w:lineRule="exact"/>
        <w:ind w:firstLine="480" w:firstLineChars="200"/>
        <w:rPr>
          <w:sz w:val="24"/>
        </w:rPr>
      </w:pPr>
      <w:r>
        <w:rPr>
          <w:sz w:val="24"/>
        </w:rPr>
        <w:t>沼气在使用前需要进行脱硫处理，沼气利用前所采取的措施如图2.2-5。</w:t>
      </w:r>
    </w:p>
    <w:p>
      <w:pPr>
        <w:spacing w:line="500" w:lineRule="exact"/>
        <w:ind w:firstLine="480" w:firstLineChars="200"/>
        <w:rPr>
          <w:color w:val="FF0000"/>
          <w:sz w:val="24"/>
        </w:rPr>
      </w:pPr>
      <w:r>
        <w:rPr>
          <w:color w:val="FF0000"/>
          <w:sz w:val="24"/>
        </w:rPr>
        <w:drawing>
          <wp:anchor distT="0" distB="0" distL="114300" distR="114300" simplePos="0" relativeHeight="251716608" behindDoc="0" locked="0" layoutInCell="1" allowOverlap="1">
            <wp:simplePos x="0" y="0"/>
            <wp:positionH relativeFrom="column">
              <wp:posOffset>30480</wp:posOffset>
            </wp:positionH>
            <wp:positionV relativeFrom="paragraph">
              <wp:posOffset>28575</wp:posOffset>
            </wp:positionV>
            <wp:extent cx="5353050" cy="1009650"/>
            <wp:effectExtent l="19050" t="0" r="0" b="0"/>
            <wp:wrapNone/>
            <wp:docPr id="21" name="图片 4" descr="C:\Users\wl\AppData\Local\Temp\15446654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C:\Users\wl\AppData\Local\Temp\1544665497(1).png"/>
                    <pic:cNvPicPr>
                      <a:picLocks noChangeAspect="1" noChangeArrowheads="1"/>
                    </pic:cNvPicPr>
                  </pic:nvPicPr>
                  <pic:blipFill>
                    <a:blip r:embed="rId14" cstate="print"/>
                    <a:srcRect/>
                    <a:stretch>
                      <a:fillRect/>
                    </a:stretch>
                  </pic:blipFill>
                  <pic:spPr>
                    <a:xfrm>
                      <a:off x="0" y="0"/>
                      <a:ext cx="5353050" cy="1009650"/>
                    </a:xfrm>
                    <a:prstGeom prst="rect">
                      <a:avLst/>
                    </a:prstGeom>
                    <a:noFill/>
                    <a:ln w="9525">
                      <a:noFill/>
                      <a:miter lim="800000"/>
                      <a:headEnd/>
                      <a:tailEnd/>
                    </a:ln>
                  </pic:spPr>
                </pic:pic>
              </a:graphicData>
            </a:graphic>
          </wp:anchor>
        </w:drawing>
      </w:r>
    </w:p>
    <w:p>
      <w:pPr>
        <w:spacing w:line="500" w:lineRule="exact"/>
        <w:ind w:firstLine="120" w:firstLineChars="50"/>
        <w:jc w:val="center"/>
        <w:rPr>
          <w:b/>
          <w:sz w:val="24"/>
        </w:rPr>
      </w:pPr>
    </w:p>
    <w:p>
      <w:pPr>
        <w:spacing w:line="500" w:lineRule="exact"/>
        <w:ind w:firstLine="120" w:firstLineChars="50"/>
        <w:jc w:val="center"/>
        <w:rPr>
          <w:b/>
          <w:sz w:val="24"/>
        </w:rPr>
      </w:pPr>
    </w:p>
    <w:p>
      <w:pPr>
        <w:spacing w:line="500" w:lineRule="exact"/>
        <w:ind w:firstLine="120" w:firstLineChars="50"/>
        <w:jc w:val="center"/>
        <w:rPr>
          <w:b/>
          <w:sz w:val="24"/>
        </w:rPr>
      </w:pPr>
      <w:r>
        <w:rPr>
          <w:b/>
          <w:sz w:val="24"/>
        </w:rPr>
        <w:t>图2.2-5沼气利用流程及产污环节图</w:t>
      </w:r>
    </w:p>
    <w:p>
      <w:pPr>
        <w:widowControl/>
        <w:spacing w:line="520" w:lineRule="exact"/>
        <w:ind w:firstLine="480" w:firstLineChars="200"/>
        <w:rPr>
          <w:sz w:val="24"/>
        </w:rPr>
      </w:pPr>
      <w:r>
        <w:rPr>
          <w:sz w:val="24"/>
        </w:rPr>
        <w:t>沼气从盖泻湖沼气池流入管道，首先经过冷凝水去除罐和脱硫装置，其目的是净化沼气。净化后的沼气直接进入后续沼气利用系统。</w:t>
      </w:r>
    </w:p>
    <w:p>
      <w:pPr>
        <w:widowControl/>
        <w:spacing w:line="520" w:lineRule="exact"/>
        <w:ind w:firstLine="480" w:firstLineChars="200"/>
        <w:jc w:val="left"/>
        <w:rPr>
          <w:sz w:val="24"/>
        </w:rPr>
      </w:pPr>
      <w:r>
        <w:rPr>
          <w:sz w:val="24"/>
        </w:rPr>
        <w:t>（1）脱水器（气水分离器）</w:t>
      </w:r>
    </w:p>
    <w:p>
      <w:pPr>
        <w:spacing w:line="500" w:lineRule="exact"/>
        <w:ind w:firstLine="600" w:firstLineChars="250"/>
        <w:rPr>
          <w:color w:val="000000"/>
          <w:sz w:val="24"/>
        </w:rPr>
      </w:pPr>
      <w:r>
        <w:rPr>
          <w:sz w:val="24"/>
        </w:rPr>
        <w:t>沼气是高湿度气体，</w:t>
      </w:r>
      <w:r>
        <w:rPr>
          <w:color w:val="000000"/>
          <w:sz w:val="24"/>
        </w:rPr>
        <w:t>脱水是因为导气管中积累了水会溶解硫化氢腐蚀管道，此外当沼气被加压储存时，沼气中的水会凝结冻坏储气罐。发酵装置出来的沼气中所含的水分形式是饱和水蒸气，一般采用冷分离法将其除去。通过调整压力引起混合气体温度发生变化，使水蒸气从气态冷凝为液态的水后，将其从沼气中脱除。</w:t>
      </w:r>
    </w:p>
    <w:p>
      <w:pPr>
        <w:spacing w:line="500" w:lineRule="exact"/>
        <w:ind w:firstLine="480" w:firstLineChars="200"/>
        <w:rPr>
          <w:color w:val="000000"/>
          <w:sz w:val="24"/>
        </w:rPr>
      </w:pPr>
      <w:r>
        <w:rPr>
          <w:color w:val="000000"/>
          <w:sz w:val="24"/>
        </w:rPr>
        <w:t xml:space="preserve"> 在沼气输送过程中，还有一部分水要析出。为了避免析出的水分腐蚀或堵塞管道，常在管路的最低处安装集水器或者放水阀门，定期排出集水器中的水。</w:t>
      </w:r>
    </w:p>
    <w:p>
      <w:pPr>
        <w:spacing w:line="520" w:lineRule="exact"/>
        <w:ind w:firstLine="480" w:firstLineChars="200"/>
        <w:rPr>
          <w:sz w:val="24"/>
        </w:rPr>
      </w:pPr>
      <w:r>
        <w:rPr>
          <w:sz w:val="24"/>
        </w:rPr>
        <w:t>（2）脱硫（硫化氢的去除）</w:t>
      </w:r>
    </w:p>
    <w:p>
      <w:pPr>
        <w:spacing w:line="520" w:lineRule="exact"/>
        <w:ind w:firstLine="480" w:firstLineChars="200"/>
        <w:rPr>
          <w:color w:val="000000"/>
          <w:sz w:val="24"/>
        </w:rPr>
      </w:pPr>
      <w:r>
        <w:rPr>
          <w:color w:val="000000"/>
          <w:sz w:val="24"/>
        </w:rPr>
        <w:t>本工程采用干法脱硫，脱硫剂主要成分为硫化铁。干法脱硫是在圆柱状脱硫装置内装填一定高度的脱硫剂，主要成分为氧化铁，沼气自下而上通过脱硫剂，H</w:t>
      </w:r>
      <w:r>
        <w:rPr>
          <w:color w:val="000000"/>
          <w:sz w:val="24"/>
          <w:vertAlign w:val="subscript"/>
        </w:rPr>
        <w:t>2</w:t>
      </w:r>
      <w:r>
        <w:rPr>
          <w:color w:val="000000"/>
          <w:sz w:val="24"/>
        </w:rPr>
        <w:t>S被去除，实现脱硫过程。一般干法脱硫常用的脱硫剂为氧化铁，其粒状为圆柱状。氧化铁干法脱硫的原理分为氧化反应和还原再生反应两部分，具体如下：</w:t>
      </w:r>
    </w:p>
    <w:p>
      <w:pPr>
        <w:spacing w:line="520" w:lineRule="exact"/>
        <w:ind w:firstLine="480" w:firstLineChars="200"/>
        <w:jc w:val="center"/>
        <w:rPr>
          <w:color w:val="000000"/>
          <w:sz w:val="24"/>
        </w:rPr>
      </w:pPr>
      <w:r>
        <w:rPr>
          <w:color w:val="000000"/>
          <w:sz w:val="24"/>
        </w:rPr>
        <w:t>Fe</w:t>
      </w:r>
      <w:r>
        <w:rPr>
          <w:color w:val="000000"/>
          <w:sz w:val="24"/>
          <w:vertAlign w:val="subscript"/>
        </w:rPr>
        <w:t>2</w:t>
      </w:r>
      <w:r>
        <w:rPr>
          <w:color w:val="000000"/>
          <w:sz w:val="24"/>
        </w:rPr>
        <w:t>O</w:t>
      </w:r>
      <w:r>
        <w:rPr>
          <w:color w:val="000000"/>
          <w:sz w:val="24"/>
          <w:vertAlign w:val="subscript"/>
        </w:rPr>
        <w:t>3</w:t>
      </w:r>
      <w:r>
        <w:rPr>
          <w:color w:val="000000"/>
          <w:sz w:val="24"/>
        </w:rPr>
        <w:t>·H</w:t>
      </w:r>
      <w:r>
        <w:rPr>
          <w:color w:val="000000"/>
          <w:sz w:val="24"/>
          <w:vertAlign w:val="subscript"/>
        </w:rPr>
        <w:t>2</w:t>
      </w:r>
      <w:r>
        <w:rPr>
          <w:color w:val="000000"/>
          <w:sz w:val="24"/>
        </w:rPr>
        <w:t>O+3H</w:t>
      </w:r>
      <w:r>
        <w:rPr>
          <w:color w:val="000000"/>
          <w:sz w:val="24"/>
          <w:vertAlign w:val="subscript"/>
        </w:rPr>
        <w:t>2</w:t>
      </w:r>
      <w:r>
        <w:rPr>
          <w:color w:val="000000"/>
          <w:sz w:val="24"/>
        </w:rPr>
        <w:t>S=Fe</w:t>
      </w:r>
      <w:r>
        <w:rPr>
          <w:color w:val="000000"/>
          <w:sz w:val="24"/>
          <w:vertAlign w:val="subscript"/>
        </w:rPr>
        <w:t>2</w:t>
      </w:r>
      <w:r>
        <w:rPr>
          <w:color w:val="000000"/>
          <w:sz w:val="24"/>
        </w:rPr>
        <w:t>S</w:t>
      </w:r>
      <w:r>
        <w:rPr>
          <w:color w:val="000000"/>
          <w:sz w:val="24"/>
          <w:vertAlign w:val="subscript"/>
        </w:rPr>
        <w:t>3</w:t>
      </w:r>
      <w:r>
        <w:rPr>
          <w:color w:val="000000"/>
          <w:sz w:val="24"/>
        </w:rPr>
        <w:t>·H</w:t>
      </w:r>
      <w:r>
        <w:rPr>
          <w:color w:val="000000"/>
          <w:sz w:val="24"/>
          <w:vertAlign w:val="subscript"/>
        </w:rPr>
        <w:t>2</w:t>
      </w:r>
      <w:r>
        <w:rPr>
          <w:color w:val="000000"/>
          <w:sz w:val="24"/>
        </w:rPr>
        <w:t>O+3H</w:t>
      </w:r>
      <w:r>
        <w:rPr>
          <w:color w:val="000000"/>
          <w:sz w:val="24"/>
          <w:vertAlign w:val="subscript"/>
        </w:rPr>
        <w:t>2</w:t>
      </w:r>
      <w:r>
        <w:rPr>
          <w:color w:val="000000"/>
          <w:sz w:val="24"/>
        </w:rPr>
        <w:t>O</w:t>
      </w:r>
    </w:p>
    <w:p>
      <w:pPr>
        <w:widowControl/>
        <w:spacing w:line="520" w:lineRule="exact"/>
        <w:ind w:firstLine="480" w:firstLineChars="200"/>
        <w:jc w:val="left"/>
        <w:rPr>
          <w:color w:val="000000"/>
          <w:sz w:val="24"/>
        </w:rPr>
      </w:pPr>
      <w:r>
        <w:rPr>
          <w:color w:val="000000"/>
          <w:sz w:val="24"/>
        </w:rPr>
        <w:t>由上面的反应方程式可以看出，Fe</w:t>
      </w:r>
      <w:r>
        <w:rPr>
          <w:color w:val="000000"/>
          <w:sz w:val="24"/>
          <w:vertAlign w:val="subscript"/>
        </w:rPr>
        <w:t>2</w:t>
      </w:r>
      <w:r>
        <w:rPr>
          <w:color w:val="000000"/>
          <w:sz w:val="24"/>
        </w:rPr>
        <w:t>O</w:t>
      </w:r>
      <w:r>
        <w:rPr>
          <w:color w:val="000000"/>
          <w:sz w:val="24"/>
          <w:vertAlign w:val="subscript"/>
        </w:rPr>
        <w:t>3</w:t>
      </w:r>
      <w:r>
        <w:rPr>
          <w:color w:val="000000"/>
          <w:sz w:val="24"/>
        </w:rPr>
        <w:t>吸收H</w:t>
      </w:r>
      <w:r>
        <w:rPr>
          <w:color w:val="000000"/>
          <w:sz w:val="24"/>
          <w:vertAlign w:val="subscript"/>
        </w:rPr>
        <w:t>2</w:t>
      </w:r>
      <w:r>
        <w:rPr>
          <w:color w:val="000000"/>
          <w:sz w:val="24"/>
        </w:rPr>
        <w:t>S变成Fe</w:t>
      </w:r>
      <w:r>
        <w:rPr>
          <w:color w:val="000000"/>
          <w:sz w:val="24"/>
          <w:vertAlign w:val="subscript"/>
        </w:rPr>
        <w:t>2</w:t>
      </w:r>
      <w:r>
        <w:rPr>
          <w:color w:val="000000"/>
          <w:sz w:val="24"/>
        </w:rPr>
        <w:t>S</w:t>
      </w:r>
      <w:r>
        <w:rPr>
          <w:color w:val="000000"/>
          <w:sz w:val="24"/>
          <w:vertAlign w:val="subscript"/>
        </w:rPr>
        <w:t>3</w:t>
      </w:r>
      <w:r>
        <w:rPr>
          <w:color w:val="000000"/>
          <w:sz w:val="24"/>
        </w:rPr>
        <w:t>，随着沼气的不断产生，氧化铁吸收H</w:t>
      </w:r>
      <w:r>
        <w:rPr>
          <w:color w:val="000000"/>
          <w:sz w:val="24"/>
          <w:vertAlign w:val="subscript"/>
        </w:rPr>
        <w:t>2</w:t>
      </w:r>
      <w:r>
        <w:rPr>
          <w:color w:val="000000"/>
          <w:sz w:val="24"/>
        </w:rPr>
        <w:t>S，当吸收H</w:t>
      </w:r>
      <w:r>
        <w:rPr>
          <w:color w:val="000000"/>
          <w:sz w:val="24"/>
          <w:vertAlign w:val="subscript"/>
        </w:rPr>
        <w:t>2</w:t>
      </w:r>
      <w:r>
        <w:rPr>
          <w:color w:val="000000"/>
          <w:sz w:val="24"/>
        </w:rPr>
        <w:t>S达到一定的量，H</w:t>
      </w:r>
      <w:r>
        <w:rPr>
          <w:color w:val="000000"/>
          <w:sz w:val="24"/>
          <w:vertAlign w:val="subscript"/>
        </w:rPr>
        <w:t>2</w:t>
      </w:r>
      <w:r>
        <w:rPr>
          <w:color w:val="000000"/>
          <w:sz w:val="24"/>
        </w:rPr>
        <w:t>S的去除率将大大降低，直至失效。Fe</w:t>
      </w:r>
      <w:r>
        <w:rPr>
          <w:color w:val="000000"/>
          <w:sz w:val="24"/>
          <w:vertAlign w:val="subscript"/>
        </w:rPr>
        <w:t>2</w:t>
      </w:r>
      <w:r>
        <w:rPr>
          <w:color w:val="000000"/>
          <w:sz w:val="24"/>
        </w:rPr>
        <w:t>S</w:t>
      </w:r>
      <w:r>
        <w:rPr>
          <w:color w:val="000000"/>
          <w:sz w:val="24"/>
          <w:vertAlign w:val="subscript"/>
        </w:rPr>
        <w:t>3</w:t>
      </w:r>
      <w:r>
        <w:rPr>
          <w:color w:val="000000"/>
          <w:sz w:val="24"/>
        </w:rPr>
        <w:t>是可以还原再生的，与O</w:t>
      </w:r>
      <w:r>
        <w:rPr>
          <w:color w:val="000000"/>
          <w:sz w:val="24"/>
          <w:vertAlign w:val="subscript"/>
        </w:rPr>
        <w:t>2</w:t>
      </w:r>
      <w:r>
        <w:rPr>
          <w:color w:val="000000"/>
          <w:sz w:val="24"/>
        </w:rPr>
        <w:t>和H</w:t>
      </w:r>
      <w:r>
        <w:rPr>
          <w:color w:val="000000"/>
          <w:sz w:val="24"/>
          <w:vertAlign w:val="subscript"/>
        </w:rPr>
        <w:t>2</w:t>
      </w:r>
      <w:r>
        <w:rPr>
          <w:color w:val="000000"/>
          <w:sz w:val="24"/>
        </w:rPr>
        <w:t>O发生化学反应可还原为Fe</w:t>
      </w:r>
      <w:r>
        <w:rPr>
          <w:color w:val="000000"/>
          <w:sz w:val="24"/>
          <w:vertAlign w:val="subscript"/>
        </w:rPr>
        <w:t>2</w:t>
      </w:r>
      <w:r>
        <w:rPr>
          <w:color w:val="000000"/>
          <w:sz w:val="24"/>
        </w:rPr>
        <w:t>O</w:t>
      </w:r>
      <w:r>
        <w:rPr>
          <w:color w:val="000000"/>
          <w:sz w:val="24"/>
          <w:vertAlign w:val="subscript"/>
        </w:rPr>
        <w:t>3</w:t>
      </w:r>
      <w:r>
        <w:rPr>
          <w:color w:val="000000"/>
          <w:sz w:val="24"/>
        </w:rPr>
        <w:t>，原理如下：</w:t>
      </w:r>
    </w:p>
    <w:p>
      <w:pPr>
        <w:widowControl/>
        <w:spacing w:line="520" w:lineRule="exact"/>
        <w:ind w:firstLine="480" w:firstLineChars="200"/>
        <w:jc w:val="center"/>
        <w:rPr>
          <w:color w:val="000000"/>
          <w:sz w:val="24"/>
        </w:rPr>
      </w:pPr>
      <w:r>
        <w:rPr>
          <w:color w:val="000000"/>
          <w:sz w:val="24"/>
        </w:rPr>
        <w:t>2Fe</w:t>
      </w:r>
      <w:r>
        <w:rPr>
          <w:color w:val="000000"/>
          <w:sz w:val="24"/>
          <w:vertAlign w:val="subscript"/>
        </w:rPr>
        <w:t>2</w:t>
      </w:r>
      <w:r>
        <w:rPr>
          <w:color w:val="000000"/>
          <w:sz w:val="24"/>
        </w:rPr>
        <w:t>O</w:t>
      </w:r>
      <w:r>
        <w:rPr>
          <w:color w:val="000000"/>
          <w:sz w:val="24"/>
          <w:vertAlign w:val="subscript"/>
        </w:rPr>
        <w:t>3</w:t>
      </w:r>
      <w:r>
        <w:rPr>
          <w:color w:val="000000"/>
          <w:sz w:val="24"/>
        </w:rPr>
        <w:t>·H</w:t>
      </w:r>
      <w:r>
        <w:rPr>
          <w:color w:val="000000"/>
          <w:sz w:val="24"/>
          <w:vertAlign w:val="subscript"/>
        </w:rPr>
        <w:t>2</w:t>
      </w:r>
      <w:r>
        <w:rPr>
          <w:color w:val="000000"/>
          <w:sz w:val="24"/>
        </w:rPr>
        <w:t>O+3O</w:t>
      </w:r>
      <w:r>
        <w:rPr>
          <w:color w:val="000000"/>
          <w:sz w:val="24"/>
          <w:vertAlign w:val="subscript"/>
        </w:rPr>
        <w:t>2</w:t>
      </w:r>
      <w:r>
        <w:rPr>
          <w:color w:val="000000"/>
          <w:sz w:val="24"/>
        </w:rPr>
        <w:t>＝2Fe</w:t>
      </w:r>
      <w:r>
        <w:rPr>
          <w:color w:val="000000"/>
          <w:sz w:val="24"/>
          <w:vertAlign w:val="subscript"/>
        </w:rPr>
        <w:t>2</w:t>
      </w:r>
      <w:r>
        <w:rPr>
          <w:color w:val="000000"/>
          <w:sz w:val="24"/>
        </w:rPr>
        <w:t>O</w:t>
      </w:r>
      <w:r>
        <w:rPr>
          <w:color w:val="000000"/>
          <w:sz w:val="24"/>
          <w:vertAlign w:val="subscript"/>
        </w:rPr>
        <w:t>3</w:t>
      </w:r>
      <w:r>
        <w:rPr>
          <w:color w:val="000000"/>
          <w:sz w:val="24"/>
        </w:rPr>
        <w:t>·H</w:t>
      </w:r>
      <w:r>
        <w:rPr>
          <w:color w:val="000000"/>
          <w:sz w:val="24"/>
          <w:vertAlign w:val="subscript"/>
        </w:rPr>
        <w:t>2</w:t>
      </w:r>
      <w:r>
        <w:rPr>
          <w:color w:val="000000"/>
          <w:sz w:val="24"/>
        </w:rPr>
        <w:t>O+6S</w:t>
      </w:r>
    </w:p>
    <w:p>
      <w:pPr>
        <w:widowControl/>
        <w:spacing w:line="520" w:lineRule="exact"/>
        <w:ind w:firstLine="480" w:firstLineChars="200"/>
        <w:jc w:val="left"/>
        <w:rPr>
          <w:color w:val="000000"/>
          <w:sz w:val="24"/>
        </w:rPr>
      </w:pPr>
      <w:r>
        <w:rPr>
          <w:color w:val="000000"/>
          <w:sz w:val="24"/>
        </w:rPr>
        <w:t>综合以上两反应式，</w:t>
      </w:r>
      <w:bookmarkStart w:id="114" w:name="baidusnap0"/>
      <w:bookmarkEnd w:id="114"/>
      <w:r>
        <w:rPr>
          <w:color w:val="000000"/>
          <w:sz w:val="24"/>
        </w:rPr>
        <w:t>沼气脱硫反应式如下：</w:t>
      </w:r>
    </w:p>
    <w:p>
      <w:pPr>
        <w:widowControl/>
        <w:spacing w:line="520" w:lineRule="exact"/>
        <w:ind w:firstLine="480" w:firstLineChars="200"/>
        <w:jc w:val="center"/>
        <w:rPr>
          <w:color w:val="000000"/>
          <w:sz w:val="24"/>
        </w:rPr>
      </w:pPr>
      <w:r>
        <w:rPr>
          <w:color w:val="000000"/>
          <w:sz w:val="24"/>
        </w:rPr>
        <w:t>H</w:t>
      </w:r>
      <w:r>
        <w:rPr>
          <w:color w:val="000000"/>
          <w:sz w:val="24"/>
          <w:vertAlign w:val="subscript"/>
        </w:rPr>
        <w:t>2</w:t>
      </w:r>
      <w:r>
        <w:rPr>
          <w:color w:val="000000"/>
          <w:sz w:val="24"/>
        </w:rPr>
        <w:t>S+1/2O</w:t>
      </w:r>
      <w:r>
        <w:rPr>
          <w:color w:val="000000"/>
          <w:sz w:val="24"/>
          <w:vertAlign w:val="subscript"/>
        </w:rPr>
        <w:t>2</w:t>
      </w:r>
      <w:r>
        <w:rPr>
          <w:color w:val="000000"/>
          <w:sz w:val="24"/>
        </w:rPr>
        <w:t>＝S+H</w:t>
      </w:r>
      <w:r>
        <w:rPr>
          <w:color w:val="000000"/>
          <w:sz w:val="24"/>
          <w:vertAlign w:val="subscript"/>
        </w:rPr>
        <w:t>2</w:t>
      </w:r>
      <w:r>
        <w:rPr>
          <w:color w:val="000000"/>
          <w:sz w:val="24"/>
        </w:rPr>
        <w:t>O（反应条件是Fe</w:t>
      </w:r>
      <w:r>
        <w:rPr>
          <w:color w:val="000000"/>
          <w:sz w:val="24"/>
          <w:vertAlign w:val="subscript"/>
        </w:rPr>
        <w:t>2</w:t>
      </w:r>
      <w:r>
        <w:rPr>
          <w:color w:val="000000"/>
          <w:sz w:val="24"/>
        </w:rPr>
        <w:t>O</w:t>
      </w:r>
      <w:r>
        <w:rPr>
          <w:color w:val="000000"/>
          <w:sz w:val="24"/>
          <w:vertAlign w:val="subscript"/>
        </w:rPr>
        <w:t>3</w:t>
      </w:r>
      <w:r>
        <w:rPr>
          <w:color w:val="000000"/>
          <w:sz w:val="24"/>
        </w:rPr>
        <w:t>·H</w:t>
      </w:r>
      <w:r>
        <w:rPr>
          <w:color w:val="000000"/>
          <w:sz w:val="24"/>
          <w:vertAlign w:val="subscript"/>
        </w:rPr>
        <w:t>2</w:t>
      </w:r>
      <w:r>
        <w:rPr>
          <w:color w:val="000000"/>
          <w:sz w:val="24"/>
        </w:rPr>
        <w:t>O）</w:t>
      </w:r>
    </w:p>
    <w:p>
      <w:pPr>
        <w:widowControl/>
        <w:spacing w:line="520" w:lineRule="exact"/>
        <w:ind w:firstLine="480" w:firstLineChars="200"/>
        <w:jc w:val="left"/>
        <w:rPr>
          <w:color w:val="000000"/>
          <w:sz w:val="24"/>
        </w:rPr>
      </w:pPr>
      <w:r>
        <w:rPr>
          <w:color w:val="000000"/>
          <w:sz w:val="24"/>
        </w:rPr>
        <w:t>由以上化学反应方程式可以看出，Fe</w:t>
      </w:r>
      <w:r>
        <w:rPr>
          <w:color w:val="000000"/>
          <w:sz w:val="24"/>
          <w:vertAlign w:val="subscript"/>
        </w:rPr>
        <w:t>2</w:t>
      </w:r>
      <w:r>
        <w:rPr>
          <w:color w:val="000000"/>
          <w:sz w:val="24"/>
        </w:rPr>
        <w:t>O</w:t>
      </w:r>
      <w:r>
        <w:rPr>
          <w:color w:val="000000"/>
          <w:sz w:val="24"/>
          <w:vertAlign w:val="subscript"/>
        </w:rPr>
        <w:t>3</w:t>
      </w:r>
      <w:r>
        <w:rPr>
          <w:color w:val="000000"/>
          <w:sz w:val="24"/>
        </w:rPr>
        <w:t>吸收H</w:t>
      </w:r>
      <w:r>
        <w:rPr>
          <w:color w:val="000000"/>
          <w:sz w:val="24"/>
          <w:vertAlign w:val="subscript"/>
        </w:rPr>
        <w:t>2</w:t>
      </w:r>
      <w:r>
        <w:rPr>
          <w:color w:val="000000"/>
          <w:sz w:val="24"/>
        </w:rPr>
        <w:t>S变成Fe</w:t>
      </w:r>
      <w:r>
        <w:rPr>
          <w:color w:val="000000"/>
          <w:sz w:val="24"/>
          <w:vertAlign w:val="subscript"/>
        </w:rPr>
        <w:t>2</w:t>
      </w:r>
      <w:r>
        <w:rPr>
          <w:color w:val="000000"/>
          <w:sz w:val="24"/>
        </w:rPr>
        <w:t>S</w:t>
      </w:r>
      <w:r>
        <w:rPr>
          <w:color w:val="000000"/>
          <w:sz w:val="24"/>
          <w:vertAlign w:val="subscript"/>
        </w:rPr>
        <w:t>3</w:t>
      </w:r>
      <w:r>
        <w:rPr>
          <w:color w:val="000000"/>
          <w:sz w:val="24"/>
        </w:rPr>
        <w:t>，Fe</w:t>
      </w:r>
      <w:r>
        <w:rPr>
          <w:color w:val="000000"/>
          <w:sz w:val="24"/>
          <w:vertAlign w:val="subscript"/>
        </w:rPr>
        <w:t>2</w:t>
      </w:r>
      <w:r>
        <w:rPr>
          <w:color w:val="000000"/>
          <w:sz w:val="24"/>
        </w:rPr>
        <w:t>S</w:t>
      </w:r>
      <w:r>
        <w:rPr>
          <w:color w:val="000000"/>
          <w:sz w:val="24"/>
          <w:vertAlign w:val="subscript"/>
        </w:rPr>
        <w:t>3</w:t>
      </w:r>
      <w:r>
        <w:rPr>
          <w:color w:val="000000"/>
          <w:sz w:val="24"/>
        </w:rPr>
        <w:t>要还原成Fe</w:t>
      </w:r>
      <w:r>
        <w:rPr>
          <w:color w:val="000000"/>
          <w:sz w:val="24"/>
          <w:vertAlign w:val="subscript"/>
        </w:rPr>
        <w:t>2</w:t>
      </w:r>
      <w:r>
        <w:rPr>
          <w:color w:val="000000"/>
          <w:sz w:val="24"/>
        </w:rPr>
        <w:t>O</w:t>
      </w:r>
      <w:r>
        <w:rPr>
          <w:color w:val="000000"/>
          <w:sz w:val="24"/>
          <w:vertAlign w:val="subscript"/>
        </w:rPr>
        <w:t>3</w:t>
      </w:r>
      <w:r>
        <w:rPr>
          <w:color w:val="000000"/>
          <w:sz w:val="24"/>
        </w:rPr>
        <w:t>，需要O</w:t>
      </w:r>
      <w:r>
        <w:rPr>
          <w:color w:val="000000"/>
          <w:sz w:val="24"/>
          <w:vertAlign w:val="subscript"/>
        </w:rPr>
        <w:t>2</w:t>
      </w:r>
      <w:r>
        <w:rPr>
          <w:color w:val="000000"/>
          <w:sz w:val="24"/>
        </w:rPr>
        <w:t>，通过鼓风机在脱硫装置之前向沼气中投加空气即可满足脱硫剂还原对O</w:t>
      </w:r>
      <w:r>
        <w:rPr>
          <w:color w:val="000000"/>
          <w:sz w:val="24"/>
          <w:vertAlign w:val="subscript"/>
        </w:rPr>
        <w:t>2</w:t>
      </w:r>
      <w:r>
        <w:rPr>
          <w:color w:val="000000"/>
          <w:sz w:val="24"/>
        </w:rPr>
        <w:t>的要求。</w:t>
      </w:r>
    </w:p>
    <w:p>
      <w:pPr>
        <w:spacing w:line="520" w:lineRule="exact"/>
        <w:ind w:firstLine="480" w:firstLineChars="200"/>
        <w:rPr>
          <w:color w:val="000000"/>
          <w:sz w:val="24"/>
        </w:rPr>
      </w:pPr>
      <w:r>
        <w:rPr>
          <w:color w:val="000000"/>
          <w:sz w:val="24"/>
        </w:rPr>
        <w:t>因此，在沼气进入脱硫装置通过脱硫剂时，同时鼓入空气，脱硫剂吸收H</w:t>
      </w:r>
      <w:r>
        <w:rPr>
          <w:color w:val="000000"/>
          <w:sz w:val="24"/>
          <w:vertAlign w:val="subscript"/>
        </w:rPr>
        <w:t>2</w:t>
      </w:r>
      <w:r>
        <w:rPr>
          <w:color w:val="000000"/>
          <w:sz w:val="24"/>
        </w:rPr>
        <w:t>S失效，空气中的O</w:t>
      </w:r>
      <w:r>
        <w:rPr>
          <w:color w:val="000000"/>
          <w:sz w:val="24"/>
          <w:vertAlign w:val="subscript"/>
        </w:rPr>
        <w:t>2</w:t>
      </w:r>
      <w:r>
        <w:rPr>
          <w:color w:val="000000"/>
          <w:sz w:val="24"/>
        </w:rPr>
        <w:t>将失效的脱硫剂还原再生成Fe</w:t>
      </w:r>
      <w:r>
        <w:rPr>
          <w:color w:val="000000"/>
          <w:sz w:val="24"/>
          <w:vertAlign w:val="subscript"/>
        </w:rPr>
        <w:t>2</w:t>
      </w:r>
      <w:r>
        <w:rPr>
          <w:color w:val="000000"/>
          <w:sz w:val="24"/>
        </w:rPr>
        <w:t>O</w:t>
      </w:r>
      <w:r>
        <w:rPr>
          <w:color w:val="000000"/>
          <w:sz w:val="24"/>
          <w:vertAlign w:val="subscript"/>
        </w:rPr>
        <w:t>3</w:t>
      </w:r>
      <w:r>
        <w:rPr>
          <w:color w:val="000000"/>
          <w:sz w:val="24"/>
        </w:rPr>
        <w:t>，此工艺即为沼气干法脱硫的连续再生工艺。</w:t>
      </w:r>
    </w:p>
    <w:p>
      <w:pPr>
        <w:spacing w:line="520" w:lineRule="exact"/>
        <w:ind w:firstLine="480" w:firstLineChars="200"/>
        <w:rPr>
          <w:color w:val="000000"/>
          <w:sz w:val="24"/>
        </w:rPr>
      </w:pPr>
      <w:r>
        <w:rPr>
          <w:color w:val="000000"/>
          <w:sz w:val="24"/>
        </w:rPr>
        <w:t>Fe</w:t>
      </w:r>
      <w:r>
        <w:rPr>
          <w:color w:val="000000"/>
          <w:sz w:val="24"/>
          <w:vertAlign w:val="subscript"/>
        </w:rPr>
        <w:t>2</w:t>
      </w:r>
      <w:r>
        <w:rPr>
          <w:color w:val="000000"/>
          <w:sz w:val="24"/>
        </w:rPr>
        <w:t>O</w:t>
      </w:r>
      <w:r>
        <w:rPr>
          <w:color w:val="000000"/>
          <w:sz w:val="24"/>
          <w:vertAlign w:val="subscript"/>
        </w:rPr>
        <w:t>3</w:t>
      </w:r>
      <w:r>
        <w:rPr>
          <w:color w:val="000000"/>
          <w:sz w:val="24"/>
        </w:rPr>
        <w:t>脱硫剂为条状多孔结构固体，对 H</w:t>
      </w:r>
      <w:r>
        <w:rPr>
          <w:color w:val="000000"/>
          <w:sz w:val="24"/>
          <w:vertAlign w:val="subscript"/>
        </w:rPr>
        <w:t>2</w:t>
      </w:r>
      <w:r>
        <w:rPr>
          <w:color w:val="000000"/>
          <w:sz w:val="24"/>
        </w:rPr>
        <w:t>S能进行快速的不可逆化学吸附，数秒内可将 H</w:t>
      </w:r>
      <w:r>
        <w:rPr>
          <w:color w:val="000000"/>
          <w:sz w:val="24"/>
          <w:vertAlign w:val="subscript"/>
        </w:rPr>
        <w:t>2</w:t>
      </w:r>
      <w:r>
        <w:rPr>
          <w:color w:val="000000"/>
          <w:sz w:val="24"/>
        </w:rPr>
        <w:t>S脱除到1×10</w:t>
      </w:r>
      <w:r>
        <w:rPr>
          <w:color w:val="000000"/>
          <w:sz w:val="24"/>
          <w:vertAlign w:val="superscript"/>
        </w:rPr>
        <w:t>- 6</w:t>
      </w:r>
      <w:r>
        <w:rPr>
          <w:color w:val="000000"/>
          <w:sz w:val="24"/>
        </w:rPr>
        <w:t>以下。脱硫剂工作一定时间后，其活性会逐渐下降，脱硫效果逐渐变差。当脱硫装置出口沼气中H</w:t>
      </w:r>
      <w:r>
        <w:rPr>
          <w:color w:val="000000"/>
          <w:sz w:val="24"/>
          <w:vertAlign w:val="subscript"/>
        </w:rPr>
        <w:t>2</w:t>
      </w:r>
      <w:r>
        <w:rPr>
          <w:color w:val="000000"/>
          <w:sz w:val="24"/>
        </w:rPr>
        <w:t>S的含量超过 20mg/m</w:t>
      </w:r>
      <w:r>
        <w:rPr>
          <w:color w:val="000000"/>
          <w:sz w:val="24"/>
          <w:vertAlign w:val="superscript"/>
        </w:rPr>
        <w:t>3</w:t>
      </w:r>
      <w:r>
        <w:rPr>
          <w:color w:val="000000"/>
          <w:sz w:val="24"/>
        </w:rPr>
        <w:t>时，就需要对脱硫剂进行处理。当脱硫剂中硫未达到30%时，脱硫剂可进行再生；若脱硫剂硫容超过30%时，就要更新脱硫剂。项目一年更换一次脱硫剂。</w:t>
      </w:r>
    </w:p>
    <w:p>
      <w:pPr>
        <w:spacing w:line="520" w:lineRule="exact"/>
        <w:ind w:firstLine="480" w:firstLineChars="200"/>
        <w:rPr>
          <w:color w:val="000000"/>
          <w:sz w:val="24"/>
        </w:rPr>
      </w:pPr>
      <w:r>
        <w:rPr>
          <w:color w:val="000000"/>
          <w:sz w:val="24"/>
        </w:rPr>
        <w:t>干法脱硫装置包括要包括主体钢结构、脱硫剂填料、观察窗、压力表、温度表等组件。项目干法脱硫装置设计规模为40m</w:t>
      </w:r>
      <w:r>
        <w:rPr>
          <w:color w:val="000000"/>
          <w:sz w:val="24"/>
          <w:vertAlign w:val="superscript"/>
        </w:rPr>
        <w:t>3</w:t>
      </w:r>
      <w:r>
        <w:rPr>
          <w:color w:val="000000"/>
          <w:sz w:val="24"/>
        </w:rPr>
        <w:t>/h，操作压力≤15kpa，阻力≤15kpa，净化率≥95%。</w:t>
      </w:r>
    </w:p>
    <w:p>
      <w:pPr>
        <w:spacing w:line="520" w:lineRule="exact"/>
        <w:ind w:firstLine="480" w:firstLineChars="200"/>
        <w:rPr>
          <w:sz w:val="24"/>
        </w:rPr>
      </w:pPr>
      <w:r>
        <w:rPr>
          <w:sz w:val="24"/>
        </w:rPr>
        <w:t>沼气是高湿度气体，H</w:t>
      </w:r>
      <w:r>
        <w:rPr>
          <w:sz w:val="24"/>
          <w:vertAlign w:val="subscript"/>
        </w:rPr>
        <w:t>2</w:t>
      </w:r>
      <w:r>
        <w:rPr>
          <w:sz w:val="24"/>
        </w:rPr>
        <w:t>S平均含量为0.034%，经采用专用沼气脱硫剂脱硫后，硫去除率可达到95%以上，经核算沼气净化后H</w:t>
      </w:r>
      <w:r>
        <w:rPr>
          <w:sz w:val="24"/>
          <w:vertAlign w:val="subscript"/>
        </w:rPr>
        <w:t>2</w:t>
      </w:r>
      <w:r>
        <w:rPr>
          <w:sz w:val="24"/>
        </w:rPr>
        <w:t>S含量为12mg/m</w:t>
      </w:r>
      <w:r>
        <w:rPr>
          <w:sz w:val="24"/>
          <w:vertAlign w:val="superscript"/>
        </w:rPr>
        <w:t>3</w:t>
      </w:r>
      <w:r>
        <w:rPr>
          <w:sz w:val="24"/>
        </w:rPr>
        <w:t>。</w:t>
      </w:r>
    </w:p>
    <w:p>
      <w:pPr>
        <w:spacing w:line="520" w:lineRule="exact"/>
        <w:ind w:firstLine="480" w:firstLineChars="200"/>
        <w:rPr>
          <w:color w:val="000000"/>
        </w:rPr>
      </w:pPr>
      <w:r>
        <w:rPr>
          <w:color w:val="000000"/>
          <w:sz w:val="24"/>
        </w:rPr>
        <w:t>本项目脱硫剂由供应厂商统一提供，废脱硫剂由供应厂商统一回收处置。</w:t>
      </w:r>
    </w:p>
    <w:p>
      <w:pPr>
        <w:spacing w:line="520" w:lineRule="exact"/>
        <w:ind w:firstLine="480" w:firstLineChars="200"/>
        <w:rPr>
          <w:color w:val="000000" w:themeColor="text1"/>
          <w:sz w:val="24"/>
        </w:rPr>
      </w:pPr>
      <w:r>
        <w:rPr>
          <w:color w:val="000000" w:themeColor="text1"/>
          <w:sz w:val="24"/>
        </w:rPr>
        <w:t>（3）沼气利用方案</w:t>
      </w:r>
    </w:p>
    <w:p>
      <w:pPr>
        <w:spacing w:line="520" w:lineRule="exact"/>
        <w:ind w:firstLine="480" w:firstLineChars="200"/>
        <w:rPr>
          <w:color w:val="000000" w:themeColor="text1"/>
          <w:sz w:val="24"/>
        </w:rPr>
      </w:pPr>
      <w:r>
        <w:rPr>
          <w:color w:val="000000" w:themeColor="text1"/>
          <w:sz w:val="24"/>
        </w:rPr>
        <w:t>项目运营后夏季沼气产生量为</w:t>
      </w:r>
      <w:r>
        <w:rPr>
          <w:rFonts w:hint="eastAsia"/>
          <w:color w:val="000000" w:themeColor="text1"/>
          <w:sz w:val="24"/>
        </w:rPr>
        <w:t>284</w:t>
      </w:r>
      <w:r>
        <w:rPr>
          <w:color w:val="000000" w:themeColor="text1"/>
          <w:sz w:val="24"/>
        </w:rPr>
        <w:t>m</w:t>
      </w:r>
      <w:r>
        <w:rPr>
          <w:color w:val="000000" w:themeColor="text1"/>
          <w:sz w:val="24"/>
          <w:vertAlign w:val="superscript"/>
        </w:rPr>
        <w:t>3</w:t>
      </w:r>
      <w:r>
        <w:rPr>
          <w:color w:val="000000" w:themeColor="text1"/>
          <w:sz w:val="24"/>
        </w:rPr>
        <w:t>/d、其他季节沼气产生量为</w:t>
      </w:r>
      <w:r>
        <w:rPr>
          <w:rFonts w:hint="eastAsia"/>
          <w:color w:val="000000" w:themeColor="text1"/>
          <w:sz w:val="24"/>
        </w:rPr>
        <w:t>190</w:t>
      </w:r>
      <w:r>
        <w:rPr>
          <w:color w:val="000000" w:themeColor="text1"/>
          <w:sz w:val="24"/>
        </w:rPr>
        <w:t>m</w:t>
      </w:r>
      <w:r>
        <w:rPr>
          <w:color w:val="000000" w:themeColor="text1"/>
          <w:sz w:val="24"/>
          <w:vertAlign w:val="superscript"/>
        </w:rPr>
        <w:t>3</w:t>
      </w:r>
      <w:r>
        <w:rPr>
          <w:color w:val="000000" w:themeColor="text1"/>
          <w:sz w:val="24"/>
        </w:rPr>
        <w:t>/d，年总产气量为80818m</w:t>
      </w:r>
      <w:r>
        <w:rPr>
          <w:color w:val="000000" w:themeColor="text1"/>
          <w:sz w:val="24"/>
          <w:vertAlign w:val="superscript"/>
        </w:rPr>
        <w:t>3</w:t>
      </w:r>
      <w:r>
        <w:rPr>
          <w:color w:val="000000" w:themeColor="text1"/>
          <w:sz w:val="24"/>
        </w:rPr>
        <w:t>/a，沼气优先用于食堂灶台，其余部分用于沼锅炉。</w:t>
      </w:r>
    </w:p>
    <w:p>
      <w:pPr>
        <w:numPr>
          <w:ilvl w:val="0"/>
          <w:numId w:val="2"/>
        </w:numPr>
        <w:spacing w:line="520" w:lineRule="exact"/>
        <w:rPr>
          <w:color w:val="000000" w:themeColor="text1"/>
          <w:sz w:val="24"/>
        </w:rPr>
      </w:pPr>
      <w:r>
        <w:rPr>
          <w:color w:val="000000" w:themeColor="text1"/>
          <w:sz w:val="24"/>
        </w:rPr>
        <w:t>食堂灶台</w:t>
      </w:r>
    </w:p>
    <w:p>
      <w:pPr>
        <w:spacing w:line="520" w:lineRule="exact"/>
        <w:ind w:firstLine="480" w:firstLineChars="200"/>
        <w:rPr>
          <w:color w:val="000000" w:themeColor="text1"/>
          <w:sz w:val="24"/>
        </w:rPr>
      </w:pPr>
      <w:r>
        <w:rPr>
          <w:color w:val="000000" w:themeColor="text1"/>
          <w:sz w:val="24"/>
        </w:rPr>
        <w:t>经查阅相关资料，项目职工食堂人均用沼气量按1.25m</w:t>
      </w:r>
      <w:r>
        <w:rPr>
          <w:color w:val="000000" w:themeColor="text1"/>
          <w:sz w:val="24"/>
          <w:vertAlign w:val="superscript"/>
        </w:rPr>
        <w:t>3</w:t>
      </w:r>
      <w:r>
        <w:rPr>
          <w:color w:val="000000" w:themeColor="text1"/>
          <w:sz w:val="24"/>
        </w:rPr>
        <w:t>/d，项目劳动定员</w:t>
      </w:r>
      <w:r>
        <w:rPr>
          <w:rFonts w:hint="eastAsia"/>
          <w:color w:val="000000" w:themeColor="text1"/>
          <w:sz w:val="24"/>
        </w:rPr>
        <w:t>49</w:t>
      </w:r>
      <w:r>
        <w:rPr>
          <w:color w:val="000000" w:themeColor="text1"/>
          <w:sz w:val="24"/>
        </w:rPr>
        <w:t>人，项目食堂灶台沼气用量为</w:t>
      </w:r>
      <w:r>
        <w:rPr>
          <w:rFonts w:hint="eastAsia"/>
          <w:color w:val="000000" w:themeColor="text1"/>
          <w:sz w:val="24"/>
        </w:rPr>
        <w:t>61.25</w:t>
      </w:r>
      <w:r>
        <w:rPr>
          <w:color w:val="000000" w:themeColor="text1"/>
          <w:sz w:val="24"/>
        </w:rPr>
        <w:t>m</w:t>
      </w:r>
      <w:r>
        <w:rPr>
          <w:color w:val="000000" w:themeColor="text1"/>
          <w:sz w:val="24"/>
          <w:vertAlign w:val="superscript"/>
        </w:rPr>
        <w:t>3</w:t>
      </w:r>
      <w:r>
        <w:rPr>
          <w:color w:val="000000" w:themeColor="text1"/>
          <w:sz w:val="24"/>
        </w:rPr>
        <w:t>/d，22356.25 m</w:t>
      </w:r>
      <w:r>
        <w:rPr>
          <w:color w:val="000000" w:themeColor="text1"/>
          <w:sz w:val="24"/>
          <w:vertAlign w:val="superscript"/>
        </w:rPr>
        <w:t>3</w:t>
      </w:r>
      <w:r>
        <w:rPr>
          <w:color w:val="000000" w:themeColor="text1"/>
          <w:sz w:val="24"/>
        </w:rPr>
        <w:t>/a。</w:t>
      </w:r>
    </w:p>
    <w:p>
      <w:pPr>
        <w:numPr>
          <w:ilvl w:val="0"/>
          <w:numId w:val="2"/>
        </w:numPr>
        <w:spacing w:line="520" w:lineRule="exact"/>
        <w:rPr>
          <w:color w:val="000000" w:themeColor="text1"/>
          <w:sz w:val="24"/>
        </w:rPr>
      </w:pPr>
      <w:r>
        <w:rPr>
          <w:color w:val="000000" w:themeColor="text1"/>
          <w:sz w:val="24"/>
        </w:rPr>
        <w:t xml:space="preserve"> 沼气锅炉</w:t>
      </w:r>
    </w:p>
    <w:p>
      <w:pPr>
        <w:spacing w:line="520" w:lineRule="exact"/>
        <w:ind w:firstLine="480" w:firstLineChars="200"/>
        <w:rPr>
          <w:color w:val="000000" w:themeColor="text1"/>
          <w:sz w:val="24"/>
        </w:rPr>
      </w:pPr>
      <w:r>
        <w:rPr>
          <w:color w:val="000000" w:themeColor="text1"/>
          <w:sz w:val="24"/>
        </w:rPr>
        <w:t>本项目沼气处食堂利用外均</w:t>
      </w:r>
      <w:r>
        <w:rPr>
          <w:rFonts w:hint="eastAsia"/>
          <w:color w:val="000000" w:themeColor="text1"/>
          <w:sz w:val="24"/>
        </w:rPr>
        <w:t>用</w:t>
      </w:r>
      <w:r>
        <w:rPr>
          <w:color w:val="000000" w:themeColor="text1"/>
          <w:sz w:val="24"/>
        </w:rPr>
        <w:t>于沼气锅炉，沼气用量58461.75m</w:t>
      </w:r>
      <w:r>
        <w:rPr>
          <w:color w:val="000000" w:themeColor="text1"/>
          <w:sz w:val="24"/>
          <w:vertAlign w:val="superscript"/>
        </w:rPr>
        <w:t>3</w:t>
      </w:r>
      <w:r>
        <w:rPr>
          <w:color w:val="000000" w:themeColor="text1"/>
          <w:sz w:val="24"/>
        </w:rPr>
        <w:t>/a。</w:t>
      </w:r>
    </w:p>
    <w:p>
      <w:pPr>
        <w:spacing w:line="520" w:lineRule="exact"/>
        <w:ind w:firstLine="482" w:firstLineChars="200"/>
        <w:rPr>
          <w:b/>
          <w:sz w:val="24"/>
          <w:u w:val="single"/>
        </w:rPr>
      </w:pPr>
    </w:p>
    <w:p>
      <w:pPr>
        <w:spacing w:line="520" w:lineRule="exact"/>
        <w:ind w:firstLine="482" w:firstLineChars="200"/>
        <w:rPr>
          <w:b/>
          <w:sz w:val="24"/>
          <w:u w:val="single"/>
        </w:rPr>
      </w:pPr>
    </w:p>
    <w:p>
      <w:pPr>
        <w:spacing w:line="520" w:lineRule="exact"/>
        <w:ind w:firstLine="482" w:firstLineChars="200"/>
        <w:rPr>
          <w:b/>
          <w:sz w:val="24"/>
          <w:u w:val="single"/>
        </w:rPr>
      </w:pPr>
    </w:p>
    <w:p>
      <w:pPr>
        <w:spacing w:line="520" w:lineRule="exact"/>
        <w:rPr>
          <w:b/>
          <w:sz w:val="24"/>
          <w:u w:val="single"/>
        </w:rPr>
      </w:pPr>
    </w:p>
    <w:p>
      <w:pPr>
        <w:spacing w:line="520" w:lineRule="exact"/>
        <w:rPr>
          <w:b/>
          <w:u w:val="single"/>
        </w:rPr>
      </w:pPr>
      <w:r>
        <w:rPr>
          <w:b/>
          <w:u w:val="single"/>
        </w:rPr>
        <w:pict>
          <v:shape id="文本框 151" o:spid="_x0000_s4434" o:spt="202" type="#_x0000_t202" style="position:absolute;left:0pt;margin-left:320.1pt;margin-top:19.85pt;height:49pt;width:71.35pt;z-index:25176985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">
            <v:path/>
            <v:fill on="f" focussize="0,0"/>
            <v:stroke joinstyle="miter"/>
            <v:imagedata o:title=""/>
            <o:lock v:ext="edit"/>
            <v:textbox>
              <w:txbxContent>
                <w:p>
                  <w:pPr>
                    <w:rPr>
                      <w:szCs w:val="21"/>
                    </w:rPr>
                  </w:pPr>
                  <w:r>
                    <w:rPr>
                      <w:rFonts w:hint="eastAsia"/>
                      <w:bCs/>
                      <w:color w:val="000000"/>
                      <w:szCs w:val="21"/>
                    </w:rPr>
                    <w:t>无害化处理中心锅炉</w:t>
                  </w:r>
                </w:p>
              </w:txbxContent>
            </v:textbox>
          </v:shape>
        </w:pict>
      </w:r>
    </w:p>
    <w:p>
      <w:pPr>
        <w:spacing w:line="520" w:lineRule="exact"/>
        <w:rPr>
          <w:b/>
          <w:u w:val="single"/>
        </w:rPr>
      </w:pPr>
      <w:r>
        <w:rPr>
          <w:b/>
          <w:u w:val="single"/>
        </w:rPr>
        <w:pict>
          <v:shape id="文本框 58" o:spid="_x0000_s4449" o:spt="202" type="#_x0000_t202" style="position:absolute;left:0pt;margin-left:275.75pt;margin-top:-9.5pt;height:24.95pt;width:58.05pt;z-index:2517852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">
            <v:path/>
            <v:fill on="f" focussize="0,0"/>
            <v:stroke on="f" joinstyle="miter"/>
            <v:imagedata o:title=""/>
            <o:lock v:ext="edit"/>
            <v:textbox>
              <w:txbxContent>
                <w:p>
                  <w:pPr>
                    <w:rPr>
                      <w:szCs w:val="21"/>
                    </w:rPr>
                  </w:pPr>
                  <w:r>
                    <w:rPr>
                      <w:rFonts w:hint="eastAsia"/>
                      <w:szCs w:val="21"/>
                    </w:rPr>
                    <w:t>222.75</w:t>
                  </w:r>
                </w:p>
              </w:txbxContent>
            </v:textbox>
          </v:shape>
        </w:pict>
      </w:r>
      <w:r>
        <w:rPr>
          <w:b/>
          <w:u w:val="single"/>
        </w:rPr>
        <w:pict>
          <v:line id="直线 147" o:spid="_x0000_s4433" o:spt="20" style="position:absolute;left:0pt;margin-left:283.95pt;margin-top:14.65pt;height:0pt;width:36.75pt;z-index:251768832;mso-width-relative:page;mso-height-relative:page;" coordsize="21600,21600" o:gfxdata="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eYn1fbAAAACwEAAA8AAAAAAAAAAQAg&#10;AAAAIgAAAGRycy9kb3ducmV2LnhtbFBLAQIUABQAAAAIAIdO4kATzEzk0gEAAJUDAAAOAAAAAAAA&#10;AAEAIAAAACoBAABkcnMvZTJvRG9jLnhtbFBLBQYAAAAABgAGAFkBAABuBQAAAAA=&#10;">
            <v:path arrowok="t"/>
            <v:fill focussize="0,0"/>
            <v:stroke endarrow="block"/>
            <v:imagedata o:title=""/>
            <o:lock v:ext="edit"/>
          </v:line>
        </w:pict>
      </w:r>
      <w:r>
        <w:rPr>
          <w:b/>
          <w:u w:val="single"/>
        </w:rPr>
        <w:pict>
          <v:line id="直线 922" o:spid="_x0000_s4435" o:spt="20" style="position:absolute;left:0pt;margin-left:280.1pt;margin-top:114pt;height:0pt;width:36.75pt;z-index:251770880;mso-width-relative:page;mso-height-relative:page;" coordsize="21600,21600" o:gfxdata="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OXHBNgAAAAJAQAADwAAAAAAAAABACAAAAAi&#10;AAAAZHJzL2Rvd25yZXYueG1sUEsBAhQAFAAAAAgAh07iQGwQSsXRAQAAlQMAAA4AAAAAAAAAAQAg&#10;AAAAJwEAAGRycy9lMm9Eb2MueG1sUEsFBgAAAAAGAAYAWQEAAGoFAAAAAA==&#10;">
            <v:path arrowok="t"/>
            <v:fill focussize="0,0"/>
            <v:stroke endarrow="block"/>
            <v:imagedata o:title=""/>
            <o:lock v:ext="edit"/>
          </v:line>
        </w:pict>
      </w:r>
      <w:r>
        <w:rPr>
          <w:b/>
          <w:u w:val="single"/>
        </w:rPr>
        <w:pict>
          <v:shape id="文本框 924" o:spid="_x0000_s4437" o:spt="202" type="#_x0000_t202" style="position:absolute;left:0pt;margin-left:275.75pt;margin-top:94.9pt;height:28.85pt;width:54pt;z-index:2517729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">
            <v:path/>
            <v:fill on="f" focussize="0,0"/>
            <v:stroke on="f" joinstyle="miter"/>
            <v:imagedata o:title=""/>
            <o:lock v:ext="edit"/>
            <v:textbox>
              <w:txbxContent>
                <w:p>
                  <w:pPr>
                    <w:rPr>
                      <w:szCs w:val="21"/>
                    </w:rPr>
                  </w:pPr>
                  <w:r>
                    <w:rPr>
                      <w:rFonts w:hint="eastAsia"/>
                      <w:szCs w:val="21"/>
                    </w:rPr>
                    <w:t>128.75</w:t>
                  </w:r>
                </w:p>
              </w:txbxContent>
            </v:textbox>
          </v:shape>
        </w:pict>
      </w:r>
      <w:r>
        <w:rPr>
          <w:b/>
          <w:u w:val="single"/>
        </w:rPr>
        <w:pict>
          <v:shape id="文本框 146" o:spid="_x0000_s4439" o:spt="202" type="#_x0000_t202" style="position:absolute;left:0pt;margin-left:-11.4pt;margin-top:69.85pt;height:25.3pt;width:79pt;z-index:25177497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">
            <v:path/>
            <v:fill on="f" focussize="0,0"/>
            <v:stroke on="f" joinstyle="miter"/>
            <v:imagedata o:title=""/>
            <o:lock v:ext="edit"/>
            <v:textbox>
              <w:txbxContent>
                <w:p>
                  <w:pPr>
                    <w:rPr>
                      <w:szCs w:val="21"/>
                    </w:rPr>
                  </w:pPr>
                  <w:r>
                    <w:rPr>
                      <w:rFonts w:hint="eastAsia"/>
                      <w:szCs w:val="21"/>
                    </w:rPr>
                    <w:t>沼气产生量</w:t>
                  </w:r>
                </w:p>
              </w:txbxContent>
            </v:textbox>
          </v:shape>
        </w:pict>
      </w:r>
      <w:r>
        <w:rPr>
          <w:b/>
          <w:u w:val="single"/>
        </w:rPr>
        <w:pict>
          <v:shape id="文本框 142" o:spid="_x0000_s4440" o:spt="202" type="#_x0000_t202" style="position:absolute;left:0pt;margin-left:142.2pt;margin-top:24.4pt;height:25.3pt;width:106.05pt;z-index:25177600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">
            <v:path/>
            <v:fill on="f" focussize="0,0"/>
            <v:stroke joinstyle="miter"/>
            <v:imagedata o:title=""/>
            <o:lock v:ext="edit"/>
            <v:textbox>
              <w:txbxContent>
                <w:p>
                  <w:pPr>
                    <w:jc w:val="center"/>
                    <w:rPr>
                      <w:rFonts w:ascii="宋体" w:hAnsi="宋体" w:cs="宋体"/>
                      <w:szCs w:val="21"/>
                    </w:rPr>
                  </w:pPr>
                  <w:r>
                    <w:rPr>
                      <w:rFonts w:hint="eastAsia" w:ascii="宋体" w:hAnsi="宋体" w:cs="宋体"/>
                      <w:szCs w:val="21"/>
                    </w:rPr>
                    <w:t>夏季沼气产生量</w:t>
                  </w:r>
                </w:p>
              </w:txbxContent>
            </v:textbox>
          </v:shape>
        </w:pict>
      </w:r>
      <w:r>
        <w:rPr>
          <w:b/>
          <w:u w:val="single"/>
        </w:rPr>
        <w:pict>
          <v:shape id="文本框 153" o:spid="_x0000_s4441" o:spt="202" type="#_x0000_t202" style="position:absolute;left:0pt;margin-left:141.55pt;margin-top:114.3pt;height:31.65pt;width:115.1pt;z-index:25177702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">
            <v:path/>
            <v:fill on="f" focussize="0,0"/>
            <v:stroke joinstyle="miter"/>
            <v:imagedata o:title=""/>
            <o:lock v:ext="edit"/>
            <v:textbox>
              <w:txbxContent>
                <w:p>
                  <w:pPr>
                    <w:rPr>
                      <w:rFonts w:ascii="宋体" w:hAnsi="宋体" w:cs="宋体"/>
                      <w:szCs w:val="21"/>
                    </w:rPr>
                  </w:pPr>
                  <w:r>
                    <w:rPr>
                      <w:rFonts w:hint="eastAsia" w:ascii="宋体" w:hAnsi="宋体" w:cs="宋体"/>
                      <w:szCs w:val="21"/>
                    </w:rPr>
                    <w:t>其他季节沼气产生量</w:t>
                  </w:r>
                </w:p>
              </w:txbxContent>
            </v:textbox>
          </v:shape>
        </w:pict>
      </w:r>
      <w:r>
        <w:rPr>
          <w:b/>
          <w:u w:val="single"/>
        </w:rPr>
        <w:pict>
          <v:shape id="直线 145" o:spid="_x0000_s4442" o:spt="32" type="#_x0000_t32" style="position:absolute;left:0pt;margin-left:97.05pt;margin-top:37.6pt;height:90.6pt;width:0pt;z-index:251778048;mso-width-relative:page;mso-height-relative:page;" filled="f" coordsize="21600,21600" o:gfxdata="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9qEwNYAAAAKAQAADwAAAAAAAAABACAAAAAiAAAA&#10;ZHJzL2Rvd25yZXYueG1sUEsBAhQAFAAAAAgAh07iQLchMYnQAQAAkgMAAA4AAAAAAAAAAQAgAAAA&#10;JQEAAGRycy9lMm9Eb2MueG1sUEsFBgAAAAAGAAYAWQEAAGcFAAAAAA==&#10;">
            <v:path arrowok="t"/>
            <v:fill on="f" focussize="0,0"/>
            <v:stroke/>
            <v:imagedata o:title=""/>
            <o:lock v:ext="edit"/>
          </v:shape>
        </w:pict>
      </w:r>
      <w:r>
        <w:rPr>
          <w:b/>
          <w:u w:val="single"/>
        </w:rPr>
        <w:pict>
          <v:shape id="直线 150" o:spid="_x0000_s4443" o:spt="32" type="#_x0000_t32" style="position:absolute;left:0pt;margin-left:97.05pt;margin-top:130.05pt;height:0pt;width:45.45pt;z-index:251779072;mso-width-relative:page;mso-height-relative:page;" filled="f" coordsize="21600,21600" o:gfxdata="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SMyh2AAAAAkBAAAPAAAAAAAAAAEAIAAA&#10;ACIAAABkcnMvZG93bnJldi54bWxQSwECFAAUAAAACACHTuJAtqNY9NMBAACWAwAADgAAAAAAAAAB&#10;ACAAAAAnAQAAZHJzL2Uyb0RvYy54bWxQSwUGAAAAAAYABgBZAQAAbAUAAAAA&#10;">
            <v:path arrowok="t"/>
            <v:fill on="f" focussize="0,0"/>
            <v:stroke endarrow="block"/>
            <v:imagedata o:title=""/>
            <o:lock v:ext="edit"/>
          </v:shape>
        </w:pict>
      </w:r>
      <w:r>
        <w:rPr>
          <w:b/>
          <w:u w:val="single"/>
        </w:rPr>
        <w:pict>
          <v:shape id="直线 144" o:spid="_x0000_s4444" o:spt="32" type="#_x0000_t32" style="position:absolute;left:0pt;margin-left:96.95pt;margin-top:36.3pt;height:0pt;width:45.5pt;z-index:251780096;mso-width-relative:page;mso-height-relative:page;" filled="f" coordsize="21600,21600" o:gfxdata="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pE/gl1wAAAAkBAAAPAAAAAAAAAAEA&#10;IAAAACIAAABkcnMvZG93bnJldi54bWxQSwECFAAUAAAACACHTuJArGMUXNcBAACVAwAADgAAAAAA&#10;AAABACAAAAAmAQAAZHJzL2Uyb0RvYy54bWxQSwUGAAAAAAYABgBZAQAAbwUAAAAA&#10;">
            <v:path arrowok="t"/>
            <v:fill on="f" focussize="0,0"/>
            <v:stroke endarrow="block"/>
            <v:imagedata o:title=""/>
            <o:lock v:ext="edit"/>
          </v:shape>
        </w:pict>
      </w:r>
      <w:r>
        <w:rPr>
          <w:b/>
          <w:u w:val="single"/>
        </w:rPr>
        <w:pict>
          <v:line id="直线 68" o:spid="_x0000_s4445" o:spt="20" style="position:absolute;left:0pt;margin-left:246.7pt;margin-top:38.55pt;height:0pt;width:39.5pt;z-index:251781120;mso-width-relative:page;mso-height-relative:page;" coordsize="21600,21600" o:gfxdata="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Drh4NkAAAAJAQAADwAAAAAAAAABACAAAAAiAAAAZHJz&#10;L2Rvd25yZXYueG1sUEsBAhQAFAAAAAgAh07iQFDQm3rKAQAAhgMAAA4AAAAAAAAAAQAgAAAAKAEA&#10;AGRycy9lMm9Eb2MueG1sUEsFBgAAAAAGAAYAWQEAAGQFAAAAAA==&#10;">
            <v:path arrowok="t"/>
            <v:fill focussize="0,0"/>
            <v:stroke endarrow="block"/>
            <v:imagedata o:title=""/>
            <o:lock v:ext="edit"/>
          </v:line>
        </w:pict>
      </w:r>
      <w:r>
        <w:rPr>
          <w:b/>
          <w:u w:val="single"/>
        </w:rPr>
        <w:pict>
          <v:shape id="文本框 140" o:spid="_x0000_s4446" o:spt="202" type="#_x0000_t202" style="position:absolute;left:0pt;margin-left:97.2pt;margin-top:14.8pt;height:23.8pt;width:49.1pt;z-index:25178214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">
            <v:path/>
            <v:fill on="f" focussize="0,0"/>
            <v:stroke on="f" joinstyle="miter"/>
            <v:imagedata o:title=""/>
            <o:lock v:ext="edit"/>
            <v:textbox>
              <w:txbxContent>
                <w:p>
                  <w:pPr>
                    <w:rPr>
                      <w:szCs w:val="21"/>
                    </w:rPr>
                  </w:pPr>
                  <w:r>
                    <w:rPr>
                      <w:rFonts w:hint="eastAsia"/>
                      <w:color w:val="000000"/>
                      <w:szCs w:val="21"/>
                    </w:rPr>
                    <w:t>284</w:t>
                  </w:r>
                </w:p>
              </w:txbxContent>
            </v:textbox>
          </v:shape>
        </w:pict>
      </w:r>
      <w:r>
        <w:rPr>
          <w:b/>
          <w:u w:val="single"/>
        </w:rPr>
        <w:pict>
          <v:shape id="文本框 80" o:spid="_x0000_s4447" o:spt="202" type="#_x0000_t202" style="position:absolute;left:0pt;margin-left:97.55pt;margin-top:105.2pt;height:24.95pt;width:49.7pt;z-index:2517831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">
            <v:path/>
            <v:fill on="f" focussize="0,0"/>
            <v:stroke on="f" joinstyle="miter"/>
            <v:imagedata o:title=""/>
            <o:lock v:ext="edit"/>
            <v:textbox>
              <w:txbxContent>
                <w:p>
                  <w:pPr>
                    <w:rPr>
                      <w:szCs w:val="21"/>
                    </w:rPr>
                  </w:pPr>
                  <w:r>
                    <w:rPr>
                      <w:rFonts w:hint="eastAsia"/>
                      <w:color w:val="000000"/>
                      <w:szCs w:val="21"/>
                    </w:rPr>
                    <w:t>190</w:t>
                  </w:r>
                </w:p>
              </w:txbxContent>
            </v:textbox>
          </v:shape>
        </w:pict>
      </w:r>
      <w:r>
        <w:rPr>
          <w:b/>
          <w:u w:val="single"/>
        </w:rPr>
        <w:pict>
          <v:line id="直线 75" o:spid="_x0000_s4448" o:spt="20" style="position:absolute;left:0pt;margin-left:57.65pt;margin-top:81.8pt;height:0pt;width:39.5pt;z-index:251784192;mso-width-relative:page;mso-height-relative:page;" coordsize="21600,21600" o:gfxdata="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qihzXVAAAABwEAAA8AAAAAAAAAAQAgAAAAIgAAAGRycy9kb3du&#10;cmV2LnhtbFBLAQIUABQAAAAIAIdO4kAYcMvMyQEAAIYDAAAOAAAAAAAAAAEAIAAAACQBAABkcnMv&#10;ZTJvRG9jLnhtbFBLBQYAAAAABgAGAFkBAABfBQAAAAA=&#10;">
            <v:path arrowok="t"/>
            <v:fill focussize="0,0"/>
            <v:stroke endarrow="block"/>
            <v:imagedata o:title=""/>
            <o:lock v:ext="edit"/>
          </v:line>
        </w:pict>
      </w:r>
      <w:r>
        <w:rPr>
          <w:b/>
          <w:u w:val="single"/>
        </w:rPr>
        <w:pict>
          <v:line id="直线 55" o:spid="_x0000_s4450" o:spt="20" style="position:absolute;left:0pt;margin-left:283.85pt;margin-top:15.45pt;height:62.85pt;width:0.05pt;z-index:251786240;mso-width-relative:page;mso-height-relative:page;" coordsize="21600,21600" o:gfxdata="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sfQOjYAAAACwEAAA8AAAAAAAAAAQAgAAAAIgAAAGRycy9k&#10;b3ducmV2LnhtbFBLAQIUABQAAAAIAIdO4kDEnd4uyQEAAIQDAAAOAAAAAAAAAAEAIAAAACcBAABk&#10;cnMvZTJvRG9jLnhtbFBLBQYAAAAABgAGAFkBAABiBQAAAAA=&#10;">
            <v:path arrowok="t"/>
            <v:fill focussize="0,0"/>
            <v:stroke/>
            <v:imagedata o:title=""/>
            <o:lock v:ext="edit"/>
          </v:line>
        </w:pict>
      </w:r>
      <w:r>
        <w:rPr>
          <w:b/>
          <w:u w:val="single"/>
        </w:rPr>
        <w:pict>
          <v:line id="直线 63" o:spid="_x0000_s4451" o:spt="20" style="position:absolute;left:0pt;margin-left:285.35pt;margin-top:77.5pt;height:0pt;width:39.5pt;z-index:251787264;mso-width-relative:page;mso-height-relative:page;" coordsize="21600,21600" o:gfxdata="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4QDdgAAAAJAQAADwAAAAAAAAABACAAAAAiAAAAZHJz&#10;L2Rvd25yZXYueG1sUEsBAhQAFAAAAAgAh07iQI8Cs6DLAQAAhgMAAA4AAAAAAAAAAQAgAAAAJwEA&#10;AGRycy9lMm9Eb2MueG1sUEsFBgAAAAAGAAYAWQEAAGQFAAAAAA==&#10;">
            <v:path arrowok="t"/>
            <v:fill focussize="0,0"/>
            <v:stroke endarrow="block"/>
            <v:imagedata o:title=""/>
            <o:lock v:ext="edit"/>
          </v:line>
        </w:pict>
      </w:r>
      <w:r>
        <w:rPr>
          <w:b/>
          <w:u w:val="single"/>
        </w:rPr>
        <w:pict>
          <v:line id="直线 86" o:spid="_x0000_s4453" o:spt="20" style="position:absolute;left:0pt;margin-left:256.6pt;margin-top:131.5pt;height:0pt;width:25.45pt;z-index:251789312;mso-width-relative:page;mso-height-relative:page;" coordsize="21600,21600" o:gfxdata="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CYLWXWAAAABQEAAA8AAAAAAAAAAQAgAAAAIgAAAGRycy9k&#10;b3ducmV2LnhtbFBLAQIUABQAAAAIAIdO4kDMq+emywEAAIcDAAAOAAAAAAAAAAEAIAAAACUBAABk&#10;cnMvZTJvRG9jLnhtbFBLBQYAAAAABgAGAFkBAABiBQAAAAA=&#10;">
            <v:path arrowok="t"/>
            <v:fill focussize="0,0"/>
            <v:stroke endarrow="block"/>
            <v:imagedata o:title=""/>
            <o:lock v:ext="edit"/>
          </v:line>
        </w:pict>
      </w:r>
    </w:p>
    <w:p>
      <w:pPr>
        <w:spacing w:line="520" w:lineRule="exact"/>
        <w:rPr>
          <w:b/>
          <w:bCs/>
          <w:snapToGrid w:val="0"/>
          <w:color w:val="FF0000"/>
          <w:kern w:val="0"/>
          <w:sz w:val="24"/>
          <w:u w:val="single"/>
        </w:rPr>
      </w:pPr>
      <w:r>
        <w:rPr>
          <w:b/>
          <w:u w:val="single"/>
        </w:rPr>
        <w:pict>
          <v:line id="直线 70" o:spid="_x0000_s4438" o:spt="20" style="position:absolute;left:0pt;margin-left:281.25pt;margin-top:87.65pt;height:60.6pt;width:1.25pt;z-index:251773952;mso-width-relative:page;mso-height-relative:page;" coordsize="21600,21600" o:gfxdata="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JeNd2AAAAAoBAAAPAAAAAAAAAAEAIAAAACIAAABkcnMvZG93&#10;bnJldi54bWxQSwECFAAUAAAACACHTuJAIObIxMcBAACGAwAADgAAAAAAAAABACAAAAAnAQAAZHJz&#10;L2Uyb0RvYy54bWxQSwUGAAAAAAYABgBZAQAAYAUAAAAA&#10;">
            <v:path arrowok="t"/>
            <v:fill focussize="0,0"/>
            <v:stroke/>
            <v:imagedata o:title=""/>
            <o:lock v:ext="edit"/>
          </v:line>
        </w:pict>
      </w:r>
    </w:p>
    <w:p>
      <w:pPr>
        <w:spacing w:line="520" w:lineRule="exact"/>
        <w:ind w:firstLine="91" w:firstLineChars="43"/>
        <w:rPr>
          <w:b/>
          <w:snapToGrid w:val="0"/>
          <w:color w:val="FF0000"/>
          <w:kern w:val="0"/>
          <w:sz w:val="24"/>
          <w:u w:val="single"/>
        </w:rPr>
      </w:pPr>
      <w:r>
        <w:rPr>
          <w:b/>
          <w:u w:val="single"/>
        </w:rPr>
        <w:pict>
          <v:shape id="文本框 66" o:spid="_x0000_s4456" o:spt="202" type="#_x0000_t202" style="position:absolute;left:0pt;margin-left:284.5pt;margin-top:5.4pt;height:24.4pt;width:40.35pt;z-index:251792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">
            <v:path/>
            <v:fill on="f" focussize="0,0"/>
            <v:stroke on="f" joinstyle="miter"/>
            <v:imagedata o:title=""/>
            <o:lock v:ext="edit"/>
            <v:textbox>
              <w:txbxContent>
                <w:p>
                  <w:pPr>
                    <w:rPr>
                      <w:szCs w:val="21"/>
                    </w:rPr>
                  </w:pPr>
                  <w:r>
                    <w:rPr>
                      <w:rFonts w:hint="eastAsia"/>
                      <w:szCs w:val="21"/>
                    </w:rPr>
                    <w:t>61.25</w:t>
                  </w:r>
                </w:p>
              </w:txbxContent>
            </v:textbox>
          </v:shape>
        </w:pict>
      </w:r>
      <w:r>
        <w:rPr>
          <w:b/>
          <w:u w:val="single"/>
        </w:rPr>
        <w:pict>
          <v:shape id="文本框 72" o:spid="_x0000_s4452" o:spt="202" type="#_x0000_t202" style="position:absolute;left:0pt;margin-left:324.85pt;margin-top:12.15pt;height:30.75pt;width:61.7pt;z-index:25178828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">
            <v:path/>
            <v:fill on="f" focussize="0,0"/>
            <v:stroke joinstyle="miter"/>
            <v:imagedata o:title=""/>
            <o:lock v:ext="edit"/>
            <v:textbox>
              <w:txbxContent>
                <w:p>
                  <w:pPr>
                    <w:jc w:val="center"/>
                    <w:rPr>
                      <w:szCs w:val="21"/>
                    </w:rPr>
                  </w:pPr>
                  <w:r>
                    <w:rPr>
                      <w:rFonts w:hint="eastAsia"/>
                      <w:szCs w:val="21"/>
                    </w:rPr>
                    <w:t>食堂</w:t>
                  </w:r>
                </w:p>
              </w:txbxContent>
            </v:textbox>
          </v:shape>
        </w:pict>
      </w:r>
    </w:p>
    <w:p>
      <w:pPr>
        <w:spacing w:line="520" w:lineRule="exact"/>
        <w:ind w:firstLine="527" w:firstLineChars="250"/>
        <w:rPr>
          <w:b/>
          <w:snapToGrid w:val="0"/>
          <w:color w:val="FF0000"/>
          <w:kern w:val="0"/>
          <w:sz w:val="24"/>
          <w:u w:val="single"/>
        </w:rPr>
      </w:pPr>
      <w:r>
        <w:rPr>
          <w:b/>
          <w:u w:val="single"/>
        </w:rPr>
        <w:pict>
          <v:shape id="文本框 923" o:spid="_x0000_s4436" o:spt="202" type="#_x0000_t202" style="position:absolute;left:0pt;margin-left:316pt;margin-top:21.55pt;height:46.4pt;width:70.55pt;z-index:251771904;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">
            <v:path/>
            <v:fill on="f" focussize="0,0"/>
            <v:stroke joinstyle="miter"/>
            <v:imagedata o:title=""/>
            <o:lock v:ext="edit"/>
            <v:textbox>
              <w:txbxContent>
                <w:p>
                  <w:pPr>
                    <w:rPr>
                      <w:szCs w:val="21"/>
                    </w:rPr>
                  </w:pPr>
                  <w:r>
                    <w:rPr>
                      <w:rFonts w:hint="eastAsia"/>
                      <w:bCs/>
                      <w:color w:val="000000"/>
                      <w:szCs w:val="21"/>
                    </w:rPr>
                    <w:t>无害化处理中心锅炉</w:t>
                  </w:r>
                </w:p>
              </w:txbxContent>
            </v:textbox>
          </v:shape>
        </w:pict>
      </w:r>
    </w:p>
    <w:p>
      <w:pPr>
        <w:spacing w:line="520" w:lineRule="exact"/>
        <w:ind w:firstLine="602" w:firstLineChars="250"/>
        <w:rPr>
          <w:b/>
          <w:snapToGrid w:val="0"/>
          <w:color w:val="FF0000"/>
          <w:kern w:val="0"/>
          <w:sz w:val="24"/>
          <w:u w:val="single"/>
        </w:rPr>
      </w:pPr>
    </w:p>
    <w:p>
      <w:pPr>
        <w:spacing w:line="520" w:lineRule="exact"/>
        <w:ind w:firstLine="2530" w:firstLineChars="1200"/>
        <w:rPr>
          <w:b/>
          <w:snapToGrid w:val="0"/>
          <w:color w:val="FF0000"/>
          <w:kern w:val="0"/>
          <w:sz w:val="24"/>
          <w:u w:val="single"/>
        </w:rPr>
      </w:pPr>
      <w:r>
        <w:rPr>
          <w:b/>
          <w:u w:val="single"/>
        </w:rPr>
        <w:pict>
          <v:shape id="文本框 85" o:spid="_x0000_s4457" o:spt="202" type="#_x0000_t202" style="position:absolute;left:0pt;margin-left:289.85pt;margin-top:24.8pt;height:23.8pt;width:39.9pt;z-index:251793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">
            <v:path/>
            <v:fill on="f" focussize="0,0"/>
            <v:stroke on="f" joinstyle="miter"/>
            <v:imagedata o:title=""/>
            <o:lock v:ext="edit"/>
            <v:textbox>
              <w:txbxContent>
                <w:p>
                  <w:pPr>
                    <w:rPr>
                      <w:szCs w:val="21"/>
                    </w:rPr>
                  </w:pPr>
                  <w:r>
                    <w:rPr>
                      <w:rFonts w:hint="eastAsia"/>
                      <w:szCs w:val="21"/>
                    </w:rPr>
                    <w:t>61.25</w:t>
                  </w:r>
                </w:p>
              </w:txbxContent>
            </v:textbox>
          </v:shape>
        </w:pict>
      </w:r>
    </w:p>
    <w:p>
      <w:pPr>
        <w:spacing w:line="520" w:lineRule="exact"/>
        <w:ind w:firstLine="2530" w:firstLineChars="1200"/>
        <w:rPr>
          <w:b/>
          <w:snapToGrid w:val="0"/>
          <w:color w:val="FF0000"/>
          <w:kern w:val="0"/>
          <w:sz w:val="24"/>
          <w:u w:val="single"/>
        </w:rPr>
      </w:pPr>
      <w:r>
        <w:rPr>
          <w:b/>
          <w:u w:val="single"/>
        </w:rPr>
        <w:pict>
          <v:line id="直线 88" o:spid="_x0000_s4454" o:spt="20" style="position:absolute;left:0pt;margin-left:282.5pt;margin-top:18.25pt;height:0pt;width:39.5pt;z-index:251790336;mso-width-relative:page;mso-height-relative:page;" coordsize="21600,21600" o:gfxdata="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&#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RHn1vYAAAACQEAAA8AAAAAAAAAAQAgAAAAIgAAAGRy&#10;cy9kb3ducmV2LnhtbFBLAQIUABQAAAAIAIdO4kCpSxFyzAEAAIcDAAAOAAAAAAAAAAEAIAAAACcB&#10;AABkcnMvZTJvRG9jLnhtbFBLBQYAAAAABgAGAFkBAABlBQAAAAA=&#10;">
            <v:path arrowok="t"/>
            <v:fill focussize="0,0"/>
            <v:stroke endarrow="block"/>
            <v:imagedata o:title=""/>
            <o:lock v:ext="edit"/>
          </v:line>
        </w:pict>
      </w:r>
      <w:r>
        <w:rPr>
          <w:b/>
          <w:u w:val="single"/>
        </w:rPr>
        <w:pict>
          <v:shape id="文本框 87" o:spid="_x0000_s4455" o:spt="202" type="#_x0000_t202" style="position:absolute;left:0pt;margin-left:322.85pt;margin-top:11.05pt;height:25.3pt;width:61.7pt;z-index:25179136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">
            <v:path/>
            <v:fill on="f" focussize="0,0"/>
            <v:stroke joinstyle="miter"/>
            <v:imagedata o:title=""/>
            <o:lock v:ext="edit"/>
            <v:textbox>
              <w:txbxContent>
                <w:p>
                  <w:pPr>
                    <w:jc w:val="center"/>
                    <w:rPr>
                      <w:szCs w:val="21"/>
                    </w:rPr>
                  </w:pPr>
                  <w:r>
                    <w:rPr>
                      <w:rFonts w:hint="eastAsia"/>
                      <w:szCs w:val="21"/>
                    </w:rPr>
                    <w:t>食堂</w:t>
                  </w:r>
                </w:p>
              </w:txbxContent>
            </v:textbox>
          </v:shape>
        </w:pict>
      </w:r>
    </w:p>
    <w:p>
      <w:pPr>
        <w:spacing w:line="520" w:lineRule="exact"/>
        <w:ind w:firstLine="482" w:firstLineChars="200"/>
        <w:rPr>
          <w:b/>
          <w:sz w:val="24"/>
          <w:u w:val="single"/>
        </w:rPr>
      </w:pPr>
    </w:p>
    <w:p>
      <w:pPr>
        <w:spacing w:line="520" w:lineRule="exact"/>
        <w:rPr>
          <w:b/>
          <w:snapToGrid w:val="0"/>
          <w:kern w:val="0"/>
          <w:sz w:val="24"/>
        </w:rPr>
      </w:pPr>
      <w:r>
        <w:rPr>
          <w:b/>
          <w:kern w:val="0"/>
          <w:sz w:val="24"/>
        </w:rPr>
        <w:pict>
          <v:rect id="矩形 1561" o:spid="_x0000_s4428" o:spt="1" style="position:absolute;left:0pt;margin-left:299.4pt;margin-top:1.15pt;height:66.9pt;width:50.85pt;z-index:251754496;mso-width-relative:page;mso-height-relative:page;" filled="f" stroked="f" coordsize="21600,21600">
            <v:path/>
            <v:fill on="f" focussize="0,0"/>
            <v:stroke on="f"/>
            <v:imagedata o:title=""/>
            <o:lock v:ext="edit"/>
            <v:textbox>
              <w:txbxContent>
                <w:p>
                  <w:r>
                    <w:rPr>
                      <w:rFonts w:hint="eastAsia"/>
                    </w:rPr>
                    <w:t>128.75</w:t>
                  </w:r>
                </w:p>
              </w:txbxContent>
            </v:textbox>
          </v:rect>
        </w:pict>
      </w:r>
      <w:r>
        <w:rPr>
          <w:b/>
          <w:snapToGrid w:val="0"/>
          <w:kern w:val="0"/>
          <w:sz w:val="24"/>
        </w:rPr>
        <w:t>图2.2-6      沼气利用平衡图     单位：</w:t>
      </w:r>
      <w:r>
        <w:rPr>
          <w:b/>
          <w:sz w:val="24"/>
        </w:rPr>
        <w:t>m</w:t>
      </w:r>
      <w:r>
        <w:rPr>
          <w:b/>
          <w:sz w:val="24"/>
          <w:vertAlign w:val="superscript"/>
        </w:rPr>
        <w:t>3</w:t>
      </w:r>
      <w:r>
        <w:rPr>
          <w:b/>
          <w:sz w:val="24"/>
        </w:rPr>
        <w:t>/d</w:t>
      </w:r>
    </w:p>
    <w:p>
      <w:pPr>
        <w:pStyle w:val="7"/>
        <w:spacing w:before="0" w:after="0" w:line="520" w:lineRule="exact"/>
        <w:rPr>
          <w:bCs/>
          <w:sz w:val="24"/>
          <w:szCs w:val="24"/>
        </w:rPr>
      </w:pPr>
      <w:r>
        <w:rPr>
          <w:bCs/>
          <w:sz w:val="24"/>
          <w:szCs w:val="24"/>
        </w:rPr>
        <w:t>2.2.3.5有机肥发酵工艺</w:t>
      </w:r>
    </w:p>
    <w:p>
      <w:pPr>
        <w:spacing w:line="520" w:lineRule="exact"/>
        <w:rPr>
          <w:sz w:val="24"/>
        </w:rPr>
      </w:pPr>
      <w:r>
        <w:rPr>
          <w:sz w:val="24"/>
        </w:rPr>
        <w:t>（1）堆肥工艺比较</w:t>
      </w:r>
    </w:p>
    <w:p>
      <w:pPr>
        <w:spacing w:line="520" w:lineRule="exact"/>
        <w:ind w:firstLine="480" w:firstLineChars="200"/>
        <w:rPr>
          <w:sz w:val="24"/>
        </w:rPr>
      </w:pPr>
      <w:r>
        <w:rPr>
          <w:sz w:val="24"/>
        </w:rPr>
        <w:t>根据堆肥技术的复杂程度以及使用情况，目前我国主要有三大类堆肥系统：条垛式、静态垛式和反应器系统。</w:t>
      </w:r>
    </w:p>
    <w:p>
      <w:pPr>
        <w:spacing w:line="500" w:lineRule="exact"/>
        <w:ind w:firstLine="480" w:firstLineChars="200"/>
        <w:rPr>
          <w:sz w:val="24"/>
        </w:rPr>
      </w:pPr>
      <w:r>
        <w:rPr>
          <w:sz w:val="24"/>
        </w:rPr>
        <w:t>牧原食品股份有限公司经多次试验研究，在条垛堆肥的基础上进行了改进：选用专门的铲车翻堆机定期翻堆，操作简单，同时该铲车翻堆机还具有破碎的功能，可增大物料的充氧量，更有利于好氧堆肥。为减小气候条件对堆肥的影响，项目固粪处置区采用半封闭场棚结构（顶部架设彩瓦拱棚、三面设置不低于1.0米高围挡、地面水泥硬化），受气候条件影响的程度降低；在固粪处置区通过喷洒植物型除臭剂对恶臭气体进行脱除，操作简单；公司对</w:t>
      </w:r>
      <w:r>
        <w:rPr>
          <w:rFonts w:hint="eastAsia"/>
          <w:sz w:val="24"/>
        </w:rPr>
        <w:t>固液分离机</w:t>
      </w:r>
      <w:r>
        <w:rPr>
          <w:sz w:val="24"/>
        </w:rPr>
        <w:t>进行了改进，通过整合治污区，合理配置资源，一定程度上减小了堆肥所需的占地面积，同时还减少了运输粪便带来的环境污染。</w:t>
      </w:r>
    </w:p>
    <w:p>
      <w:pPr>
        <w:spacing w:line="500" w:lineRule="exact"/>
        <w:ind w:firstLine="480" w:firstLineChars="200"/>
        <w:rPr>
          <w:sz w:val="24"/>
        </w:rPr>
      </w:pPr>
      <w:r>
        <w:rPr>
          <w:sz w:val="24"/>
        </w:rPr>
        <w:t>因此本项目采用改良后的条垛堆肥方式。</w:t>
      </w:r>
    </w:p>
    <w:p>
      <w:pPr>
        <w:spacing w:line="520" w:lineRule="exact"/>
        <w:rPr>
          <w:sz w:val="24"/>
        </w:rPr>
      </w:pPr>
      <w:r>
        <w:rPr>
          <w:sz w:val="24"/>
        </w:rPr>
        <w:t>（2）堆肥工艺介绍</w:t>
      </w:r>
    </w:p>
    <w:p>
      <w:pPr>
        <w:adjustRightInd w:val="0"/>
        <w:snapToGrid w:val="0"/>
        <w:spacing w:line="520" w:lineRule="exact"/>
        <w:ind w:firstLine="480" w:firstLineChars="200"/>
        <w:rPr>
          <w:sz w:val="24"/>
        </w:rPr>
      </w:pPr>
      <w:r>
        <w:rPr>
          <w:sz w:val="24"/>
        </w:rPr>
        <w:t>本次项目采用改良条垛堆肥工艺进行粪污堆肥处理，处理工艺如下：</w:t>
      </w:r>
    </w:p>
    <w:p>
      <w:pPr>
        <w:adjustRightInd w:val="0"/>
        <w:snapToGrid w:val="0"/>
        <w:spacing w:line="520" w:lineRule="exact"/>
        <w:ind w:firstLine="480" w:firstLineChars="200"/>
        <w:rPr>
          <w:sz w:val="24"/>
        </w:rPr>
      </w:pPr>
      <w:r>
        <w:rPr>
          <w:sz w:val="24"/>
        </w:rPr>
        <w:fldChar w:fldCharType="begin"/>
      </w:r>
      <w:r>
        <w:rPr>
          <w:sz w:val="24"/>
        </w:rPr>
        <w:instrText xml:space="preserve"> = 1 \* GB3 </w:instrText>
      </w:r>
      <w:r>
        <w:rPr>
          <w:sz w:val="24"/>
        </w:rPr>
        <w:fldChar w:fldCharType="separate"/>
      </w:r>
      <w:r>
        <w:rPr>
          <w:rFonts w:hint="eastAsia" w:ascii="宋体" w:hAnsi="宋体" w:cs="宋体"/>
          <w:sz w:val="24"/>
        </w:rPr>
        <w:t>①</w:t>
      </w:r>
      <w:r>
        <w:rPr>
          <w:sz w:val="24"/>
        </w:rPr>
        <w:fldChar w:fldCharType="end"/>
      </w:r>
      <w:r>
        <w:rPr>
          <w:sz w:val="24"/>
        </w:rPr>
        <w:t>原料预处理</w:t>
      </w:r>
    </w:p>
    <w:p>
      <w:pPr>
        <w:spacing w:line="520" w:lineRule="exact"/>
        <w:ind w:firstLine="480" w:firstLineChars="200"/>
        <w:rPr>
          <w:sz w:val="24"/>
        </w:rPr>
      </w:pPr>
      <w:r>
        <w:rPr>
          <w:sz w:val="24"/>
        </w:rPr>
        <w:t>堆肥过程中，合理的碳氮比是高效堆肥发酵的前提。碳素是堆肥微生物的基本能量来源，也是微生物细胞构成的基本材料。堆肥微生物在分解含碳有机物的同时，利用部分氮素来构建自身细胞体，氮是构成细胞中蛋白质、核酸、氨基酸、酶、辅酶的重要组成部分。经过长期的实际生产与研究经验，本项目利用比较廉价且有机物含量高、吸附能力强的谷糠为辅料进行碳氮比调节。</w:t>
      </w:r>
    </w:p>
    <w:p>
      <w:pPr>
        <w:adjustRightInd w:val="0"/>
        <w:snapToGrid w:val="0"/>
        <w:spacing w:line="520" w:lineRule="exact"/>
        <w:ind w:firstLine="480" w:firstLineChars="200"/>
        <w:rPr>
          <w:sz w:val="24"/>
        </w:rPr>
      </w:pPr>
      <w:r>
        <w:rPr>
          <w:sz w:val="24"/>
        </w:rPr>
        <w:t>场区运营初期产生的新鲜猪粪经晾晒后，添加菌种进行发酵；后续产生的新鲜猪粪与初期产生的半成品有机肥基肥混合发酵。</w:t>
      </w:r>
    </w:p>
    <w:p>
      <w:pPr>
        <w:adjustRightInd w:val="0"/>
        <w:snapToGrid w:val="0"/>
        <w:spacing w:line="520" w:lineRule="exact"/>
        <w:ind w:firstLine="480" w:firstLineChars="200"/>
        <w:rPr>
          <w:sz w:val="24"/>
        </w:rPr>
      </w:pPr>
      <w:r>
        <w:rPr>
          <w:sz w:val="24"/>
        </w:rPr>
        <w:fldChar w:fldCharType="begin"/>
      </w:r>
      <w:r>
        <w:rPr>
          <w:sz w:val="24"/>
        </w:rPr>
        <w:instrText xml:space="preserve"> = 2 \* GB3 </w:instrText>
      </w:r>
      <w:r>
        <w:rPr>
          <w:sz w:val="24"/>
        </w:rPr>
        <w:fldChar w:fldCharType="separate"/>
      </w:r>
      <w:r>
        <w:rPr>
          <w:rFonts w:hint="eastAsia" w:ascii="宋体" w:hAnsi="宋体" w:cs="宋体"/>
          <w:sz w:val="24"/>
        </w:rPr>
        <w:t>②</w:t>
      </w:r>
      <w:r>
        <w:rPr>
          <w:sz w:val="24"/>
        </w:rPr>
        <w:fldChar w:fldCharType="end"/>
      </w:r>
      <w:r>
        <w:rPr>
          <w:sz w:val="24"/>
        </w:rPr>
        <w:t>发酵</w:t>
      </w:r>
    </w:p>
    <w:p>
      <w:pPr>
        <w:adjustRightInd w:val="0"/>
        <w:snapToGrid w:val="0"/>
        <w:spacing w:line="520" w:lineRule="exact"/>
        <w:ind w:firstLine="480" w:firstLineChars="200"/>
        <w:rPr>
          <w:sz w:val="24"/>
        </w:rPr>
      </w:pPr>
      <w:r>
        <w:rPr>
          <w:sz w:val="24"/>
        </w:rPr>
        <w:t>本项目发酵为好氧发酵，发酵时间为15天。好氧发酵是在有氧气存在的条件下，利用好氧微生物的外酶将物料分解为溶解性有机质，溶解性有机质可以渗入微生物细胞内，微生物通过新陈代谢把一部分溶解性有机质氧化为简单的无机物，为微生物的生命活动提供能量，其余溶解性有机物被转化为营养物质，形成新的细胞体，使微生物不断繁殖，从而促进物料中可被生物降解的有机质向稳定的腐殖质转化。</w:t>
      </w:r>
    </w:p>
    <w:p>
      <w:pPr>
        <w:adjustRightInd w:val="0"/>
        <w:snapToGrid w:val="0"/>
        <w:spacing w:line="520" w:lineRule="exact"/>
        <w:ind w:firstLine="480" w:firstLineChars="200"/>
        <w:rPr>
          <w:sz w:val="24"/>
        </w:rPr>
      </w:pPr>
      <w:r>
        <w:rPr>
          <w:sz w:val="24"/>
        </w:rPr>
        <w:t>本项目混合后的物料用铲车翻堆机在发酵区堆成条垛状，条垛每条宽约1.8m，高1.2—1.6m。每天用铲车翻堆机翻堆一次，使物料充氧充分，可使堆体在1—3天内温度上升至25—45</w:t>
      </w:r>
      <w:r>
        <w:rPr>
          <w:rFonts w:hint="eastAsia" w:ascii="宋体" w:hAnsi="宋体" w:cs="宋体"/>
          <w:sz w:val="24"/>
        </w:rPr>
        <w:t>℃</w:t>
      </w:r>
      <w:r>
        <w:rPr>
          <w:sz w:val="24"/>
        </w:rPr>
        <w:t>，堆体温度达到60—70</w:t>
      </w:r>
      <w:r>
        <w:rPr>
          <w:rFonts w:hint="eastAsia" w:ascii="宋体" w:hAnsi="宋体" w:cs="宋体"/>
          <w:sz w:val="24"/>
        </w:rPr>
        <w:t>℃</w:t>
      </w:r>
      <w:r>
        <w:rPr>
          <w:sz w:val="24"/>
        </w:rPr>
        <w:t>后发酵稳定，物料中纤维素和木质素也开始分解，腐殖质开始形成。堆体温度最高能达到80</w:t>
      </w:r>
      <w:r>
        <w:rPr>
          <w:rFonts w:hint="eastAsia" w:ascii="宋体" w:hAnsi="宋体" w:cs="宋体"/>
          <w:sz w:val="24"/>
        </w:rPr>
        <w:t>℃</w:t>
      </w:r>
      <w:r>
        <w:rPr>
          <w:sz w:val="24"/>
        </w:rPr>
        <w:t>，充分发酵后温度逐步降低。</w:t>
      </w:r>
    </w:p>
    <w:p>
      <w:pPr>
        <w:adjustRightInd w:val="0"/>
        <w:snapToGrid w:val="0"/>
        <w:spacing w:line="520" w:lineRule="exact"/>
        <w:ind w:firstLine="480" w:firstLineChars="200"/>
        <w:rPr>
          <w:sz w:val="24"/>
        </w:rPr>
      </w:pPr>
      <w:r>
        <w:rPr>
          <w:sz w:val="24"/>
        </w:rPr>
        <w:t>翻堆的同时可将物料充分混合均匀，经发酵后的物料含水率约为40%。</w:t>
      </w:r>
    </w:p>
    <w:p>
      <w:pPr>
        <w:adjustRightInd w:val="0"/>
        <w:snapToGrid w:val="0"/>
        <w:spacing w:line="520" w:lineRule="exact"/>
        <w:ind w:firstLine="480" w:firstLineChars="200"/>
        <w:rPr>
          <w:sz w:val="24"/>
        </w:rPr>
      </w:pPr>
      <w:r>
        <w:rPr>
          <w:sz w:val="24"/>
        </w:rPr>
        <w:t xml:space="preserve">本项目堆肥发酵过程分为4个阶段： </w:t>
      </w:r>
    </w:p>
    <w:p>
      <w:pPr>
        <w:adjustRightInd w:val="0"/>
        <w:snapToGrid w:val="0"/>
        <w:spacing w:line="520" w:lineRule="exact"/>
        <w:ind w:firstLine="480" w:firstLineChars="200"/>
        <w:rPr>
          <w:sz w:val="24"/>
        </w:rPr>
      </w:pPr>
      <w:r>
        <w:rPr>
          <w:sz w:val="24"/>
        </w:rPr>
        <w:t>A、升温阶段</w:t>
      </w:r>
    </w:p>
    <w:p>
      <w:pPr>
        <w:adjustRightInd w:val="0"/>
        <w:snapToGrid w:val="0"/>
        <w:spacing w:line="520" w:lineRule="exact"/>
        <w:ind w:firstLine="480" w:firstLineChars="200"/>
        <w:rPr>
          <w:sz w:val="24"/>
        </w:rPr>
      </w:pPr>
      <w:r>
        <w:rPr>
          <w:sz w:val="24"/>
        </w:rPr>
        <w:t>这个过程一般指堆肥过程的初期，在该阶段，堆肥温度逐步从环境温度上升到45</w:t>
      </w:r>
      <w:r>
        <w:rPr>
          <w:rFonts w:hint="eastAsia" w:ascii="宋体" w:hAnsi="宋体" w:cs="宋体"/>
          <w:sz w:val="24"/>
        </w:rPr>
        <w:t>℃</w:t>
      </w:r>
      <w:r>
        <w:rPr>
          <w:sz w:val="24"/>
        </w:rPr>
        <w:t>左右，主导微生物以嗜温性微生物为主，包括细菌、真菌和放线菌，分解底物以糖类和淀粉为主，期间能发现真菌的子实体，也有动物及原生动物参与分解。</w:t>
      </w:r>
    </w:p>
    <w:p>
      <w:pPr>
        <w:adjustRightInd w:val="0"/>
        <w:snapToGrid w:val="0"/>
        <w:spacing w:line="520" w:lineRule="exact"/>
        <w:ind w:firstLine="480" w:firstLineChars="200"/>
        <w:rPr>
          <w:sz w:val="24"/>
        </w:rPr>
      </w:pPr>
      <w:r>
        <w:rPr>
          <w:sz w:val="24"/>
        </w:rPr>
        <w:t>B、高温阶段</w:t>
      </w:r>
    </w:p>
    <w:p>
      <w:pPr>
        <w:adjustRightInd w:val="0"/>
        <w:snapToGrid w:val="0"/>
        <w:spacing w:line="520" w:lineRule="exact"/>
        <w:ind w:firstLine="480" w:firstLineChars="200"/>
        <w:rPr>
          <w:sz w:val="24"/>
        </w:rPr>
      </w:pPr>
      <w:r>
        <w:rPr>
          <w:sz w:val="24"/>
        </w:rPr>
        <w:t>堆温升至45</w:t>
      </w:r>
      <w:r>
        <w:rPr>
          <w:rFonts w:hint="eastAsia" w:ascii="宋体" w:hAnsi="宋体" w:cs="宋体"/>
          <w:sz w:val="24"/>
        </w:rPr>
        <w:t>℃</w:t>
      </w:r>
      <w:r>
        <w:rPr>
          <w:sz w:val="24"/>
        </w:rPr>
        <w:t>以上即进入高温阶段，在这一阶段，嗜温微生物受到抑制甚至死亡，而嗜热微生物则上升为主导微生物。堆肥中残留的和新生成的可溶性有机物质继续被氧化分解，复杂的有机物如半纤维素-纤维素和蛋白质也开始被强烈分解。微生物的活动交替出现，通常在50</w:t>
      </w:r>
      <w:r>
        <w:rPr>
          <w:rFonts w:hint="eastAsia" w:ascii="宋体" w:hAnsi="宋体" w:cs="宋体"/>
          <w:sz w:val="24"/>
        </w:rPr>
        <w:t>℃</w:t>
      </w:r>
      <w:r>
        <w:rPr>
          <w:sz w:val="24"/>
        </w:rPr>
        <w:t>左右时最活跃的是嗜热性真菌和放线菌，温度上升到60</w:t>
      </w:r>
      <w:r>
        <w:rPr>
          <w:rFonts w:hint="eastAsia" w:ascii="宋体" w:hAnsi="宋体" w:cs="宋体"/>
          <w:sz w:val="24"/>
        </w:rPr>
        <w:t>℃</w:t>
      </w:r>
      <w:r>
        <w:rPr>
          <w:sz w:val="24"/>
        </w:rPr>
        <w:t>时真菌几乎完全停止活动，仅有嗜热性细菌和放线菌活动，温度升到70</w:t>
      </w:r>
      <w:r>
        <w:rPr>
          <w:rFonts w:hint="eastAsia" w:ascii="宋体" w:hAnsi="宋体" w:cs="宋体"/>
          <w:sz w:val="24"/>
        </w:rPr>
        <w:t>℃</w:t>
      </w:r>
      <w:r>
        <w:rPr>
          <w:sz w:val="24"/>
        </w:rPr>
        <w:t>时大多数嗜热性微生物已不再适应，并大批进入休眠和死亡阶段。</w:t>
      </w:r>
    </w:p>
    <w:p>
      <w:pPr>
        <w:adjustRightInd w:val="0"/>
        <w:snapToGrid w:val="0"/>
        <w:spacing w:line="520" w:lineRule="exact"/>
        <w:ind w:firstLine="480" w:firstLineChars="200"/>
        <w:rPr>
          <w:sz w:val="24"/>
        </w:rPr>
      </w:pPr>
      <w:r>
        <w:rPr>
          <w:sz w:val="24"/>
        </w:rPr>
        <w:t>牧原公司采用现代化的工艺生产有机肥基肥，最佳温度为55</w:t>
      </w:r>
      <w:r>
        <w:rPr>
          <w:rFonts w:hint="eastAsia" w:ascii="宋体" w:hAnsi="宋体" w:cs="宋体"/>
          <w:sz w:val="24"/>
        </w:rPr>
        <w:t>℃</w:t>
      </w:r>
      <w:r>
        <w:rPr>
          <w:sz w:val="24"/>
        </w:rPr>
        <w:t>，这是因为大多数微生物在该温度范围内最活跃，最易分解有机物，而病原菌和寄生虫大多数可被杀死。</w:t>
      </w:r>
    </w:p>
    <w:p>
      <w:pPr>
        <w:adjustRightInd w:val="0"/>
        <w:snapToGrid w:val="0"/>
        <w:spacing w:line="520" w:lineRule="exact"/>
        <w:ind w:firstLine="480" w:firstLineChars="200"/>
        <w:rPr>
          <w:sz w:val="24"/>
        </w:rPr>
      </w:pPr>
      <w:r>
        <w:rPr>
          <w:sz w:val="24"/>
        </w:rPr>
        <w:t>C、降温阶段</w:t>
      </w:r>
    </w:p>
    <w:p>
      <w:pPr>
        <w:adjustRightInd w:val="0"/>
        <w:snapToGrid w:val="0"/>
        <w:spacing w:line="520" w:lineRule="exact"/>
        <w:ind w:firstLine="480" w:firstLineChars="200"/>
        <w:rPr>
          <w:sz w:val="24"/>
        </w:rPr>
      </w:pPr>
      <w:r>
        <w:rPr>
          <w:sz w:val="24"/>
        </w:rPr>
        <w:t>高温阶段必然造成微生物的死亡和活动减少，自然进入低温阶段。在这一阶段，嗜温性微生物又开始占据优势，对残余较难分解的有机物作进一步的分解，但微生物活性普遍下降，堆体发热量减少，温度开始下降，有机物趋于稳定化，需氧量大大减少，堆肥进入腐熟或后熟阶段。</w:t>
      </w:r>
    </w:p>
    <w:p>
      <w:pPr>
        <w:adjustRightInd w:val="0"/>
        <w:snapToGrid w:val="0"/>
        <w:spacing w:line="520" w:lineRule="exact"/>
        <w:ind w:firstLine="480" w:firstLineChars="200"/>
        <w:rPr>
          <w:sz w:val="24"/>
        </w:rPr>
      </w:pPr>
      <w:r>
        <w:rPr>
          <w:sz w:val="24"/>
        </w:rPr>
        <w:t>D、腐熟保肥阶段</w:t>
      </w:r>
    </w:p>
    <w:p>
      <w:pPr>
        <w:adjustRightInd w:val="0"/>
        <w:snapToGrid w:val="0"/>
        <w:spacing w:line="520" w:lineRule="exact"/>
        <w:ind w:firstLine="480" w:firstLineChars="200"/>
        <w:rPr>
          <w:sz w:val="24"/>
        </w:rPr>
      </w:pPr>
      <w:r>
        <w:rPr>
          <w:sz w:val="24"/>
        </w:rPr>
        <w:t>有机物大部分已经分解和稳定，温度下降，为了保持已形成的腐殖质和微量的氮、磷、钾肥等，要使腐熟的肥料保持平衡。堆肥腐熟后，体积缩小，堆温下降至稍高于气温，应将堆体压紧，有机成分处于厌氧条件下，防止出现矿质化，以利于肥力的保存。发酵后的固体有机肥，经过腐熟度检测、质量检测、安全检测后在发酵场通过自然风干、晾晒等方法把含水量降至30%以下，然后进行人工装袋，外售。</w:t>
      </w:r>
    </w:p>
    <w:p>
      <w:pPr>
        <w:spacing w:line="520" w:lineRule="exact"/>
        <w:ind w:firstLine="480" w:firstLineChars="200"/>
        <w:rPr>
          <w:sz w:val="24"/>
        </w:rPr>
      </w:pPr>
      <w:r>
        <w:rPr>
          <w:sz w:val="24"/>
        </w:rPr>
        <w:t>本项目拟选取有机肥肥料工艺流程如下：</w:t>
      </w:r>
    </w:p>
    <w:p>
      <w:pPr>
        <w:rPr>
          <w:sz w:val="24"/>
        </w:rPr>
      </w:pPr>
      <w:r>
        <w:rPr>
          <w:sz w:val="24"/>
        </w:rPr>
        <w:pict>
          <v:rect id="_x0000_s4393" o:spid="_x0000_s4393" o:spt="1" style="position:absolute;left:0pt;margin-left:342.15pt;margin-top:45.05pt;height:24.75pt;width:87pt;z-index:251750400;mso-width-relative:page;mso-height-relative:page;" coordsize="21600,21600">
            <v:path/>
            <v:fill focussize="0,0"/>
            <v:stroke/>
            <v:imagedata o:title=""/>
            <o:lock v:ext="edit"/>
            <v:textbox>
              <w:txbxContent>
                <w:p>
                  <w:r>
                    <w:rPr>
                      <w:rFonts w:hint="eastAsia"/>
                    </w:rPr>
                    <w:t>有机肥基肥料</w:t>
                  </w:r>
                </w:p>
              </w:txbxContent>
            </v:textbox>
          </v:rect>
        </w:pict>
      </w:r>
      <w:r>
        <w:rPr>
          <w:sz w:val="24"/>
        </w:rPr>
        <w:pict>
          <v:rect id="_x0000_s4392" o:spid="_x0000_s4392" o:spt="1" style="position:absolute;left:0pt;margin-left:-6.6pt;margin-top:19.55pt;height:25.5pt;width:75.75pt;z-index:251749376;mso-width-relative:page;mso-height-relative:page;" stroked="f" coordsize="21600,21600">
            <v:path/>
            <v:fill focussize="0,0"/>
            <v:stroke on="f"/>
            <v:imagedata o:title=""/>
            <o:lock v:ext="edit"/>
            <v:textbox>
              <w:txbxContent>
                <w:p>
                  <w:r>
                    <w:rPr>
                      <w:rFonts w:hint="eastAsia"/>
                    </w:rPr>
                    <w:t>半成品肥料</w:t>
                  </w:r>
                </w:p>
              </w:txbxContent>
            </v:textbox>
          </v:rect>
        </w:pict>
      </w:r>
      <w:r>
        <w:rPr>
          <w:sz w:val="24"/>
        </w:rPr>
        <w:drawing>
          <wp:inline distT="0" distB="0" distL="0" distR="0">
            <wp:extent cx="5305425" cy="1104900"/>
            <wp:effectExtent l="19050" t="0" r="9525" b="0"/>
            <wp:docPr id="23" name="图片 7" descr="C:\Users\wl\AppData\Local\Temp\15446657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C:\Users\wl\AppData\Local\Temp\1544665736(1).png"/>
                    <pic:cNvPicPr>
                      <a:picLocks noChangeAspect="1" noChangeArrowheads="1"/>
                    </pic:cNvPicPr>
                  </pic:nvPicPr>
                  <pic:blipFill>
                    <a:blip r:embed="rId15" cstate="print"/>
                    <a:srcRect/>
                    <a:stretch>
                      <a:fillRect/>
                    </a:stretch>
                  </pic:blipFill>
                  <pic:spPr>
                    <a:xfrm>
                      <a:off x="0" y="0"/>
                      <a:ext cx="5305425" cy="1104900"/>
                    </a:xfrm>
                    <a:prstGeom prst="rect">
                      <a:avLst/>
                    </a:prstGeom>
                    <a:noFill/>
                    <a:ln w="9525">
                      <a:noFill/>
                      <a:miter lim="800000"/>
                      <a:headEnd/>
                      <a:tailEnd/>
                    </a:ln>
                  </pic:spPr>
                </pic:pic>
              </a:graphicData>
            </a:graphic>
          </wp:inline>
        </w:drawing>
      </w:r>
    </w:p>
    <w:p>
      <w:pPr>
        <w:spacing w:afterLines="30" w:line="500" w:lineRule="exact"/>
        <w:jc w:val="center"/>
        <w:rPr>
          <w:sz w:val="24"/>
        </w:rPr>
      </w:pPr>
      <w:r>
        <w:rPr>
          <w:sz w:val="24"/>
        </w:rPr>
        <w:t>图2.2-7   制肥工艺流程及产污环节图</w:t>
      </w:r>
    </w:p>
    <w:p>
      <w:pPr>
        <w:spacing w:line="520" w:lineRule="exact"/>
        <w:ind w:firstLine="480" w:firstLineChars="200"/>
        <w:rPr>
          <w:sz w:val="24"/>
        </w:rPr>
      </w:pPr>
      <w:r>
        <w:rPr>
          <w:sz w:val="24"/>
        </w:rPr>
        <w:t>本项目设置1个固粪处置区（有机肥基肥料生产车间），固粪处置区三面设置1米高围挡，顶部设置顶棚，地面水泥混凝土硬化，能够有效起到防风、防雨、防渗的三防作用（具体布设见附图四厂区平面布置图）。</w:t>
      </w:r>
    </w:p>
    <w:p>
      <w:pPr>
        <w:spacing w:line="500" w:lineRule="exact"/>
        <w:ind w:firstLine="480" w:firstLineChars="200"/>
        <w:rPr>
          <w:sz w:val="24"/>
        </w:rPr>
      </w:pPr>
      <w:r>
        <w:rPr>
          <w:sz w:val="24"/>
        </w:rPr>
        <w:t>项目猪粪、沼渣暂存依托项目固粪处置区分区存放，根据后续分析，本次项目固粪处理区猪粪量为</w:t>
      </w:r>
      <w:r>
        <w:rPr>
          <w:color w:val="000000"/>
          <w:sz w:val="24"/>
        </w:rPr>
        <w:t xml:space="preserve">4163.09 </w:t>
      </w:r>
      <w:r>
        <w:rPr>
          <w:sz w:val="24"/>
        </w:rPr>
        <w:t>t/a（含水率65%），通过接种少量菌种（约2.0t/a）和发酵的半成品猪粪发酵生成有机肥基肥，发酵后的固体有机肥基肥料，经过腐熟度检测、质量检测、安全检测后在通过自然风干、晾晒等方法把含水量降至30%以下，</w:t>
      </w:r>
      <w:r>
        <w:rPr>
          <w:bCs/>
          <w:color w:val="000000"/>
          <w:sz w:val="24"/>
        </w:rPr>
        <w:t>然后称重后工人用铁锨装入40kg的袋中，经过封袋机封口后统一经货车拉走外售。</w:t>
      </w:r>
      <w:r>
        <w:rPr>
          <w:sz w:val="24"/>
        </w:rPr>
        <w:t>最终有机肥基肥料的产量为</w:t>
      </w:r>
      <w:r>
        <w:rPr>
          <w:rFonts w:hint="eastAsia"/>
          <w:sz w:val="24"/>
        </w:rPr>
        <w:t>2081.54</w:t>
      </w:r>
      <w:r>
        <w:rPr>
          <w:sz w:val="24"/>
        </w:rPr>
        <w:t>t/a。</w:t>
      </w:r>
    </w:p>
    <w:p>
      <w:pPr>
        <w:snapToGrid w:val="0"/>
        <w:spacing w:line="360" w:lineRule="auto"/>
        <w:ind w:firstLine="482" w:firstLineChars="200"/>
        <w:rPr>
          <w:b/>
          <w:bCs/>
          <w:spacing w:val="-4"/>
          <w:sz w:val="24"/>
        </w:rPr>
      </w:pPr>
      <w:bookmarkStart w:id="115" w:name="_Toc28534"/>
      <w:bookmarkStart w:id="116" w:name="_Toc31308"/>
      <w:bookmarkStart w:id="117" w:name="_Toc485996377"/>
      <w:bookmarkStart w:id="118" w:name="_Toc445457720"/>
      <w:r>
        <w:rPr>
          <w:b/>
          <w:sz w:val="24"/>
        </w:rPr>
        <w:t>2.2.3.6</w:t>
      </w:r>
      <w:r>
        <w:rPr>
          <w:b/>
          <w:bCs/>
          <w:spacing w:val="-4"/>
          <w:sz w:val="24"/>
        </w:rPr>
        <w:t>卫生防疫系统</w:t>
      </w:r>
    </w:p>
    <w:p>
      <w:pPr>
        <w:adjustRightInd w:val="0"/>
        <w:snapToGrid w:val="0"/>
        <w:spacing w:line="360" w:lineRule="auto"/>
        <w:ind w:firstLine="525" w:firstLineChars="218"/>
        <w:rPr>
          <w:b/>
          <w:sz w:val="24"/>
          <w:szCs w:val="22"/>
        </w:rPr>
      </w:pPr>
      <w:r>
        <w:rPr>
          <w:b/>
          <w:sz w:val="24"/>
        </w:rPr>
        <w:t>(1)卫生防疫(猪舍、人员、车辆消毒)</w:t>
      </w:r>
    </w:p>
    <w:p>
      <w:pPr>
        <w:adjustRightInd w:val="0"/>
        <w:snapToGrid w:val="0"/>
        <w:spacing w:line="360" w:lineRule="auto"/>
        <w:ind w:firstLine="523" w:firstLineChars="218"/>
        <w:rPr>
          <w:sz w:val="24"/>
        </w:rPr>
      </w:pPr>
      <w:r>
        <w:rPr>
          <w:sz w:val="24"/>
        </w:rPr>
        <w:t>在猪出栏后，通过高压水枪喷淋过氧乙酸对猪舍进行消毒处理，发生特别疫情时用高锰酸钾消毒液进行消毒处理。场内部养殖区、办公生活区建设实体隔离墙；场区内人员通过密封通道到达猪舍单元，饲料车和其它车辆通过专门道路到达指定区域；场区、生产场区大门口建设与门同宽，长18m，宽3.5m的消毒池。</w:t>
      </w:r>
    </w:p>
    <w:p>
      <w:pPr>
        <w:adjustRightInd w:val="0"/>
        <w:snapToGrid w:val="0"/>
        <w:spacing w:line="360" w:lineRule="auto"/>
        <w:ind w:firstLine="525" w:firstLineChars="218"/>
        <w:rPr>
          <w:b/>
          <w:sz w:val="24"/>
        </w:rPr>
      </w:pPr>
      <w:r>
        <w:rPr>
          <w:b/>
          <w:sz w:val="24"/>
        </w:rPr>
        <w:t>(2)消毒防疫管理制度</w:t>
      </w:r>
    </w:p>
    <w:p>
      <w:pPr>
        <w:adjustRightInd w:val="0"/>
        <w:snapToGrid w:val="0"/>
        <w:spacing w:line="360" w:lineRule="auto"/>
        <w:ind w:firstLine="523" w:firstLineChars="218"/>
        <w:rPr>
          <w:sz w:val="24"/>
        </w:rPr>
      </w:pPr>
      <w:r>
        <w:rPr>
          <w:rFonts w:hint="eastAsia" w:ascii="宋体" w:hAnsi="宋体" w:cs="宋体"/>
          <w:sz w:val="24"/>
        </w:rPr>
        <w:t>①</w:t>
      </w:r>
      <w:r>
        <w:rPr>
          <w:sz w:val="24"/>
        </w:rPr>
        <w:t>猪流管理制度</w:t>
      </w:r>
    </w:p>
    <w:p>
      <w:pPr>
        <w:adjustRightInd w:val="0"/>
        <w:snapToGrid w:val="0"/>
        <w:spacing w:line="360" w:lineRule="auto"/>
        <w:ind w:firstLine="523" w:firstLineChars="218"/>
        <w:rPr>
          <w:sz w:val="24"/>
        </w:rPr>
      </w:pPr>
      <w:r>
        <w:rPr>
          <w:sz w:val="24"/>
        </w:rPr>
        <w:t>段长之间要提前沟通，(哺乳转保育转育肥)。</w:t>
      </w:r>
    </w:p>
    <w:p>
      <w:pPr>
        <w:adjustRightInd w:val="0"/>
        <w:snapToGrid w:val="0"/>
        <w:spacing w:line="360" w:lineRule="auto"/>
        <w:ind w:firstLine="523" w:firstLineChars="218"/>
        <w:rPr>
          <w:sz w:val="24"/>
        </w:rPr>
      </w:pPr>
      <w:r>
        <w:rPr>
          <w:sz w:val="24"/>
        </w:rPr>
        <w:t>转猪群前先做好计划，安排好车辆，认真彻底消毒。</w:t>
      </w:r>
    </w:p>
    <w:p>
      <w:pPr>
        <w:adjustRightInd w:val="0"/>
        <w:snapToGrid w:val="0"/>
        <w:spacing w:line="360" w:lineRule="auto"/>
        <w:ind w:firstLine="488" w:firstLineChars="218"/>
        <w:rPr>
          <w:spacing w:val="-8"/>
          <w:sz w:val="24"/>
        </w:rPr>
      </w:pPr>
      <w:r>
        <w:rPr>
          <w:spacing w:val="-8"/>
          <w:sz w:val="24"/>
        </w:rPr>
        <w:t>死猪无害化处理——生产区内死亡猪尸体，应于同一天内妥善弃置于指定的区域内转走。</w:t>
      </w:r>
    </w:p>
    <w:p>
      <w:pPr>
        <w:adjustRightInd w:val="0"/>
        <w:snapToGrid w:val="0"/>
        <w:spacing w:line="360" w:lineRule="auto"/>
        <w:ind w:firstLine="523" w:firstLineChars="218"/>
        <w:rPr>
          <w:sz w:val="24"/>
        </w:rPr>
      </w:pPr>
      <w:r>
        <w:rPr>
          <w:rFonts w:hint="eastAsia" w:ascii="宋体" w:hAnsi="宋体" w:cs="宋体"/>
          <w:sz w:val="24"/>
        </w:rPr>
        <w:t>②</w:t>
      </w:r>
      <w:r>
        <w:rPr>
          <w:sz w:val="24"/>
        </w:rPr>
        <w:t>车流管理</w:t>
      </w:r>
    </w:p>
    <w:p>
      <w:pPr>
        <w:adjustRightInd w:val="0"/>
        <w:snapToGrid w:val="0"/>
        <w:spacing w:line="360" w:lineRule="auto"/>
        <w:ind w:firstLine="523" w:firstLineChars="218"/>
        <w:rPr>
          <w:sz w:val="24"/>
        </w:rPr>
      </w:pPr>
      <w:r>
        <w:rPr>
          <w:sz w:val="24"/>
        </w:rPr>
        <w:t>a、外部拉猪车</w:t>
      </w:r>
    </w:p>
    <w:p>
      <w:pPr>
        <w:adjustRightInd w:val="0"/>
        <w:snapToGrid w:val="0"/>
        <w:spacing w:line="360" w:lineRule="auto"/>
        <w:ind w:firstLine="523" w:firstLineChars="218"/>
        <w:rPr>
          <w:sz w:val="24"/>
        </w:rPr>
      </w:pPr>
      <w:r>
        <w:rPr>
          <w:sz w:val="24"/>
        </w:rPr>
        <w:t>包括种猪、商品猪、淘汰猪等运输车辆。</w:t>
      </w:r>
    </w:p>
    <w:p>
      <w:pPr>
        <w:adjustRightInd w:val="0"/>
        <w:snapToGrid w:val="0"/>
        <w:spacing w:line="360" w:lineRule="auto"/>
        <w:ind w:firstLine="523" w:firstLineChars="218"/>
        <w:rPr>
          <w:sz w:val="24"/>
        </w:rPr>
      </w:pPr>
      <w:r>
        <w:rPr>
          <w:sz w:val="24"/>
        </w:rPr>
        <w:t>活动范围：场外装猪台区域</w:t>
      </w:r>
    </w:p>
    <w:p>
      <w:pPr>
        <w:adjustRightInd w:val="0"/>
        <w:snapToGrid w:val="0"/>
        <w:spacing w:line="360" w:lineRule="auto"/>
        <w:ind w:firstLine="523" w:firstLineChars="218"/>
        <w:rPr>
          <w:sz w:val="24"/>
        </w:rPr>
      </w:pPr>
      <w:r>
        <w:rPr>
          <w:sz w:val="24"/>
        </w:rPr>
        <w:t>消毒要求：进场检查消毒情况，出示消毒凭证，装猪后及时清刷，消毒装猪台。必须根据车辆来源，运输猪的危险性做好相应的防控，避免车辆的接触，人员的接触，乃至车辆内物品，人员的衣物等的处理。</w:t>
      </w:r>
    </w:p>
    <w:p>
      <w:pPr>
        <w:adjustRightInd w:val="0"/>
        <w:snapToGrid w:val="0"/>
        <w:spacing w:line="360" w:lineRule="auto"/>
        <w:ind w:firstLine="523" w:firstLineChars="218"/>
        <w:rPr>
          <w:sz w:val="24"/>
        </w:rPr>
      </w:pPr>
      <w:r>
        <w:rPr>
          <w:sz w:val="24"/>
        </w:rPr>
        <w:t>b、公司送料车</w:t>
      </w:r>
    </w:p>
    <w:p>
      <w:pPr>
        <w:adjustRightInd w:val="0"/>
        <w:snapToGrid w:val="0"/>
        <w:spacing w:line="360" w:lineRule="auto"/>
        <w:ind w:firstLine="523" w:firstLineChars="218"/>
        <w:rPr>
          <w:sz w:val="24"/>
        </w:rPr>
      </w:pPr>
      <w:r>
        <w:rPr>
          <w:sz w:val="24"/>
        </w:rPr>
        <w:t>活动范围：生产区指定的路线</w:t>
      </w:r>
    </w:p>
    <w:p>
      <w:pPr>
        <w:adjustRightInd w:val="0"/>
        <w:snapToGrid w:val="0"/>
        <w:spacing w:line="360" w:lineRule="auto"/>
        <w:ind w:firstLine="523" w:firstLineChars="218"/>
        <w:rPr>
          <w:sz w:val="24"/>
        </w:rPr>
      </w:pPr>
      <w:r>
        <w:rPr>
          <w:sz w:val="24"/>
        </w:rPr>
        <w:t>消毒要求：进入大门时要对车辆全面清洗消毒，经过消毒池进入场内，在生产区内卸料时要避免饲养员直接接触饲料车，可以指定专人操作，杜绝司机下车。</w:t>
      </w:r>
    </w:p>
    <w:p>
      <w:pPr>
        <w:adjustRightInd w:val="0"/>
        <w:snapToGrid w:val="0"/>
        <w:spacing w:line="360" w:lineRule="auto"/>
        <w:ind w:firstLine="523" w:firstLineChars="218"/>
        <w:rPr>
          <w:sz w:val="24"/>
        </w:rPr>
      </w:pPr>
      <w:r>
        <w:rPr>
          <w:sz w:val="24"/>
        </w:rPr>
        <w:t>c、内部转猪车辆</w:t>
      </w:r>
    </w:p>
    <w:p>
      <w:pPr>
        <w:adjustRightInd w:val="0"/>
        <w:snapToGrid w:val="0"/>
        <w:spacing w:line="360" w:lineRule="auto"/>
        <w:ind w:firstLine="523" w:firstLineChars="218"/>
        <w:rPr>
          <w:sz w:val="24"/>
        </w:rPr>
      </w:pPr>
      <w:r>
        <w:rPr>
          <w:sz w:val="24"/>
        </w:rPr>
        <w:t>活动范围：生产区内----转猪台</w:t>
      </w:r>
    </w:p>
    <w:p>
      <w:pPr>
        <w:adjustRightInd w:val="0"/>
        <w:snapToGrid w:val="0"/>
        <w:spacing w:line="360" w:lineRule="auto"/>
        <w:ind w:firstLine="523" w:firstLineChars="218"/>
        <w:rPr>
          <w:sz w:val="24"/>
        </w:rPr>
      </w:pPr>
      <w:r>
        <w:rPr>
          <w:sz w:val="24"/>
        </w:rPr>
        <w:t>消毒要求：装猪前后都要消毒，活动范围尽量缩小，在装猪台清洗消毒，清洗污水入粪池。</w:t>
      </w:r>
    </w:p>
    <w:p>
      <w:pPr>
        <w:adjustRightInd w:val="0"/>
        <w:snapToGrid w:val="0"/>
        <w:spacing w:line="360" w:lineRule="auto"/>
        <w:ind w:firstLine="523" w:firstLineChars="218"/>
        <w:rPr>
          <w:sz w:val="24"/>
        </w:rPr>
      </w:pPr>
      <w:r>
        <w:rPr>
          <w:sz w:val="24"/>
        </w:rPr>
        <w:t>d、场外其他办公车辆</w:t>
      </w:r>
    </w:p>
    <w:p>
      <w:pPr>
        <w:adjustRightInd w:val="0"/>
        <w:snapToGrid w:val="0"/>
        <w:spacing w:line="360" w:lineRule="auto"/>
        <w:ind w:firstLine="523" w:firstLineChars="218"/>
        <w:rPr>
          <w:sz w:val="24"/>
        </w:rPr>
      </w:pPr>
      <w:r>
        <w:rPr>
          <w:sz w:val="24"/>
        </w:rPr>
        <w:t>活动范围：非必要进场的车辆一律在场外，需进场车辆在生活区内停放。</w:t>
      </w:r>
    </w:p>
    <w:p>
      <w:pPr>
        <w:adjustRightInd w:val="0"/>
        <w:snapToGrid w:val="0"/>
        <w:spacing w:line="360" w:lineRule="auto"/>
        <w:ind w:firstLine="523" w:firstLineChars="218"/>
        <w:rPr>
          <w:sz w:val="24"/>
        </w:rPr>
      </w:pPr>
      <w:r>
        <w:rPr>
          <w:sz w:val="24"/>
        </w:rPr>
        <w:t>消毒要求：大门口消毒后进入。</w:t>
      </w:r>
    </w:p>
    <w:p>
      <w:pPr>
        <w:adjustRightInd w:val="0"/>
        <w:snapToGrid w:val="0"/>
        <w:spacing w:line="360" w:lineRule="auto"/>
        <w:ind w:firstLine="523" w:firstLineChars="218"/>
        <w:rPr>
          <w:sz w:val="24"/>
        </w:rPr>
      </w:pPr>
      <w:r>
        <w:rPr>
          <w:rFonts w:hint="eastAsia" w:ascii="宋体" w:hAnsi="宋体" w:cs="宋体"/>
          <w:sz w:val="24"/>
        </w:rPr>
        <w:t>③</w:t>
      </w:r>
      <w:r>
        <w:rPr>
          <w:sz w:val="24"/>
        </w:rPr>
        <w:t>人员流动管理</w:t>
      </w:r>
    </w:p>
    <w:p>
      <w:pPr>
        <w:adjustRightInd w:val="0"/>
        <w:snapToGrid w:val="0"/>
        <w:spacing w:line="360" w:lineRule="auto"/>
        <w:ind w:firstLine="523" w:firstLineChars="218"/>
        <w:rPr>
          <w:sz w:val="24"/>
        </w:rPr>
      </w:pPr>
      <w:r>
        <w:rPr>
          <w:sz w:val="24"/>
        </w:rPr>
        <w:t>请假制度：员工外出必须到办公室领取请假条，注明场区、工段、请假时间段、单元代理人后，交予领导签批(1—3天由段长签批，3天以上需由场长签批)，领导签批后将假条交予办公室存档。</w:t>
      </w:r>
    </w:p>
    <w:p>
      <w:pPr>
        <w:adjustRightInd w:val="0"/>
        <w:snapToGrid w:val="0"/>
        <w:spacing w:line="360" w:lineRule="auto"/>
        <w:ind w:firstLine="523" w:firstLineChars="218"/>
        <w:rPr>
          <w:sz w:val="24"/>
        </w:rPr>
      </w:pPr>
      <w:r>
        <w:rPr>
          <w:sz w:val="24"/>
        </w:rPr>
        <w:t>进场流程(从黑区进入灰区)：</w:t>
      </w:r>
    </w:p>
    <w:p>
      <w:pPr>
        <w:pStyle w:val="167"/>
        <w:ind w:left="2" w:firstLine="0" w:firstLineChars="0"/>
        <w:jc w:val="center"/>
        <w:rPr>
          <w:rFonts w:ascii="Times New Roman" w:hAnsi="Times New Roman"/>
          <w:sz w:val="30"/>
          <w:szCs w:val="30"/>
        </w:rPr>
      </w:pPr>
      <w:r>
        <w:rPr>
          <w:rFonts w:ascii="Times New Roman" w:hAnsi="Times New Roman"/>
          <w:sz w:val="30"/>
          <w:szCs w:val="30"/>
        </w:rPr>
        <w:drawing>
          <wp:inline distT="0" distB="0" distL="0" distR="0">
            <wp:extent cx="5029200" cy="400050"/>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6" cstate="print"/>
                    <a:srcRect/>
                    <a:stretch>
                      <a:fillRect/>
                    </a:stretch>
                  </pic:blipFill>
                  <pic:spPr>
                    <a:xfrm>
                      <a:off x="0" y="0"/>
                      <a:ext cx="5029200" cy="400050"/>
                    </a:xfrm>
                    <a:prstGeom prst="rect">
                      <a:avLst/>
                    </a:prstGeom>
                    <a:noFill/>
                    <a:ln w="9525">
                      <a:noFill/>
                      <a:miter lim="800000"/>
                      <a:headEnd/>
                      <a:tailEnd/>
                    </a:ln>
                  </pic:spPr>
                </pic:pic>
              </a:graphicData>
            </a:graphic>
          </wp:inline>
        </w:drawing>
      </w:r>
    </w:p>
    <w:p>
      <w:pPr>
        <w:adjustRightInd w:val="0"/>
        <w:snapToGrid w:val="0"/>
        <w:spacing w:line="360" w:lineRule="auto"/>
        <w:ind w:firstLine="523" w:firstLineChars="218"/>
        <w:rPr>
          <w:sz w:val="24"/>
          <w:szCs w:val="22"/>
        </w:rPr>
      </w:pPr>
      <w:r>
        <w:rPr>
          <w:sz w:val="24"/>
        </w:rPr>
        <w:t>进入生产区流程(灰区进入白区)：</w:t>
      </w:r>
    </w:p>
    <w:p>
      <w:pPr>
        <w:pStyle w:val="167"/>
        <w:ind w:left="2" w:firstLine="0" w:firstLineChars="0"/>
        <w:jc w:val="center"/>
        <w:rPr>
          <w:rFonts w:ascii="Times New Roman" w:hAnsi="Times New Roman"/>
          <w:sz w:val="30"/>
          <w:szCs w:val="30"/>
        </w:rPr>
      </w:pPr>
      <w:r>
        <w:rPr>
          <w:rFonts w:ascii="Times New Roman" w:hAnsi="Times New Roman"/>
          <w:sz w:val="30"/>
          <w:szCs w:val="30"/>
        </w:rPr>
        <w:drawing>
          <wp:inline distT="0" distB="0" distL="0" distR="0">
            <wp:extent cx="5267325" cy="419100"/>
            <wp:effectExtent l="19050" t="0" r="952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17" cstate="print"/>
                    <a:srcRect/>
                    <a:stretch>
                      <a:fillRect/>
                    </a:stretch>
                  </pic:blipFill>
                  <pic:spPr>
                    <a:xfrm>
                      <a:off x="0" y="0"/>
                      <a:ext cx="5267325" cy="419100"/>
                    </a:xfrm>
                    <a:prstGeom prst="rect">
                      <a:avLst/>
                    </a:prstGeom>
                    <a:noFill/>
                    <a:ln w="9525">
                      <a:noFill/>
                      <a:miter lim="800000"/>
                      <a:headEnd/>
                      <a:tailEnd/>
                    </a:ln>
                  </pic:spPr>
                </pic:pic>
              </a:graphicData>
            </a:graphic>
          </wp:inline>
        </w:drawing>
      </w:r>
    </w:p>
    <w:p>
      <w:pPr>
        <w:adjustRightInd w:val="0"/>
        <w:snapToGrid w:val="0"/>
        <w:spacing w:line="360" w:lineRule="auto"/>
        <w:ind w:firstLine="523" w:firstLineChars="218"/>
        <w:rPr>
          <w:sz w:val="24"/>
          <w:szCs w:val="22"/>
        </w:rPr>
      </w:pPr>
      <w:r>
        <w:rPr>
          <w:sz w:val="24"/>
        </w:rPr>
        <w:t>进单元：</w:t>
      </w:r>
    </w:p>
    <w:p>
      <w:pPr>
        <w:pStyle w:val="167"/>
        <w:ind w:firstLine="0" w:firstLineChars="0"/>
        <w:jc w:val="center"/>
        <w:rPr>
          <w:rFonts w:ascii="Times New Roman" w:hAnsi="Times New Roman"/>
          <w:sz w:val="30"/>
          <w:szCs w:val="30"/>
        </w:rPr>
      </w:pPr>
      <w:r>
        <w:rPr>
          <w:rFonts w:ascii="Times New Roman" w:hAnsi="Times New Roman"/>
          <w:sz w:val="30"/>
          <w:szCs w:val="30"/>
        </w:rPr>
        <w:drawing>
          <wp:inline distT="0" distB="0" distL="0" distR="0">
            <wp:extent cx="4533900" cy="352425"/>
            <wp:effectExtent l="1905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18" cstate="print"/>
                    <a:srcRect/>
                    <a:stretch>
                      <a:fillRect/>
                    </a:stretch>
                  </pic:blipFill>
                  <pic:spPr>
                    <a:xfrm>
                      <a:off x="0" y="0"/>
                      <a:ext cx="4533900" cy="352425"/>
                    </a:xfrm>
                    <a:prstGeom prst="rect">
                      <a:avLst/>
                    </a:prstGeom>
                    <a:noFill/>
                    <a:ln w="9525">
                      <a:noFill/>
                      <a:miter lim="800000"/>
                      <a:headEnd/>
                      <a:tailEnd/>
                    </a:ln>
                  </pic:spPr>
                </pic:pic>
              </a:graphicData>
            </a:graphic>
          </wp:inline>
        </w:drawing>
      </w:r>
    </w:p>
    <w:p>
      <w:pPr>
        <w:adjustRightInd w:val="0"/>
        <w:snapToGrid w:val="0"/>
        <w:spacing w:line="360" w:lineRule="auto"/>
        <w:ind w:firstLine="523" w:firstLineChars="218"/>
        <w:rPr>
          <w:sz w:val="30"/>
          <w:szCs w:val="30"/>
        </w:rPr>
      </w:pPr>
      <w:r>
        <w:rPr>
          <w:sz w:val="24"/>
        </w:rPr>
        <w:t>其他饲养员帮忙转猪生物安全流程：</w:t>
      </w:r>
    </w:p>
    <w:p>
      <w:pPr>
        <w:pStyle w:val="167"/>
        <w:ind w:left="1" w:firstLine="0" w:firstLineChars="0"/>
        <w:jc w:val="center"/>
        <w:rPr>
          <w:rFonts w:ascii="Times New Roman" w:hAnsi="Times New Roman"/>
          <w:sz w:val="30"/>
          <w:szCs w:val="30"/>
        </w:rPr>
      </w:pPr>
      <w:r>
        <w:rPr>
          <w:rFonts w:ascii="Times New Roman" w:hAnsi="Times New Roman"/>
          <w:sz w:val="30"/>
          <w:szCs w:val="30"/>
        </w:rPr>
        <w:drawing>
          <wp:inline distT="0" distB="0" distL="0" distR="0">
            <wp:extent cx="5715000" cy="495300"/>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9" cstate="print"/>
                    <a:srcRect/>
                    <a:stretch>
                      <a:fillRect/>
                    </a:stretch>
                  </pic:blipFill>
                  <pic:spPr>
                    <a:xfrm>
                      <a:off x="0" y="0"/>
                      <a:ext cx="5715000" cy="495300"/>
                    </a:xfrm>
                    <a:prstGeom prst="rect">
                      <a:avLst/>
                    </a:prstGeom>
                    <a:noFill/>
                    <a:ln w="9525">
                      <a:noFill/>
                      <a:miter lim="800000"/>
                      <a:headEnd/>
                      <a:tailEnd/>
                    </a:ln>
                  </pic:spPr>
                </pic:pic>
              </a:graphicData>
            </a:graphic>
          </wp:inline>
        </w:drawing>
      </w:r>
    </w:p>
    <w:p>
      <w:pPr>
        <w:adjustRightInd w:val="0"/>
        <w:snapToGrid w:val="0"/>
        <w:spacing w:line="360" w:lineRule="auto"/>
        <w:ind w:firstLine="523" w:firstLineChars="218"/>
        <w:rPr>
          <w:sz w:val="24"/>
          <w:szCs w:val="22"/>
        </w:rPr>
      </w:pPr>
      <w:r>
        <w:rPr>
          <w:sz w:val="24"/>
        </w:rPr>
        <w:t>外来施工人员进入生产区生物安全流程</w:t>
      </w:r>
    </w:p>
    <w:p>
      <w:pPr>
        <w:pStyle w:val="167"/>
        <w:ind w:left="1" w:firstLine="0" w:firstLineChars="0"/>
        <w:jc w:val="center"/>
        <w:rPr>
          <w:rFonts w:ascii="Times New Roman" w:hAnsi="Times New Roman"/>
          <w:sz w:val="30"/>
          <w:szCs w:val="30"/>
        </w:rPr>
      </w:pPr>
      <w:r>
        <w:rPr>
          <w:rFonts w:ascii="Times New Roman" w:hAnsi="Times New Roman"/>
          <w:sz w:val="30"/>
          <w:szCs w:val="30"/>
        </w:rPr>
        <w:drawing>
          <wp:inline distT="0" distB="0" distL="0" distR="0">
            <wp:extent cx="5734050" cy="457200"/>
            <wp:effectExtent l="1905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0" cstate="print"/>
                    <a:srcRect/>
                    <a:stretch>
                      <a:fillRect/>
                    </a:stretch>
                  </pic:blipFill>
                  <pic:spPr>
                    <a:xfrm>
                      <a:off x="0" y="0"/>
                      <a:ext cx="5734050" cy="457200"/>
                    </a:xfrm>
                    <a:prstGeom prst="rect">
                      <a:avLst/>
                    </a:prstGeom>
                    <a:noFill/>
                    <a:ln w="9525">
                      <a:noFill/>
                      <a:miter lim="800000"/>
                      <a:headEnd/>
                      <a:tailEnd/>
                    </a:ln>
                  </pic:spPr>
                </pic:pic>
              </a:graphicData>
            </a:graphic>
          </wp:inline>
        </w:drawing>
      </w:r>
    </w:p>
    <w:p>
      <w:pPr>
        <w:adjustRightInd w:val="0"/>
        <w:snapToGrid w:val="0"/>
        <w:spacing w:line="360" w:lineRule="auto"/>
        <w:ind w:firstLine="523" w:firstLineChars="218"/>
        <w:rPr>
          <w:sz w:val="24"/>
          <w:szCs w:val="22"/>
        </w:rPr>
      </w:pPr>
      <w:r>
        <w:rPr>
          <w:sz w:val="24"/>
        </w:rPr>
        <w:t>病死猪剖检台生物安全流程：</w:t>
      </w:r>
    </w:p>
    <w:p>
      <w:pPr>
        <w:pStyle w:val="167"/>
        <w:ind w:left="2" w:firstLine="0" w:firstLineChars="0"/>
        <w:jc w:val="center"/>
        <w:rPr>
          <w:rFonts w:ascii="Times New Roman" w:hAnsi="Times New Roman"/>
          <w:sz w:val="30"/>
          <w:szCs w:val="30"/>
        </w:rPr>
      </w:pPr>
      <w:r>
        <w:rPr>
          <w:rFonts w:ascii="Times New Roman" w:hAnsi="Times New Roman"/>
          <w:sz w:val="30"/>
          <w:szCs w:val="30"/>
        </w:rPr>
        <w:drawing>
          <wp:inline distT="0" distB="0" distL="0" distR="0">
            <wp:extent cx="5657850" cy="857250"/>
            <wp:effectExtent l="1905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1" cstate="print"/>
                    <a:srcRect/>
                    <a:stretch>
                      <a:fillRect/>
                    </a:stretch>
                  </pic:blipFill>
                  <pic:spPr>
                    <a:xfrm>
                      <a:off x="0" y="0"/>
                      <a:ext cx="5657850" cy="857250"/>
                    </a:xfrm>
                    <a:prstGeom prst="rect">
                      <a:avLst/>
                    </a:prstGeom>
                    <a:noFill/>
                    <a:ln w="9525">
                      <a:noFill/>
                      <a:miter lim="800000"/>
                      <a:headEnd/>
                      <a:tailEnd/>
                    </a:ln>
                  </pic:spPr>
                </pic:pic>
              </a:graphicData>
            </a:graphic>
          </wp:inline>
        </w:drawing>
      </w:r>
    </w:p>
    <w:p>
      <w:pPr>
        <w:adjustRightInd w:val="0"/>
        <w:snapToGrid w:val="0"/>
        <w:spacing w:line="360" w:lineRule="auto"/>
        <w:ind w:firstLine="523" w:firstLineChars="218"/>
        <w:rPr>
          <w:sz w:val="24"/>
          <w:szCs w:val="22"/>
        </w:rPr>
      </w:pPr>
    </w:p>
    <w:p>
      <w:pPr>
        <w:adjustRightInd w:val="0"/>
        <w:snapToGrid w:val="0"/>
        <w:spacing w:line="360" w:lineRule="auto"/>
        <w:ind w:firstLine="523" w:firstLineChars="218"/>
        <w:rPr>
          <w:sz w:val="24"/>
        </w:rPr>
      </w:pPr>
      <w:r>
        <w:rPr>
          <w:sz w:val="24"/>
        </w:rPr>
        <w:t>各岗位人员执行生物安全流程注意事项：</w:t>
      </w:r>
    </w:p>
    <w:p>
      <w:pPr>
        <w:adjustRightInd w:val="0"/>
        <w:snapToGrid w:val="0"/>
        <w:spacing w:line="360" w:lineRule="auto"/>
        <w:ind w:firstLine="523" w:firstLineChars="218"/>
        <w:rPr>
          <w:sz w:val="24"/>
        </w:rPr>
      </w:pPr>
      <w:r>
        <w:rPr>
          <w:sz w:val="24"/>
        </w:rPr>
        <w:t>人员跨场调动--生活区隔离3天后方可进生产。</w:t>
      </w:r>
    </w:p>
    <w:p>
      <w:pPr>
        <w:adjustRightInd w:val="0"/>
        <w:snapToGrid w:val="0"/>
        <w:spacing w:line="360" w:lineRule="auto"/>
        <w:ind w:firstLine="523" w:firstLineChars="218"/>
        <w:rPr>
          <w:sz w:val="24"/>
        </w:rPr>
      </w:pPr>
      <w:r>
        <w:rPr>
          <w:sz w:val="24"/>
        </w:rPr>
        <w:t>家属(学生放假，家属驻场)洗澡更衣后进场，活动区域仅限生活区。</w:t>
      </w:r>
    </w:p>
    <w:p>
      <w:pPr>
        <w:adjustRightInd w:val="0"/>
        <w:snapToGrid w:val="0"/>
        <w:spacing w:line="360" w:lineRule="auto"/>
        <w:ind w:firstLine="523" w:firstLineChars="218"/>
        <w:rPr>
          <w:sz w:val="24"/>
        </w:rPr>
      </w:pPr>
      <w:r>
        <w:rPr>
          <w:sz w:val="24"/>
        </w:rPr>
        <w:t>施工人员——门口洗手，沾脚后在指定施工区域内作业，区域受限，警戒标示。</w:t>
      </w:r>
    </w:p>
    <w:p>
      <w:pPr>
        <w:adjustRightInd w:val="0"/>
        <w:snapToGrid w:val="0"/>
        <w:spacing w:line="360" w:lineRule="auto"/>
        <w:ind w:firstLine="523" w:firstLineChars="218"/>
        <w:rPr>
          <w:sz w:val="24"/>
        </w:rPr>
      </w:pPr>
      <w:r>
        <w:rPr>
          <w:sz w:val="24"/>
        </w:rPr>
        <w:t>巡场人员——生产管理，技术人员，财务等进出厂区，在生产区洗澡更衣方可进入。</w:t>
      </w:r>
    </w:p>
    <w:p>
      <w:pPr>
        <w:adjustRightInd w:val="0"/>
        <w:snapToGrid w:val="0"/>
        <w:spacing w:line="360" w:lineRule="auto"/>
        <w:ind w:firstLine="523" w:firstLineChars="218"/>
        <w:rPr>
          <w:sz w:val="24"/>
        </w:rPr>
      </w:pPr>
      <w:r>
        <w:rPr>
          <w:sz w:val="24"/>
        </w:rPr>
        <w:t>场内后勤服务人员—水电维修等进段更衣，进单元换鞋。料车司机不下车。治污人员划定活动路线。</w:t>
      </w:r>
    </w:p>
    <w:p>
      <w:pPr>
        <w:adjustRightInd w:val="0"/>
        <w:snapToGrid w:val="0"/>
        <w:spacing w:line="360" w:lineRule="auto"/>
        <w:ind w:firstLine="523" w:firstLineChars="218"/>
        <w:rPr>
          <w:sz w:val="24"/>
        </w:rPr>
      </w:pPr>
      <w:r>
        <w:rPr>
          <w:sz w:val="24"/>
        </w:rPr>
        <w:t>生产区内所有人员统一着工装，不允许有其他衣服，所有工装不允许带出生产区。</w:t>
      </w:r>
    </w:p>
    <w:p>
      <w:pPr>
        <w:adjustRightInd w:val="0"/>
        <w:snapToGrid w:val="0"/>
        <w:spacing w:line="360" w:lineRule="auto"/>
        <w:ind w:firstLine="525" w:firstLineChars="218"/>
        <w:rPr>
          <w:sz w:val="24"/>
        </w:rPr>
      </w:pPr>
      <w:r>
        <w:rPr>
          <w:b/>
          <w:sz w:val="24"/>
        </w:rPr>
        <w:t>(3)消毒剂及兽药</w:t>
      </w:r>
    </w:p>
    <w:p>
      <w:pPr>
        <w:adjustRightInd w:val="0"/>
        <w:snapToGrid w:val="0"/>
        <w:spacing w:line="360" w:lineRule="auto"/>
        <w:ind w:firstLine="523" w:firstLineChars="218"/>
        <w:rPr>
          <w:sz w:val="24"/>
        </w:rPr>
      </w:pPr>
      <w:r>
        <w:rPr>
          <w:sz w:val="24"/>
        </w:rPr>
        <w:t>消毒剂的种类大概可以分为酸性消毒剂、碱性消毒剂、中性消毒剂等，根据猪场内不同情况，企业买3至4种消毒剂交替使用，年用量为90.3t/a左右。为防止产生氯代有机物及其它的二次污染，禁止选用醛类、氯类及重金属类不易降解类消毒剂。消毒试剂用量见表2.2-1。</w:t>
      </w:r>
    </w:p>
    <w:p>
      <w:pPr>
        <w:adjustRightInd w:val="0"/>
        <w:snapToGrid w:val="0"/>
        <w:spacing w:line="360" w:lineRule="auto"/>
        <w:ind w:firstLine="525" w:firstLineChars="218"/>
        <w:jc w:val="center"/>
        <w:rPr>
          <w:b/>
          <w:color w:val="000000"/>
          <w:sz w:val="24"/>
        </w:rPr>
      </w:pPr>
      <w:r>
        <w:rPr>
          <w:b/>
          <w:color w:val="000000"/>
          <w:sz w:val="24"/>
        </w:rPr>
        <w:t>表2.2-1消毒剂消耗情况表</w:t>
      </w:r>
    </w:p>
    <w:tbl>
      <w:tblPr>
        <w:tblStyle w:val="44"/>
        <w:tblW w:w="90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985"/>
        <w:gridCol w:w="1484"/>
        <w:gridCol w:w="1336"/>
        <w:gridCol w:w="35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5" w:type="dxa"/>
            <w:tcBorders>
              <w:top w:val="single" w:color="auto" w:sz="12" w:space="0"/>
              <w:left w:val="single" w:color="auto" w:sz="12"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序号</w:t>
            </w:r>
          </w:p>
        </w:tc>
        <w:tc>
          <w:tcPr>
            <w:tcW w:w="1985"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b/>
                <w:color w:val="000000"/>
                <w:szCs w:val="21"/>
              </w:rPr>
            </w:pPr>
            <w:r>
              <w:rPr>
                <w:color w:val="000000"/>
                <w:szCs w:val="21"/>
              </w:rPr>
              <w:t>名称</w:t>
            </w:r>
          </w:p>
        </w:tc>
        <w:tc>
          <w:tcPr>
            <w:tcW w:w="1484"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年用量(t/a)</w:t>
            </w:r>
          </w:p>
        </w:tc>
        <w:tc>
          <w:tcPr>
            <w:tcW w:w="1336"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最大贮量（t）</w:t>
            </w:r>
          </w:p>
        </w:tc>
        <w:tc>
          <w:tcPr>
            <w:tcW w:w="3560" w:type="dxa"/>
            <w:tcBorders>
              <w:top w:val="single" w:color="auto" w:sz="12" w:space="0"/>
              <w:left w:val="single" w:color="auto" w:sz="4" w:space="0"/>
              <w:bottom w:val="single" w:color="auto" w:sz="4" w:space="0"/>
              <w:right w:val="single" w:color="auto" w:sz="12" w:space="0"/>
            </w:tcBorders>
            <w:vAlign w:val="center"/>
          </w:tcPr>
          <w:p>
            <w:pPr>
              <w:adjustRightInd w:val="0"/>
              <w:snapToGrid w:val="0"/>
              <w:jc w:val="center"/>
              <w:rPr>
                <w:color w:val="000000"/>
                <w:szCs w:val="21"/>
              </w:rPr>
            </w:pPr>
            <w:r>
              <w:rPr>
                <w:color w:val="000000"/>
                <w:szCs w:val="21"/>
              </w:rPr>
              <w:t>规格及来源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75"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一</w:t>
            </w:r>
          </w:p>
        </w:tc>
        <w:tc>
          <w:tcPr>
            <w:tcW w:w="8365" w:type="dxa"/>
            <w:gridSpan w:val="4"/>
            <w:tcBorders>
              <w:top w:val="single" w:color="auto" w:sz="4" w:space="0"/>
              <w:left w:val="single" w:color="auto" w:sz="4" w:space="0"/>
              <w:bottom w:val="single" w:color="auto" w:sz="4" w:space="0"/>
              <w:right w:val="single" w:color="auto" w:sz="12" w:space="0"/>
            </w:tcBorders>
            <w:vAlign w:val="center"/>
          </w:tcPr>
          <w:p>
            <w:pPr>
              <w:adjustRightInd w:val="0"/>
              <w:snapToGrid w:val="0"/>
              <w:rPr>
                <w:color w:val="000000"/>
                <w:szCs w:val="21"/>
              </w:rPr>
            </w:pPr>
            <w:r>
              <w:rPr>
                <w:color w:val="000000"/>
                <w:szCs w:val="21"/>
              </w:rPr>
              <w:t>酸性消毒剂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75"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1</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szCs w:val="21"/>
              </w:rPr>
            </w:pPr>
            <w:r>
              <w:rPr>
                <w:color w:val="000000"/>
                <w:szCs w:val="21"/>
              </w:rPr>
              <w:t>过氧乙酸溶液</w:t>
            </w:r>
          </w:p>
        </w:tc>
        <w:tc>
          <w:tcPr>
            <w:tcW w:w="148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 xml:space="preserve">8.73 </w:t>
            </w:r>
          </w:p>
        </w:tc>
        <w:tc>
          <w:tcPr>
            <w:tcW w:w="1336"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 xml:space="preserve">2.17 </w:t>
            </w:r>
          </w:p>
        </w:tc>
        <w:tc>
          <w:tcPr>
            <w:tcW w:w="3560" w:type="dxa"/>
            <w:tcBorders>
              <w:top w:val="single" w:color="auto" w:sz="4" w:space="0"/>
              <w:left w:val="single" w:color="auto" w:sz="4" w:space="0"/>
              <w:bottom w:val="single" w:color="auto" w:sz="4" w:space="0"/>
              <w:right w:val="single" w:color="auto" w:sz="12" w:space="0"/>
            </w:tcBorders>
            <w:vAlign w:val="center"/>
          </w:tcPr>
          <w:p>
            <w:pPr>
              <w:adjustRightInd w:val="0"/>
              <w:snapToGrid w:val="0"/>
              <w:rPr>
                <w:color w:val="000000"/>
                <w:szCs w:val="21"/>
              </w:rPr>
            </w:pPr>
            <w:r>
              <w:rPr>
                <w:color w:val="000000"/>
                <w:szCs w:val="21"/>
              </w:rPr>
              <w:t>4%，喷洒消毒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5"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2</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szCs w:val="21"/>
              </w:rPr>
            </w:pPr>
            <w:r>
              <w:rPr>
                <w:color w:val="000000"/>
                <w:szCs w:val="21"/>
              </w:rPr>
              <w:t>高锰酸钾溶液</w:t>
            </w:r>
          </w:p>
        </w:tc>
        <w:tc>
          <w:tcPr>
            <w:tcW w:w="148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 xml:space="preserve">2.17 </w:t>
            </w:r>
          </w:p>
        </w:tc>
        <w:tc>
          <w:tcPr>
            <w:tcW w:w="1336"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 xml:space="preserve">1.73 </w:t>
            </w:r>
          </w:p>
        </w:tc>
        <w:tc>
          <w:tcPr>
            <w:tcW w:w="3560" w:type="dxa"/>
            <w:tcBorders>
              <w:top w:val="single" w:color="auto" w:sz="4" w:space="0"/>
              <w:left w:val="single" w:color="auto" w:sz="4" w:space="0"/>
              <w:bottom w:val="single" w:color="auto" w:sz="4" w:space="0"/>
              <w:right w:val="single" w:color="auto" w:sz="12" w:space="0"/>
            </w:tcBorders>
            <w:vAlign w:val="center"/>
          </w:tcPr>
          <w:p>
            <w:pPr>
              <w:adjustRightInd w:val="0"/>
              <w:snapToGrid w:val="0"/>
              <w:rPr>
                <w:color w:val="000000"/>
                <w:szCs w:val="21"/>
              </w:rPr>
            </w:pPr>
            <w:r>
              <w:rPr>
                <w:color w:val="000000"/>
                <w:szCs w:val="21"/>
              </w:rPr>
              <w:t>0.1%，清洗消毒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5"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二</w:t>
            </w:r>
          </w:p>
        </w:tc>
        <w:tc>
          <w:tcPr>
            <w:tcW w:w="8365" w:type="dxa"/>
            <w:gridSpan w:val="4"/>
            <w:tcBorders>
              <w:top w:val="single" w:color="auto" w:sz="4" w:space="0"/>
              <w:left w:val="single" w:color="auto" w:sz="4" w:space="0"/>
              <w:bottom w:val="single" w:color="auto" w:sz="4" w:space="0"/>
              <w:right w:val="single" w:color="auto" w:sz="12" w:space="0"/>
            </w:tcBorders>
            <w:vAlign w:val="center"/>
          </w:tcPr>
          <w:p>
            <w:pPr>
              <w:adjustRightInd w:val="0"/>
              <w:snapToGrid w:val="0"/>
              <w:rPr>
                <w:color w:val="000000"/>
                <w:szCs w:val="21"/>
              </w:rPr>
            </w:pPr>
            <w:r>
              <w:rPr>
                <w:color w:val="000000"/>
                <w:szCs w:val="21"/>
              </w:rPr>
              <w:t>碱性消毒剂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5"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1</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szCs w:val="21"/>
              </w:rPr>
            </w:pPr>
            <w:r>
              <w:rPr>
                <w:color w:val="000000"/>
                <w:szCs w:val="21"/>
              </w:rPr>
              <w:t>烧碱水</w:t>
            </w:r>
          </w:p>
        </w:tc>
        <w:tc>
          <w:tcPr>
            <w:tcW w:w="148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 xml:space="preserve">4.37 </w:t>
            </w:r>
          </w:p>
        </w:tc>
        <w:tc>
          <w:tcPr>
            <w:tcW w:w="1336"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 xml:space="preserve">0.87 </w:t>
            </w:r>
          </w:p>
        </w:tc>
        <w:tc>
          <w:tcPr>
            <w:tcW w:w="3560" w:type="dxa"/>
            <w:tcBorders>
              <w:top w:val="single" w:color="auto" w:sz="4" w:space="0"/>
              <w:left w:val="single" w:color="auto" w:sz="4" w:space="0"/>
              <w:bottom w:val="single" w:color="auto" w:sz="4" w:space="0"/>
              <w:right w:val="single" w:color="auto" w:sz="12" w:space="0"/>
            </w:tcBorders>
            <w:vAlign w:val="center"/>
          </w:tcPr>
          <w:p>
            <w:pPr>
              <w:adjustRightInd w:val="0"/>
              <w:snapToGrid w:val="0"/>
              <w:rPr>
                <w:color w:val="000000"/>
                <w:szCs w:val="21"/>
              </w:rPr>
            </w:pPr>
            <w:r>
              <w:rPr>
                <w:color w:val="000000"/>
                <w:szCs w:val="21"/>
              </w:rPr>
              <w:t>2%，浸泡消毒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5"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2</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szCs w:val="21"/>
              </w:rPr>
            </w:pPr>
            <w:r>
              <w:rPr>
                <w:color w:val="000000"/>
                <w:szCs w:val="21"/>
              </w:rPr>
              <w:t>石灰水</w:t>
            </w:r>
          </w:p>
        </w:tc>
        <w:tc>
          <w:tcPr>
            <w:tcW w:w="148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 xml:space="preserve">6.57 </w:t>
            </w:r>
          </w:p>
        </w:tc>
        <w:tc>
          <w:tcPr>
            <w:tcW w:w="1336"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 xml:space="preserve">2.17 </w:t>
            </w:r>
          </w:p>
        </w:tc>
        <w:tc>
          <w:tcPr>
            <w:tcW w:w="3560" w:type="dxa"/>
            <w:tcBorders>
              <w:top w:val="single" w:color="auto" w:sz="4" w:space="0"/>
              <w:left w:val="single" w:color="auto" w:sz="4" w:space="0"/>
              <w:bottom w:val="single" w:color="auto" w:sz="4" w:space="0"/>
              <w:right w:val="single" w:color="auto" w:sz="12" w:space="0"/>
            </w:tcBorders>
            <w:vAlign w:val="center"/>
          </w:tcPr>
          <w:p>
            <w:pPr>
              <w:adjustRightInd w:val="0"/>
              <w:snapToGrid w:val="0"/>
              <w:rPr>
                <w:color w:val="000000"/>
                <w:szCs w:val="21"/>
              </w:rPr>
            </w:pPr>
            <w:r>
              <w:rPr>
                <w:color w:val="000000"/>
                <w:szCs w:val="21"/>
              </w:rPr>
              <w:t>5%，喷洒浸泡消毒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75"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三</w:t>
            </w:r>
          </w:p>
        </w:tc>
        <w:tc>
          <w:tcPr>
            <w:tcW w:w="8365" w:type="dxa"/>
            <w:gridSpan w:val="4"/>
            <w:tcBorders>
              <w:top w:val="single" w:color="auto" w:sz="4" w:space="0"/>
              <w:left w:val="single" w:color="auto" w:sz="4" w:space="0"/>
              <w:bottom w:val="single" w:color="auto" w:sz="4" w:space="0"/>
              <w:right w:val="single" w:color="auto" w:sz="12" w:space="0"/>
            </w:tcBorders>
            <w:vAlign w:val="center"/>
          </w:tcPr>
          <w:p>
            <w:pPr>
              <w:adjustRightInd w:val="0"/>
              <w:snapToGrid w:val="0"/>
              <w:rPr>
                <w:color w:val="000000"/>
                <w:szCs w:val="21"/>
              </w:rPr>
            </w:pPr>
            <w:r>
              <w:rPr>
                <w:color w:val="000000"/>
                <w:szCs w:val="21"/>
              </w:rPr>
              <w:t>中性消毒剂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5"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1</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szCs w:val="21"/>
              </w:rPr>
            </w:pPr>
            <w:r>
              <w:rPr>
                <w:color w:val="000000"/>
                <w:szCs w:val="21"/>
              </w:rPr>
              <w:t>碘制剂</w:t>
            </w:r>
          </w:p>
        </w:tc>
        <w:tc>
          <w:tcPr>
            <w:tcW w:w="148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 xml:space="preserve">3.07 </w:t>
            </w:r>
          </w:p>
        </w:tc>
        <w:tc>
          <w:tcPr>
            <w:tcW w:w="1336"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 xml:space="preserve">1.30 </w:t>
            </w:r>
          </w:p>
        </w:tc>
        <w:tc>
          <w:tcPr>
            <w:tcW w:w="3560" w:type="dxa"/>
            <w:tcBorders>
              <w:top w:val="single" w:color="auto" w:sz="4" w:space="0"/>
              <w:left w:val="single" w:color="auto" w:sz="4" w:space="0"/>
              <w:bottom w:val="single" w:color="auto" w:sz="4" w:space="0"/>
              <w:right w:val="single" w:color="auto" w:sz="12" w:space="0"/>
            </w:tcBorders>
            <w:vAlign w:val="center"/>
          </w:tcPr>
          <w:p>
            <w:pPr>
              <w:adjustRightInd w:val="0"/>
              <w:snapToGrid w:val="0"/>
              <w:rPr>
                <w:color w:val="000000"/>
                <w:szCs w:val="21"/>
              </w:rPr>
            </w:pPr>
            <w:r>
              <w:rPr>
                <w:color w:val="000000"/>
                <w:szCs w:val="21"/>
              </w:rPr>
              <w:t>2%，喷洒消毒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5"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2</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szCs w:val="21"/>
              </w:rPr>
            </w:pPr>
            <w:r>
              <w:rPr>
                <w:color w:val="000000"/>
                <w:szCs w:val="21"/>
              </w:rPr>
              <w:t>双链季铵盐溶液</w:t>
            </w:r>
          </w:p>
        </w:tc>
        <w:tc>
          <w:tcPr>
            <w:tcW w:w="148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 xml:space="preserve">0.87 </w:t>
            </w:r>
          </w:p>
        </w:tc>
        <w:tc>
          <w:tcPr>
            <w:tcW w:w="1336"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 xml:space="preserve">0.43 </w:t>
            </w:r>
          </w:p>
        </w:tc>
        <w:tc>
          <w:tcPr>
            <w:tcW w:w="3560" w:type="dxa"/>
            <w:tcBorders>
              <w:top w:val="single" w:color="auto" w:sz="4" w:space="0"/>
              <w:left w:val="single" w:color="auto" w:sz="4" w:space="0"/>
              <w:bottom w:val="single" w:color="auto" w:sz="4" w:space="0"/>
              <w:right w:val="single" w:color="auto" w:sz="12" w:space="0"/>
            </w:tcBorders>
            <w:vAlign w:val="center"/>
          </w:tcPr>
          <w:p>
            <w:pPr>
              <w:adjustRightInd w:val="0"/>
              <w:snapToGrid w:val="0"/>
              <w:rPr>
                <w:color w:val="000000"/>
                <w:szCs w:val="21"/>
              </w:rPr>
            </w:pPr>
            <w:r>
              <w:rPr>
                <w:color w:val="000000"/>
                <w:szCs w:val="21"/>
              </w:rPr>
              <w:t>0.5%，喷洒消毒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5"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四</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szCs w:val="21"/>
              </w:rPr>
            </w:pPr>
            <w:r>
              <w:rPr>
                <w:color w:val="000000"/>
                <w:szCs w:val="21"/>
              </w:rPr>
              <w:t>兽药</w:t>
            </w:r>
          </w:p>
        </w:tc>
        <w:tc>
          <w:tcPr>
            <w:tcW w:w="148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 xml:space="preserve">2.60 </w:t>
            </w:r>
          </w:p>
        </w:tc>
        <w:tc>
          <w:tcPr>
            <w:tcW w:w="1336"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 xml:space="preserve">0.10 </w:t>
            </w:r>
          </w:p>
        </w:tc>
        <w:tc>
          <w:tcPr>
            <w:tcW w:w="3560" w:type="dxa"/>
            <w:tcBorders>
              <w:top w:val="single" w:color="auto" w:sz="4" w:space="0"/>
              <w:left w:val="single" w:color="auto" w:sz="4" w:space="0"/>
              <w:bottom w:val="single" w:color="auto" w:sz="4" w:space="0"/>
              <w:right w:val="single" w:color="auto" w:sz="12" w:space="0"/>
            </w:tcBorders>
            <w:vAlign w:val="center"/>
          </w:tcPr>
          <w:p>
            <w:pPr>
              <w:adjustRightInd w:val="0"/>
              <w:snapToGrid w:val="0"/>
              <w:rPr>
                <w:color w:val="000000"/>
                <w:szCs w:val="21"/>
              </w:rPr>
            </w:pPr>
            <w:r>
              <w:rPr>
                <w:bCs/>
                <w:caps/>
                <w:color w:val="000000"/>
                <w:szCs w:val="21"/>
              </w:rPr>
              <w:t>治疗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5"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color w:val="000000"/>
                <w:szCs w:val="21"/>
              </w:rPr>
            </w:pPr>
            <w:r>
              <w:rPr>
                <w:color w:val="000000"/>
                <w:szCs w:val="21"/>
              </w:rPr>
              <w:t>五</w:t>
            </w:r>
          </w:p>
        </w:tc>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szCs w:val="21"/>
              </w:rPr>
            </w:pPr>
            <w:r>
              <w:rPr>
                <w:bCs/>
                <w:caps/>
                <w:color w:val="000000"/>
                <w:szCs w:val="21"/>
              </w:rPr>
              <w:t>疫苗</w:t>
            </w:r>
          </w:p>
        </w:tc>
        <w:tc>
          <w:tcPr>
            <w:tcW w:w="1484"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 xml:space="preserve">1.73 </w:t>
            </w:r>
          </w:p>
        </w:tc>
        <w:tc>
          <w:tcPr>
            <w:tcW w:w="1336" w:type="dxa"/>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 xml:space="preserve">0.10 </w:t>
            </w:r>
          </w:p>
        </w:tc>
        <w:tc>
          <w:tcPr>
            <w:tcW w:w="3560" w:type="dxa"/>
            <w:tcBorders>
              <w:top w:val="single" w:color="auto" w:sz="4" w:space="0"/>
              <w:left w:val="single" w:color="auto" w:sz="4" w:space="0"/>
              <w:bottom w:val="single" w:color="auto" w:sz="4" w:space="0"/>
              <w:right w:val="single" w:color="auto" w:sz="12" w:space="0"/>
            </w:tcBorders>
            <w:vAlign w:val="center"/>
          </w:tcPr>
          <w:p>
            <w:pPr>
              <w:adjustRightInd w:val="0"/>
              <w:snapToGrid w:val="0"/>
              <w:rPr>
                <w:bCs/>
                <w:caps/>
                <w:color w:val="000000"/>
                <w:szCs w:val="21"/>
              </w:rPr>
            </w:pPr>
            <w:r>
              <w:rPr>
                <w:bCs/>
                <w:caps/>
                <w:color w:val="000000"/>
                <w:szCs w:val="21"/>
              </w:rPr>
              <w:t>防疫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5" w:type="dxa"/>
            <w:tcBorders>
              <w:top w:val="single" w:color="auto" w:sz="4" w:space="0"/>
              <w:left w:val="single" w:color="auto" w:sz="12" w:space="0"/>
              <w:bottom w:val="single" w:color="auto" w:sz="12" w:space="0"/>
              <w:right w:val="single" w:color="auto" w:sz="4" w:space="0"/>
            </w:tcBorders>
            <w:vAlign w:val="center"/>
          </w:tcPr>
          <w:p>
            <w:pPr>
              <w:adjustRightInd w:val="0"/>
              <w:snapToGrid w:val="0"/>
              <w:jc w:val="center"/>
              <w:rPr>
                <w:color w:val="000000"/>
                <w:szCs w:val="21"/>
              </w:rPr>
            </w:pPr>
            <w:r>
              <w:rPr>
                <w:color w:val="000000"/>
                <w:szCs w:val="21"/>
              </w:rPr>
              <w:t>六</w:t>
            </w:r>
          </w:p>
        </w:tc>
        <w:tc>
          <w:tcPr>
            <w:tcW w:w="1985" w:type="dxa"/>
            <w:tcBorders>
              <w:top w:val="single" w:color="auto" w:sz="4" w:space="0"/>
              <w:left w:val="single" w:color="auto" w:sz="4" w:space="0"/>
              <w:bottom w:val="single" w:color="auto" w:sz="12" w:space="0"/>
              <w:right w:val="single" w:color="auto" w:sz="4" w:space="0"/>
            </w:tcBorders>
            <w:vAlign w:val="center"/>
          </w:tcPr>
          <w:p>
            <w:pPr>
              <w:adjustRightInd w:val="0"/>
              <w:snapToGrid w:val="0"/>
              <w:rPr>
                <w:bCs/>
                <w:caps/>
                <w:color w:val="000000"/>
                <w:szCs w:val="21"/>
              </w:rPr>
            </w:pPr>
            <w:r>
              <w:rPr>
                <w:bCs/>
                <w:caps/>
                <w:color w:val="000000"/>
                <w:szCs w:val="21"/>
              </w:rPr>
              <w:t>合计</w:t>
            </w:r>
          </w:p>
        </w:tc>
        <w:tc>
          <w:tcPr>
            <w:tcW w:w="1484" w:type="dxa"/>
            <w:tcBorders>
              <w:top w:val="single" w:color="auto" w:sz="4" w:space="0"/>
              <w:left w:val="single" w:color="auto" w:sz="4" w:space="0"/>
              <w:bottom w:val="single" w:color="auto" w:sz="12" w:space="0"/>
              <w:right w:val="single" w:color="auto" w:sz="4" w:space="0"/>
            </w:tcBorders>
            <w:vAlign w:val="center"/>
          </w:tcPr>
          <w:p>
            <w:pPr>
              <w:jc w:val="center"/>
              <w:rPr>
                <w:color w:val="000000"/>
                <w:szCs w:val="21"/>
              </w:rPr>
            </w:pPr>
            <w:r>
              <w:rPr>
                <w:color w:val="000000"/>
                <w:szCs w:val="21"/>
              </w:rPr>
              <w:t xml:space="preserve">30.10 </w:t>
            </w:r>
          </w:p>
        </w:tc>
        <w:tc>
          <w:tcPr>
            <w:tcW w:w="1336" w:type="dxa"/>
            <w:tcBorders>
              <w:top w:val="single" w:color="auto" w:sz="4" w:space="0"/>
              <w:left w:val="single" w:color="auto" w:sz="4" w:space="0"/>
              <w:bottom w:val="single" w:color="auto" w:sz="12" w:space="0"/>
              <w:right w:val="single" w:color="auto" w:sz="4" w:space="0"/>
            </w:tcBorders>
            <w:vAlign w:val="center"/>
          </w:tcPr>
          <w:p>
            <w:pPr>
              <w:jc w:val="center"/>
              <w:rPr>
                <w:color w:val="000000"/>
                <w:szCs w:val="21"/>
              </w:rPr>
            </w:pPr>
            <w:r>
              <w:rPr>
                <w:color w:val="000000"/>
                <w:szCs w:val="21"/>
              </w:rPr>
              <w:t xml:space="preserve">8.87 </w:t>
            </w:r>
          </w:p>
        </w:tc>
        <w:tc>
          <w:tcPr>
            <w:tcW w:w="3560" w:type="dxa"/>
            <w:tcBorders>
              <w:top w:val="single" w:color="auto" w:sz="4" w:space="0"/>
              <w:left w:val="single" w:color="auto" w:sz="4" w:space="0"/>
              <w:bottom w:val="single" w:color="auto" w:sz="12" w:space="0"/>
              <w:right w:val="single" w:color="auto" w:sz="12" w:space="0"/>
            </w:tcBorders>
            <w:vAlign w:val="center"/>
          </w:tcPr>
          <w:p>
            <w:pPr>
              <w:adjustRightInd w:val="0"/>
              <w:snapToGrid w:val="0"/>
              <w:rPr>
                <w:bCs/>
                <w:caps/>
                <w:color w:val="000000"/>
                <w:szCs w:val="21"/>
              </w:rPr>
            </w:pPr>
          </w:p>
        </w:tc>
      </w:tr>
    </w:tbl>
    <w:p>
      <w:pPr>
        <w:snapToGrid w:val="0"/>
        <w:spacing w:line="360" w:lineRule="auto"/>
        <w:ind w:firstLine="482" w:firstLineChars="200"/>
        <w:rPr>
          <w:b/>
          <w:sz w:val="24"/>
        </w:rPr>
      </w:pPr>
      <w:r>
        <w:rPr>
          <w:b/>
          <w:sz w:val="24"/>
        </w:rPr>
        <w:t>2.2.3.7无害化处理中心(病死猪处理)</w:t>
      </w:r>
    </w:p>
    <w:p>
      <w:pPr>
        <w:spacing w:line="520" w:lineRule="exact"/>
        <w:ind w:firstLine="480" w:firstLineChars="200"/>
        <w:rPr>
          <w:bCs/>
          <w:sz w:val="24"/>
        </w:rPr>
      </w:pPr>
      <w:r>
        <w:rPr>
          <w:bCs/>
          <w:sz w:val="24"/>
        </w:rPr>
        <w:t>本项目无害化处理中心服务对象为平舆牧原农牧有限公司平舆二十场生猪养殖场区的病死猪，设计处置规模为每批次2吨，日最大处理能力为8吨，处置工艺采用《病死动物无害化处理技术规范》(农医发﹝2013〕34号）中的高温化制工艺，处理工艺主要包括入料、高温化制、泄压、烘干等工序。。</w:t>
      </w:r>
    </w:p>
    <w:p>
      <w:pPr>
        <w:spacing w:line="520" w:lineRule="exact"/>
        <w:ind w:firstLine="480" w:firstLineChars="200"/>
        <w:rPr>
          <w:bCs/>
          <w:sz w:val="24"/>
        </w:rPr>
      </w:pPr>
      <w:r>
        <w:rPr>
          <w:bCs/>
          <w:sz w:val="24"/>
        </w:rPr>
        <w:t>本项目无害化处理车间服务对象为平舆牧原农牧有限公司平舆二十场生猪养殖场区的病死猪，处置工艺采用《病死动物无害化处理技术规范》(农医发﹝2013〕34号中的干法化制工艺，处理工艺主要包括入料、高温化制、泄压、烘干等工序。病死猪处理每次处理病死猪2吨，每天最多可处理8吨，使用一台1吨的沼气锅炉，同时设1台电锅炉作为备用，沼气不够用时用电锅炉。</w:t>
      </w:r>
    </w:p>
    <w:p>
      <w:pPr>
        <w:spacing w:line="520" w:lineRule="exact"/>
        <w:ind w:firstLine="480" w:firstLineChars="200"/>
        <w:rPr>
          <w:bCs/>
          <w:sz w:val="24"/>
        </w:rPr>
      </w:pPr>
      <w:r>
        <w:rPr>
          <w:bCs/>
          <w:sz w:val="24"/>
        </w:rPr>
        <w:t>工艺流程介绍如下：</w:t>
      </w:r>
    </w:p>
    <w:p>
      <w:pPr>
        <w:spacing w:line="520" w:lineRule="exact"/>
        <w:ind w:firstLine="480" w:firstLineChars="200"/>
        <w:rPr>
          <w:bCs/>
          <w:sz w:val="24"/>
        </w:rPr>
      </w:pPr>
      <w:r>
        <w:rPr>
          <w:bCs/>
          <w:sz w:val="24"/>
        </w:rPr>
        <w:t>入料：病死猪即产即处理，病死猪经密封转运车运至无害化处理车间后，通过传送带直接输送至化制烘干一体机，该设备每批次可处理病死猪只2t。</w:t>
      </w:r>
    </w:p>
    <w:p>
      <w:pPr>
        <w:spacing w:line="520" w:lineRule="exact"/>
        <w:ind w:firstLine="480" w:firstLineChars="200"/>
        <w:rPr>
          <w:bCs/>
          <w:sz w:val="24"/>
        </w:rPr>
      </w:pPr>
      <w:r>
        <w:rPr>
          <w:bCs/>
          <w:sz w:val="24"/>
        </w:rPr>
        <w:t>高温化制：一体机装入猪只后，采用间接加热方式(腔体外侧夹套内通入蒸汽，对猪只加热蒸煮，保持化制机内高温高压(处理物中心温度≥140</w:t>
      </w:r>
      <w:r>
        <w:rPr>
          <w:rFonts w:hint="eastAsia" w:ascii="宋体" w:hAnsi="宋体" w:cs="宋体"/>
          <w:bCs/>
          <w:sz w:val="24"/>
        </w:rPr>
        <w:t>℃</w:t>
      </w:r>
      <w:r>
        <w:rPr>
          <w:bCs/>
          <w:sz w:val="24"/>
        </w:rPr>
        <w:t>，压力≥0.5MPa)2.5h后，高温高压将病死猪只携带的细菌病毒全部杀死。厂区配套一台40万大卡的沼气锅炉，一台电锅炉沼气（备用）。</w:t>
      </w:r>
    </w:p>
    <w:p>
      <w:pPr>
        <w:spacing w:line="520" w:lineRule="exact"/>
        <w:ind w:firstLine="480" w:firstLineChars="200"/>
        <w:rPr>
          <w:bCs/>
          <w:sz w:val="24"/>
        </w:rPr>
      </w:pPr>
      <w:r>
        <w:rPr>
          <w:bCs/>
          <w:sz w:val="24"/>
        </w:rPr>
        <w:t>泄压：化制完成后进行泄压，泄压过程持续0.5h，高温高压过程猪体产生的蒸汽在泄压过程经冷凝塔冷凝洗涤后形成冷凝水进入厂区污水站处理。</w:t>
      </w:r>
    </w:p>
    <w:p>
      <w:pPr>
        <w:spacing w:line="520" w:lineRule="exact"/>
        <w:ind w:firstLine="480" w:firstLineChars="200"/>
        <w:rPr>
          <w:bCs/>
          <w:sz w:val="24"/>
        </w:rPr>
      </w:pPr>
      <w:r>
        <w:rPr>
          <w:bCs/>
          <w:sz w:val="24"/>
        </w:rPr>
        <w:t xml:space="preserve">烘干：泄压后物料在化制机内再通过间接加热方式进行烘干(通蒸汽0.5h)，烘干过程中的物料所含水分蒸发后再经冷凝塔冷凝洗涤后形成冷凝水进入厂区污水站处理。 </w:t>
      </w:r>
    </w:p>
    <w:p>
      <w:pPr>
        <w:spacing w:line="520" w:lineRule="exact"/>
        <w:ind w:firstLine="480" w:firstLineChars="200"/>
        <w:rPr>
          <w:bCs/>
          <w:sz w:val="24"/>
        </w:rPr>
      </w:pPr>
      <w:r>
        <w:rPr>
          <w:bCs/>
          <w:sz w:val="24"/>
        </w:rPr>
        <w:t>除臭：泄压、烘干期间产生的恶臭气体通过冷凝洗涤装置将溶于水的部分吸收。</w:t>
      </w:r>
    </w:p>
    <w:p>
      <w:pPr>
        <w:spacing w:line="520" w:lineRule="exact"/>
        <w:ind w:firstLine="480" w:firstLineChars="200"/>
        <w:rPr>
          <w:color w:val="000000"/>
          <w:sz w:val="24"/>
        </w:rPr>
      </w:pPr>
      <w:r>
        <w:rPr>
          <w:bCs/>
          <w:sz w:val="24"/>
        </w:rPr>
        <w:t>通过处理后最终产生肉骨渣外售制作生物有机肥。</w:t>
      </w:r>
      <w:r>
        <w:rPr>
          <w:color w:val="000000"/>
          <w:sz w:val="24"/>
        </w:rPr>
        <w:t>工艺流程图见下图。</w:t>
      </w:r>
    </w:p>
    <w:p>
      <w:pPr>
        <w:widowControl/>
        <w:jc w:val="center"/>
        <w:rPr>
          <w:kern w:val="0"/>
          <w:sz w:val="24"/>
        </w:rPr>
      </w:pPr>
      <w:r>
        <w:drawing>
          <wp:inline distT="0" distB="0" distL="0" distR="0">
            <wp:extent cx="5543550" cy="37719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cstate="print"/>
                    <a:srcRect/>
                    <a:stretch>
                      <a:fillRect/>
                    </a:stretch>
                  </pic:blipFill>
                  <pic:spPr>
                    <a:xfrm>
                      <a:off x="0" y="0"/>
                      <a:ext cx="5543550" cy="3771900"/>
                    </a:xfrm>
                    <a:prstGeom prst="rect">
                      <a:avLst/>
                    </a:prstGeom>
                    <a:noFill/>
                    <a:ln w="9525">
                      <a:noFill/>
                      <a:miter lim="800000"/>
                      <a:headEnd/>
                      <a:tailEnd/>
                    </a:ln>
                  </pic:spPr>
                </pic:pic>
              </a:graphicData>
            </a:graphic>
          </wp:inline>
        </w:drawing>
      </w:r>
    </w:p>
    <w:p>
      <w:pPr>
        <w:adjustRightInd w:val="0"/>
        <w:snapToGrid w:val="0"/>
        <w:spacing w:line="360" w:lineRule="auto"/>
        <w:ind w:firstLine="525" w:firstLineChars="218"/>
        <w:jc w:val="center"/>
        <w:rPr>
          <w:sz w:val="24"/>
        </w:rPr>
      </w:pPr>
      <w:r>
        <w:rPr>
          <w:b/>
          <w:sz w:val="24"/>
        </w:rPr>
        <w:t>图2.2-8 病死猪无害化处理工艺流程及产污节点图</w:t>
      </w:r>
    </w:p>
    <w:p>
      <w:pPr>
        <w:pStyle w:val="4"/>
        <w:spacing w:before="156" w:after="156" w:line="360" w:lineRule="auto"/>
        <w:rPr>
          <w:rFonts w:hAnsi="Times New Roman"/>
          <w:color w:val="000000"/>
        </w:rPr>
      </w:pPr>
      <w:bookmarkStart w:id="119" w:name="_Toc3019527"/>
      <w:r>
        <w:rPr>
          <w:rFonts w:hAnsi="Times New Roman"/>
          <w:color w:val="000000"/>
        </w:rPr>
        <w:t>2.3主要产污环节分析</w:t>
      </w:r>
      <w:bookmarkEnd w:id="115"/>
      <w:bookmarkEnd w:id="116"/>
      <w:bookmarkEnd w:id="117"/>
      <w:bookmarkEnd w:id="118"/>
      <w:bookmarkEnd w:id="119"/>
    </w:p>
    <w:p>
      <w:pPr>
        <w:adjustRightInd w:val="0"/>
        <w:snapToGrid w:val="0"/>
        <w:spacing w:line="520" w:lineRule="exact"/>
        <w:ind w:firstLine="480" w:firstLineChars="200"/>
        <w:rPr>
          <w:sz w:val="24"/>
        </w:rPr>
      </w:pPr>
      <w:r>
        <w:rPr>
          <w:sz w:val="24"/>
        </w:rPr>
        <w:t>本项目为新建项目，主要的污染源分为施工建设期污染源以及项目正常运营期污染源。</w:t>
      </w:r>
    </w:p>
    <w:p>
      <w:pPr>
        <w:pStyle w:val="5"/>
        <w:snapToGrid w:val="0"/>
        <w:spacing w:before="0" w:after="0" w:line="520" w:lineRule="exact"/>
        <w:rPr>
          <w:rFonts w:eastAsia="黑体"/>
          <w:bCs w:val="0"/>
          <w:sz w:val="24"/>
          <w:szCs w:val="24"/>
        </w:rPr>
      </w:pPr>
      <w:bookmarkStart w:id="120" w:name="_Toc311979923"/>
      <w:bookmarkStart w:id="121" w:name="_Toc269400679"/>
      <w:bookmarkStart w:id="122" w:name="_Toc407001404"/>
      <w:bookmarkStart w:id="123" w:name="_Toc311979809"/>
      <w:bookmarkStart w:id="124" w:name="_Toc388881912"/>
      <w:bookmarkStart w:id="125" w:name="_Toc311979855"/>
      <w:bookmarkStart w:id="126" w:name="_Toc413166131"/>
      <w:bookmarkStart w:id="127" w:name="_Toc237749133"/>
      <w:bookmarkStart w:id="128" w:name="_Toc15022"/>
      <w:bookmarkStart w:id="129" w:name="_Toc406847411"/>
      <w:r>
        <w:rPr>
          <w:rFonts w:eastAsia="黑体"/>
          <w:bCs w:val="0"/>
          <w:sz w:val="24"/>
          <w:szCs w:val="24"/>
        </w:rPr>
        <w:t>2.3.1施工期污染源</w:t>
      </w:r>
      <w:bookmarkEnd w:id="120"/>
      <w:bookmarkEnd w:id="121"/>
      <w:bookmarkEnd w:id="122"/>
      <w:bookmarkEnd w:id="123"/>
      <w:bookmarkEnd w:id="124"/>
      <w:bookmarkEnd w:id="125"/>
      <w:bookmarkEnd w:id="126"/>
      <w:bookmarkEnd w:id="127"/>
      <w:bookmarkEnd w:id="128"/>
      <w:bookmarkEnd w:id="129"/>
    </w:p>
    <w:p>
      <w:pPr>
        <w:pStyle w:val="7"/>
        <w:spacing w:before="0" w:after="0" w:line="520" w:lineRule="exact"/>
        <w:rPr>
          <w:b w:val="0"/>
          <w:sz w:val="24"/>
          <w:szCs w:val="24"/>
        </w:rPr>
      </w:pPr>
      <w:bookmarkStart w:id="130" w:name="_Toc269400680"/>
      <w:r>
        <w:rPr>
          <w:sz w:val="24"/>
          <w:szCs w:val="24"/>
        </w:rPr>
        <w:t>2.3.1.1 大气污染源</w:t>
      </w:r>
      <w:bookmarkEnd w:id="130"/>
    </w:p>
    <w:p>
      <w:pPr>
        <w:adjustRightInd w:val="0"/>
        <w:snapToGrid w:val="0"/>
        <w:spacing w:line="520" w:lineRule="exact"/>
        <w:ind w:firstLine="480" w:firstLineChars="200"/>
        <w:rPr>
          <w:sz w:val="24"/>
        </w:rPr>
      </w:pPr>
      <w:r>
        <w:rPr>
          <w:sz w:val="24"/>
        </w:rPr>
        <w:t>主要为建筑材料堆场造成的无组织排放粉尘、施工机械产生的机械废气以及运输车辆产生的汽车尾气和运输扬尘。</w:t>
      </w:r>
    </w:p>
    <w:p>
      <w:pPr>
        <w:pStyle w:val="7"/>
        <w:spacing w:before="0" w:after="0" w:line="520" w:lineRule="exact"/>
        <w:rPr>
          <w:sz w:val="24"/>
          <w:szCs w:val="24"/>
        </w:rPr>
      </w:pPr>
      <w:bookmarkStart w:id="131" w:name="_Toc269400681"/>
      <w:r>
        <w:rPr>
          <w:sz w:val="24"/>
          <w:szCs w:val="24"/>
        </w:rPr>
        <w:t>2.3.1.2废水</w:t>
      </w:r>
      <w:bookmarkEnd w:id="131"/>
    </w:p>
    <w:p>
      <w:pPr>
        <w:adjustRightInd w:val="0"/>
        <w:snapToGrid w:val="0"/>
        <w:spacing w:line="520" w:lineRule="exact"/>
        <w:ind w:firstLine="480" w:firstLineChars="200"/>
        <w:rPr>
          <w:sz w:val="24"/>
        </w:rPr>
      </w:pPr>
      <w:bookmarkStart w:id="132" w:name="_Toc269400682"/>
      <w:r>
        <w:rPr>
          <w:sz w:val="24"/>
        </w:rPr>
        <w:t>主要分为建筑废水以及施工人员生活污水。</w:t>
      </w:r>
    </w:p>
    <w:p>
      <w:pPr>
        <w:adjustRightInd w:val="0"/>
        <w:snapToGrid w:val="0"/>
        <w:spacing w:line="520" w:lineRule="exact"/>
        <w:ind w:firstLine="480" w:firstLineChars="200"/>
        <w:rPr>
          <w:sz w:val="24"/>
        </w:rPr>
      </w:pPr>
      <w:r>
        <w:rPr>
          <w:sz w:val="24"/>
        </w:rPr>
        <w:t>建筑废水主要为各种施工机械设备运转的冷却及洗涤用水和施工现场清洗、建材清洗、混凝土养护产生的废水。建筑废水产生量很小，约为0.2</w:t>
      </w:r>
      <w:r>
        <w:rPr>
          <w:bCs/>
          <w:sz w:val="24"/>
        </w:rPr>
        <w:t>m</w:t>
      </w:r>
      <w:r>
        <w:rPr>
          <w:bCs/>
          <w:sz w:val="24"/>
          <w:vertAlign w:val="superscript"/>
        </w:rPr>
        <w:t>3</w:t>
      </w:r>
      <w:r>
        <w:rPr>
          <w:bCs/>
          <w:sz w:val="24"/>
        </w:rPr>
        <w:t>/d</w:t>
      </w:r>
      <w:r>
        <w:rPr>
          <w:sz w:val="24"/>
        </w:rPr>
        <w:t>，经沉淀后用于地面洒水除尘。</w:t>
      </w:r>
    </w:p>
    <w:p>
      <w:pPr>
        <w:spacing w:line="520" w:lineRule="exact"/>
        <w:ind w:firstLine="480" w:firstLineChars="200"/>
        <w:rPr>
          <w:sz w:val="24"/>
        </w:rPr>
      </w:pPr>
      <w:r>
        <w:rPr>
          <w:sz w:val="24"/>
        </w:rPr>
        <w:t>生活污水为施工人员日常生活产生的废水，生活污水主要包括粪便污水及洗漱污水等，本项目施工期施工人员50人，施工期为6个月，施工人员每人每天生活污水量为30</w:t>
      </w:r>
      <w:r>
        <w:rPr>
          <w:bCs/>
          <w:sz w:val="24"/>
        </w:rPr>
        <w:t>L，</w:t>
      </w:r>
      <w:r>
        <w:rPr>
          <w:sz w:val="24"/>
        </w:rPr>
        <w:t>则施工期生活污水产生量为1.5</w:t>
      </w:r>
      <w:r>
        <w:rPr>
          <w:bCs/>
          <w:sz w:val="24"/>
        </w:rPr>
        <w:t>m</w:t>
      </w:r>
      <w:r>
        <w:rPr>
          <w:bCs/>
          <w:sz w:val="24"/>
          <w:vertAlign w:val="superscript"/>
        </w:rPr>
        <w:t>3</w:t>
      </w:r>
      <w:r>
        <w:rPr>
          <w:bCs/>
          <w:sz w:val="24"/>
        </w:rPr>
        <w:t>/d</w:t>
      </w:r>
      <w:r>
        <w:rPr>
          <w:sz w:val="24"/>
        </w:rPr>
        <w:t>，整个施工期的生活污水产生量为273</w:t>
      </w:r>
      <w:r>
        <w:rPr>
          <w:bCs/>
          <w:sz w:val="24"/>
        </w:rPr>
        <w:t>m</w:t>
      </w:r>
      <w:r>
        <w:rPr>
          <w:bCs/>
          <w:sz w:val="24"/>
          <w:vertAlign w:val="superscript"/>
        </w:rPr>
        <w:t>3</w:t>
      </w:r>
      <w:r>
        <w:rPr>
          <w:sz w:val="24"/>
        </w:rPr>
        <w:t>，生活污水经化粪池处理后定期由附近农民拉走堆肥，不外排，对环境影响不大。</w:t>
      </w:r>
    </w:p>
    <w:p>
      <w:pPr>
        <w:pStyle w:val="7"/>
        <w:spacing w:before="0" w:after="0" w:line="520" w:lineRule="exact"/>
        <w:rPr>
          <w:b w:val="0"/>
          <w:sz w:val="24"/>
          <w:szCs w:val="24"/>
        </w:rPr>
      </w:pPr>
      <w:r>
        <w:rPr>
          <w:sz w:val="24"/>
          <w:szCs w:val="24"/>
        </w:rPr>
        <w:t>2.3.1.3噪声污染源</w:t>
      </w:r>
      <w:bookmarkEnd w:id="132"/>
    </w:p>
    <w:p>
      <w:pPr>
        <w:adjustRightInd w:val="0"/>
        <w:snapToGrid w:val="0"/>
        <w:spacing w:line="520" w:lineRule="exact"/>
        <w:ind w:firstLine="480" w:firstLineChars="200"/>
        <w:rPr>
          <w:sz w:val="24"/>
        </w:rPr>
      </w:pPr>
      <w:r>
        <w:rPr>
          <w:sz w:val="24"/>
        </w:rPr>
        <w:t>本项目施工建设期涉及的施工机械在施工过程中将会产生噪声，噪声源强为72~90dB(A)。</w:t>
      </w:r>
    </w:p>
    <w:p>
      <w:pPr>
        <w:pStyle w:val="7"/>
        <w:spacing w:before="0" w:after="0" w:line="520" w:lineRule="exact"/>
        <w:rPr>
          <w:sz w:val="24"/>
          <w:szCs w:val="24"/>
        </w:rPr>
      </w:pPr>
      <w:bookmarkStart w:id="133" w:name="_Toc269400683"/>
      <w:r>
        <w:rPr>
          <w:sz w:val="24"/>
          <w:szCs w:val="24"/>
        </w:rPr>
        <w:t>2.3.1.4 固体废物</w:t>
      </w:r>
      <w:bookmarkEnd w:id="133"/>
    </w:p>
    <w:p>
      <w:pPr>
        <w:spacing w:line="520" w:lineRule="exact"/>
        <w:ind w:firstLine="480" w:firstLineChars="200"/>
        <w:rPr>
          <w:sz w:val="24"/>
        </w:rPr>
      </w:pPr>
      <w:r>
        <w:rPr>
          <w:sz w:val="24"/>
        </w:rPr>
        <w:t>本项目在施工过程产生的主要固体废物为：建筑垃圾、施工人员产生的生活垃圾及施工土方等。</w:t>
      </w:r>
    </w:p>
    <w:p>
      <w:pPr>
        <w:spacing w:line="520" w:lineRule="exact"/>
        <w:ind w:firstLine="480" w:firstLineChars="200"/>
        <w:rPr>
          <w:sz w:val="24"/>
        </w:rPr>
      </w:pPr>
      <w:r>
        <w:rPr>
          <w:sz w:val="24"/>
        </w:rPr>
        <w:t>生活污水为施工人员日常生活产生的废水，生活污水主要包括粪便污水及洗漱污水等，本项目施工期施工人员50人，施工期为</w:t>
      </w:r>
      <w:r>
        <w:rPr>
          <w:rFonts w:hint="eastAsia"/>
          <w:sz w:val="24"/>
        </w:rPr>
        <w:t>8</w:t>
      </w:r>
      <w:r>
        <w:rPr>
          <w:sz w:val="24"/>
        </w:rPr>
        <w:t>个月，施工人员每人每天生活污水量为30</w:t>
      </w:r>
      <w:r>
        <w:rPr>
          <w:bCs/>
          <w:sz w:val="24"/>
        </w:rPr>
        <w:t>L，</w:t>
      </w:r>
      <w:r>
        <w:rPr>
          <w:sz w:val="24"/>
        </w:rPr>
        <w:t>则施工期生活污水产生量为1.5</w:t>
      </w:r>
      <w:r>
        <w:rPr>
          <w:bCs/>
          <w:sz w:val="24"/>
        </w:rPr>
        <w:t>m</w:t>
      </w:r>
      <w:r>
        <w:rPr>
          <w:bCs/>
          <w:sz w:val="24"/>
          <w:vertAlign w:val="superscript"/>
        </w:rPr>
        <w:t>3</w:t>
      </w:r>
      <w:r>
        <w:rPr>
          <w:bCs/>
          <w:sz w:val="24"/>
        </w:rPr>
        <w:t>/d</w:t>
      </w:r>
      <w:r>
        <w:rPr>
          <w:sz w:val="24"/>
        </w:rPr>
        <w:t>，整个施工期的生活污水产生量为</w:t>
      </w:r>
      <w:r>
        <w:rPr>
          <w:rFonts w:hint="eastAsia"/>
          <w:sz w:val="24"/>
        </w:rPr>
        <w:t>360</w:t>
      </w:r>
      <w:r>
        <w:rPr>
          <w:bCs/>
          <w:sz w:val="24"/>
        </w:rPr>
        <w:t>m</w:t>
      </w:r>
      <w:r>
        <w:rPr>
          <w:bCs/>
          <w:sz w:val="24"/>
          <w:vertAlign w:val="superscript"/>
        </w:rPr>
        <w:t>3</w:t>
      </w:r>
      <w:r>
        <w:rPr>
          <w:sz w:val="24"/>
        </w:rPr>
        <w:t>，生活污水经化粪池处理后定期由附近农民拉走堆肥，不外排，对环境影响不大。</w:t>
      </w:r>
    </w:p>
    <w:p>
      <w:pPr>
        <w:spacing w:line="520" w:lineRule="exact"/>
        <w:ind w:firstLine="480" w:firstLineChars="200"/>
        <w:rPr>
          <w:sz w:val="24"/>
        </w:rPr>
      </w:pPr>
      <w:r>
        <w:rPr>
          <w:color w:val="000000"/>
          <w:sz w:val="24"/>
        </w:rPr>
        <w:t>根据项目建设方案，本工程预计挖方约16667m</w:t>
      </w:r>
      <w:r>
        <w:rPr>
          <w:color w:val="000000"/>
          <w:sz w:val="24"/>
          <w:vertAlign w:val="superscript"/>
        </w:rPr>
        <w:t>3</w:t>
      </w:r>
      <w:r>
        <w:rPr>
          <w:color w:val="000000"/>
          <w:sz w:val="24"/>
        </w:rPr>
        <w:t>，填方12000m</w:t>
      </w:r>
      <w:r>
        <w:rPr>
          <w:color w:val="000000"/>
          <w:sz w:val="24"/>
          <w:vertAlign w:val="superscript"/>
        </w:rPr>
        <w:t>3</w:t>
      </w:r>
      <w:r>
        <w:rPr>
          <w:color w:val="000000"/>
          <w:sz w:val="24"/>
        </w:rPr>
        <w:t>，</w:t>
      </w:r>
      <w:r>
        <w:rPr>
          <w:sz w:val="24"/>
        </w:rPr>
        <w:t>剩余土方全部用于后期绿化覆土。</w:t>
      </w:r>
    </w:p>
    <w:p>
      <w:pPr>
        <w:pStyle w:val="7"/>
        <w:spacing w:before="0" w:after="0" w:line="520" w:lineRule="exact"/>
        <w:rPr>
          <w:sz w:val="24"/>
          <w:szCs w:val="24"/>
        </w:rPr>
      </w:pPr>
      <w:r>
        <w:rPr>
          <w:sz w:val="24"/>
          <w:szCs w:val="24"/>
        </w:rPr>
        <w:t>2.3.1.5生态影响</w:t>
      </w:r>
    </w:p>
    <w:p>
      <w:pPr>
        <w:adjustRightInd w:val="0"/>
        <w:snapToGrid w:val="0"/>
        <w:spacing w:line="520" w:lineRule="exact"/>
        <w:ind w:firstLine="480" w:firstLineChars="200"/>
        <w:rPr>
          <w:sz w:val="24"/>
        </w:rPr>
      </w:pPr>
      <w:bookmarkStart w:id="134" w:name="_Toc269400684"/>
      <w:bookmarkStart w:id="135" w:name="_Toc407001405"/>
      <w:bookmarkStart w:id="136" w:name="_Toc413166132"/>
      <w:bookmarkStart w:id="137" w:name="_Toc311979856"/>
      <w:bookmarkStart w:id="138" w:name="_Toc311979810"/>
      <w:bookmarkStart w:id="139" w:name="_Toc406847412"/>
      <w:bookmarkStart w:id="140" w:name="_Toc237749134"/>
      <w:bookmarkStart w:id="141" w:name="_Toc311979924"/>
      <w:bookmarkStart w:id="142" w:name="_Toc388881913"/>
      <w:r>
        <w:rPr>
          <w:sz w:val="24"/>
        </w:rPr>
        <w:t>项目场区占地</w:t>
      </w:r>
      <w:r>
        <w:rPr>
          <w:rFonts w:hint="eastAsia"/>
          <w:sz w:val="24"/>
        </w:rPr>
        <w:t>203</w:t>
      </w:r>
      <w:r>
        <w:rPr>
          <w:sz w:val="24"/>
        </w:rPr>
        <w:t>亩，全部为农田，项目占地类型及生物量情况具体见表2.3-1。</w:t>
      </w:r>
    </w:p>
    <w:p>
      <w:pPr>
        <w:adjustRightInd w:val="0"/>
        <w:snapToGrid w:val="0"/>
        <w:spacing w:afterLines="30" w:line="500" w:lineRule="exact"/>
        <w:ind w:firstLine="482" w:firstLineChars="200"/>
        <w:jc w:val="center"/>
        <w:rPr>
          <w:b/>
          <w:sz w:val="24"/>
        </w:rPr>
      </w:pPr>
      <w:r>
        <w:rPr>
          <w:b/>
          <w:sz w:val="24"/>
        </w:rPr>
        <w:t>表2.3-1    项目占地类型及损失生物量情况一览表</w:t>
      </w:r>
    </w:p>
    <w:tbl>
      <w:tblPr>
        <w:tblStyle w:val="44"/>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187"/>
        <w:gridCol w:w="1064"/>
        <w:gridCol w:w="1936"/>
        <w:gridCol w:w="1428"/>
        <w:gridCol w:w="1043"/>
        <w:gridCol w:w="1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7" w:type="dxa"/>
            <w:tcMar>
              <w:top w:w="0" w:type="dxa"/>
              <w:left w:w="28" w:type="dxa"/>
              <w:bottom w:w="0" w:type="dxa"/>
              <w:right w:w="28" w:type="dxa"/>
            </w:tcMar>
            <w:vAlign w:val="center"/>
          </w:tcPr>
          <w:p>
            <w:pPr>
              <w:jc w:val="center"/>
              <w:rPr>
                <w:b/>
                <w:szCs w:val="21"/>
              </w:rPr>
            </w:pPr>
            <w:bookmarkStart w:id="143" w:name="_Toc181247754"/>
            <w:r>
              <w:rPr>
                <w:b/>
                <w:szCs w:val="21"/>
              </w:rPr>
              <w:t>群落类型</w:t>
            </w:r>
            <w:bookmarkEnd w:id="143"/>
          </w:p>
        </w:tc>
        <w:tc>
          <w:tcPr>
            <w:tcW w:w="1187" w:type="dxa"/>
            <w:tcMar>
              <w:top w:w="0" w:type="dxa"/>
              <w:left w:w="28" w:type="dxa"/>
              <w:bottom w:w="0" w:type="dxa"/>
              <w:right w:w="28" w:type="dxa"/>
            </w:tcMar>
            <w:vAlign w:val="center"/>
          </w:tcPr>
          <w:p>
            <w:pPr>
              <w:jc w:val="center"/>
              <w:rPr>
                <w:b/>
                <w:szCs w:val="21"/>
              </w:rPr>
            </w:pPr>
            <w:bookmarkStart w:id="144" w:name="_Toc181247755"/>
            <w:r>
              <w:rPr>
                <w:b/>
                <w:szCs w:val="21"/>
              </w:rPr>
              <w:t>面积（亩）</w:t>
            </w:r>
            <w:bookmarkEnd w:id="144"/>
          </w:p>
        </w:tc>
        <w:tc>
          <w:tcPr>
            <w:tcW w:w="1064" w:type="dxa"/>
            <w:tcMar>
              <w:top w:w="0" w:type="dxa"/>
              <w:left w:w="28" w:type="dxa"/>
              <w:bottom w:w="0" w:type="dxa"/>
              <w:right w:w="28" w:type="dxa"/>
            </w:tcMar>
            <w:vAlign w:val="center"/>
          </w:tcPr>
          <w:p>
            <w:pPr>
              <w:jc w:val="center"/>
              <w:rPr>
                <w:b/>
                <w:szCs w:val="21"/>
              </w:rPr>
            </w:pPr>
            <w:bookmarkStart w:id="145" w:name="_Toc181247756"/>
            <w:r>
              <w:rPr>
                <w:b/>
                <w:szCs w:val="21"/>
              </w:rPr>
              <w:t>植物种类组成</w:t>
            </w:r>
            <w:bookmarkEnd w:id="145"/>
          </w:p>
        </w:tc>
        <w:tc>
          <w:tcPr>
            <w:tcW w:w="1936" w:type="dxa"/>
            <w:tcMar>
              <w:top w:w="0" w:type="dxa"/>
              <w:left w:w="28" w:type="dxa"/>
              <w:bottom w:w="0" w:type="dxa"/>
              <w:right w:w="28" w:type="dxa"/>
            </w:tcMar>
            <w:vAlign w:val="center"/>
          </w:tcPr>
          <w:p>
            <w:pPr>
              <w:jc w:val="center"/>
              <w:rPr>
                <w:b/>
                <w:szCs w:val="21"/>
              </w:rPr>
            </w:pPr>
            <w:bookmarkStart w:id="146" w:name="_Toc181247757"/>
            <w:r>
              <w:rPr>
                <w:b/>
                <w:szCs w:val="21"/>
              </w:rPr>
              <w:t>损失生物量</w:t>
            </w:r>
          </w:p>
          <w:p>
            <w:pPr>
              <w:jc w:val="center"/>
              <w:rPr>
                <w:b/>
                <w:szCs w:val="21"/>
              </w:rPr>
            </w:pPr>
            <w:r>
              <w:rPr>
                <w:b/>
                <w:szCs w:val="21"/>
              </w:rPr>
              <w:t>（t/亩）</w:t>
            </w:r>
            <w:bookmarkEnd w:id="146"/>
          </w:p>
        </w:tc>
        <w:tc>
          <w:tcPr>
            <w:tcW w:w="1428" w:type="dxa"/>
            <w:tcMar>
              <w:top w:w="0" w:type="dxa"/>
              <w:left w:w="28" w:type="dxa"/>
              <w:bottom w:w="0" w:type="dxa"/>
              <w:right w:w="28" w:type="dxa"/>
            </w:tcMar>
            <w:vAlign w:val="center"/>
          </w:tcPr>
          <w:p>
            <w:pPr>
              <w:ind w:firstLine="105" w:firstLineChars="50"/>
              <w:jc w:val="center"/>
              <w:rPr>
                <w:b/>
                <w:szCs w:val="21"/>
              </w:rPr>
            </w:pPr>
            <w:bookmarkStart w:id="147" w:name="_Toc181247758"/>
            <w:r>
              <w:rPr>
                <w:b/>
                <w:szCs w:val="21"/>
              </w:rPr>
              <w:t>合计（t）</w:t>
            </w:r>
            <w:bookmarkEnd w:id="147"/>
          </w:p>
        </w:tc>
        <w:tc>
          <w:tcPr>
            <w:tcW w:w="1043" w:type="dxa"/>
            <w:tcMar>
              <w:top w:w="0" w:type="dxa"/>
              <w:left w:w="28" w:type="dxa"/>
              <w:bottom w:w="0" w:type="dxa"/>
              <w:right w:w="28" w:type="dxa"/>
            </w:tcMar>
            <w:vAlign w:val="center"/>
          </w:tcPr>
          <w:p>
            <w:pPr>
              <w:jc w:val="center"/>
              <w:rPr>
                <w:b/>
                <w:szCs w:val="21"/>
              </w:rPr>
            </w:pPr>
            <w:r>
              <w:rPr>
                <w:b/>
                <w:szCs w:val="21"/>
              </w:rPr>
              <w:t>占地类型</w:t>
            </w:r>
          </w:p>
        </w:tc>
        <w:tc>
          <w:tcPr>
            <w:tcW w:w="1041" w:type="dxa"/>
            <w:tcMar>
              <w:top w:w="0" w:type="dxa"/>
              <w:left w:w="28" w:type="dxa"/>
              <w:bottom w:w="0" w:type="dxa"/>
              <w:right w:w="28" w:type="dxa"/>
            </w:tcMar>
            <w:vAlign w:val="center"/>
          </w:tcPr>
          <w:p>
            <w:pPr>
              <w:jc w:val="center"/>
              <w:rPr>
                <w:b/>
                <w:szCs w:val="21"/>
              </w:rPr>
            </w:pPr>
            <w:r>
              <w:rPr>
                <w:b/>
                <w:szCs w:val="21"/>
              </w:rPr>
              <w:t>临时占地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7" w:type="dxa"/>
            <w:tcMar>
              <w:top w:w="0" w:type="dxa"/>
              <w:left w:w="28" w:type="dxa"/>
              <w:bottom w:w="0" w:type="dxa"/>
              <w:right w:w="28" w:type="dxa"/>
            </w:tcMar>
            <w:vAlign w:val="center"/>
          </w:tcPr>
          <w:p>
            <w:pPr>
              <w:jc w:val="center"/>
              <w:rPr>
                <w:szCs w:val="21"/>
              </w:rPr>
            </w:pPr>
            <w:bookmarkStart w:id="148" w:name="_Toc181247774"/>
            <w:r>
              <w:rPr>
                <w:szCs w:val="21"/>
              </w:rPr>
              <w:t>农作物群落</w:t>
            </w:r>
            <w:bookmarkEnd w:id="148"/>
          </w:p>
        </w:tc>
        <w:tc>
          <w:tcPr>
            <w:tcW w:w="1187" w:type="dxa"/>
            <w:tcMar>
              <w:top w:w="0" w:type="dxa"/>
              <w:left w:w="28" w:type="dxa"/>
              <w:bottom w:w="0" w:type="dxa"/>
              <w:right w:w="28" w:type="dxa"/>
            </w:tcMar>
            <w:vAlign w:val="center"/>
          </w:tcPr>
          <w:p>
            <w:pPr>
              <w:jc w:val="center"/>
              <w:rPr>
                <w:color w:val="000000" w:themeColor="text1"/>
                <w:szCs w:val="21"/>
              </w:rPr>
            </w:pPr>
            <w:r>
              <w:rPr>
                <w:rFonts w:hint="eastAsia"/>
                <w:color w:val="000000" w:themeColor="text1"/>
                <w:szCs w:val="21"/>
              </w:rPr>
              <w:t>203</w:t>
            </w:r>
          </w:p>
        </w:tc>
        <w:tc>
          <w:tcPr>
            <w:tcW w:w="1064" w:type="dxa"/>
            <w:tcMar>
              <w:top w:w="0" w:type="dxa"/>
              <w:left w:w="28" w:type="dxa"/>
              <w:bottom w:w="0" w:type="dxa"/>
              <w:right w:w="28" w:type="dxa"/>
            </w:tcMar>
            <w:vAlign w:val="center"/>
          </w:tcPr>
          <w:p>
            <w:pPr>
              <w:jc w:val="center"/>
              <w:rPr>
                <w:color w:val="000000"/>
                <w:szCs w:val="21"/>
              </w:rPr>
            </w:pPr>
            <w:r>
              <w:rPr>
                <w:color w:val="000000"/>
                <w:szCs w:val="21"/>
              </w:rPr>
              <w:t>小麦</w:t>
            </w:r>
          </w:p>
        </w:tc>
        <w:tc>
          <w:tcPr>
            <w:tcW w:w="1936" w:type="dxa"/>
            <w:tcMar>
              <w:top w:w="0" w:type="dxa"/>
              <w:left w:w="28" w:type="dxa"/>
              <w:bottom w:w="0" w:type="dxa"/>
              <w:right w:w="28" w:type="dxa"/>
            </w:tcMar>
            <w:vAlign w:val="center"/>
          </w:tcPr>
          <w:p>
            <w:pPr>
              <w:jc w:val="center"/>
              <w:rPr>
                <w:color w:val="000000"/>
                <w:szCs w:val="21"/>
              </w:rPr>
            </w:pPr>
            <w:r>
              <w:rPr>
                <w:color w:val="000000"/>
                <w:szCs w:val="21"/>
              </w:rPr>
              <w:t>1.2</w:t>
            </w:r>
          </w:p>
        </w:tc>
        <w:tc>
          <w:tcPr>
            <w:tcW w:w="1428" w:type="dxa"/>
            <w:tcMar>
              <w:top w:w="0" w:type="dxa"/>
              <w:left w:w="28" w:type="dxa"/>
              <w:bottom w:w="0" w:type="dxa"/>
              <w:right w:w="28" w:type="dxa"/>
            </w:tcMar>
            <w:vAlign w:val="center"/>
          </w:tcPr>
          <w:p>
            <w:pPr>
              <w:jc w:val="center"/>
              <w:rPr>
                <w:color w:val="000000"/>
                <w:szCs w:val="21"/>
              </w:rPr>
            </w:pPr>
            <w:r>
              <w:rPr>
                <w:rFonts w:hint="eastAsia"/>
                <w:color w:val="000000"/>
                <w:szCs w:val="21"/>
              </w:rPr>
              <w:t>243.6</w:t>
            </w:r>
          </w:p>
        </w:tc>
        <w:tc>
          <w:tcPr>
            <w:tcW w:w="1043" w:type="dxa"/>
            <w:tcMar>
              <w:top w:w="0" w:type="dxa"/>
              <w:left w:w="28" w:type="dxa"/>
              <w:bottom w:w="0" w:type="dxa"/>
              <w:right w:w="28" w:type="dxa"/>
            </w:tcMar>
            <w:vAlign w:val="center"/>
          </w:tcPr>
          <w:p>
            <w:pPr>
              <w:jc w:val="center"/>
              <w:rPr>
                <w:szCs w:val="21"/>
              </w:rPr>
            </w:pPr>
            <w:r>
              <w:rPr>
                <w:szCs w:val="21"/>
              </w:rPr>
              <w:t>农田</w:t>
            </w:r>
          </w:p>
        </w:tc>
        <w:tc>
          <w:tcPr>
            <w:tcW w:w="1041" w:type="dxa"/>
            <w:tcMar>
              <w:top w:w="0" w:type="dxa"/>
              <w:left w:w="28" w:type="dxa"/>
              <w:bottom w:w="0" w:type="dxa"/>
              <w:right w:w="28" w:type="dxa"/>
            </w:tcMar>
            <w:vAlign w:val="center"/>
          </w:tcPr>
          <w:p>
            <w:pPr>
              <w:jc w:val="center"/>
              <w:rPr>
                <w:szCs w:val="21"/>
              </w:rPr>
            </w:pPr>
            <w:r>
              <w:rPr>
                <w:szCs w:val="21"/>
              </w:rPr>
              <w:t>0</w:t>
            </w:r>
          </w:p>
        </w:tc>
      </w:tr>
    </w:tbl>
    <w:p>
      <w:pPr>
        <w:spacing w:line="520" w:lineRule="exact"/>
        <w:ind w:firstLine="567"/>
        <w:rPr>
          <w:sz w:val="24"/>
        </w:rPr>
      </w:pPr>
      <w:r>
        <w:rPr>
          <w:sz w:val="24"/>
        </w:rPr>
        <w:t>根据实地调查，评价区属于农田生态系统，项目区植被全部为农田植被，农田植被主要是小麦。</w:t>
      </w:r>
    </w:p>
    <w:p>
      <w:pPr>
        <w:adjustRightInd w:val="0"/>
        <w:snapToGrid w:val="0"/>
        <w:spacing w:line="520" w:lineRule="exact"/>
        <w:ind w:firstLine="480" w:firstLineChars="200"/>
        <w:rPr>
          <w:sz w:val="24"/>
        </w:rPr>
      </w:pPr>
      <w:r>
        <w:rPr>
          <w:sz w:val="24"/>
        </w:rPr>
        <w:t>项目建设共破坏农田植被</w:t>
      </w:r>
      <w:r>
        <w:rPr>
          <w:rFonts w:hint="eastAsia"/>
          <w:color w:val="000000"/>
          <w:sz w:val="24"/>
        </w:rPr>
        <w:t>203</w:t>
      </w:r>
      <w:r>
        <w:rPr>
          <w:color w:val="000000"/>
          <w:sz w:val="24"/>
        </w:rPr>
        <w:t>亩</w:t>
      </w:r>
      <w:r>
        <w:rPr>
          <w:sz w:val="24"/>
        </w:rPr>
        <w:t>，尽管项目建设会使原有植被遭到局部损失，但破坏的面积不大，且破坏的植被以农业植被为主，为广布种和常见种。项目在建设完成后将对厂区进行绿化，从而对减少的生物量进行补偿。</w:t>
      </w:r>
    </w:p>
    <w:p>
      <w:pPr>
        <w:spacing w:line="500" w:lineRule="exact"/>
        <w:ind w:firstLine="480" w:firstLineChars="200"/>
        <w:rPr>
          <w:sz w:val="24"/>
        </w:rPr>
      </w:pPr>
      <w:r>
        <w:rPr>
          <w:sz w:val="24"/>
        </w:rPr>
        <w:t>项目施工期建筑材料及土方临时堆放在厂区的东南侧，并加蓬覆盖，避免产生扬尘。本项目所用建筑材料，如砂砾、二灰砂砾、环保砖、沥青砼均在平舆购买，采用汽车运输。在建筑材料运输过程应加蓬覆盖，尽量避开村庄运输。</w:t>
      </w:r>
    </w:p>
    <w:p>
      <w:pPr>
        <w:spacing w:line="500" w:lineRule="exact"/>
        <w:ind w:firstLine="480" w:firstLineChars="200"/>
        <w:rPr>
          <w:sz w:val="24"/>
        </w:rPr>
      </w:pPr>
      <w:r>
        <w:rPr>
          <w:sz w:val="24"/>
        </w:rPr>
        <w:t>建筑材料和尚未回填的剩余土方临时放置于施工场地东南角，建筑材料搭棚覆盖，剩余土方采用防尘网覆盖，撒播草籽，以减少水土流失，在项目建设完成后用于绿化覆土，提高植被覆盖率，以最大限度降低项目对生态环境的影响。</w:t>
      </w:r>
    </w:p>
    <w:p>
      <w:pPr>
        <w:adjustRightInd w:val="0"/>
        <w:snapToGrid w:val="0"/>
        <w:spacing w:line="520" w:lineRule="exact"/>
        <w:ind w:firstLine="480" w:firstLineChars="200"/>
        <w:rPr>
          <w:bCs/>
          <w:sz w:val="24"/>
        </w:rPr>
      </w:pPr>
      <w:r>
        <w:rPr>
          <w:sz w:val="24"/>
        </w:rPr>
        <w:t>通过采取相应的生态保护和恢复措施，尤其是通过施工管理和强化施工期的保护和恢复，则本项目建设对生态环境影响是可接受的。</w:t>
      </w:r>
    </w:p>
    <w:p>
      <w:pPr>
        <w:pStyle w:val="5"/>
        <w:snapToGrid w:val="0"/>
        <w:spacing w:before="0" w:after="0" w:line="520" w:lineRule="exact"/>
        <w:rPr>
          <w:bCs w:val="0"/>
          <w:sz w:val="28"/>
          <w:szCs w:val="28"/>
        </w:rPr>
      </w:pPr>
      <w:bookmarkStart w:id="149" w:name="_Toc14347"/>
      <w:r>
        <w:rPr>
          <w:bCs w:val="0"/>
          <w:sz w:val="28"/>
          <w:szCs w:val="28"/>
        </w:rPr>
        <w:t>2.3.2 运营期主要污染源分析</w:t>
      </w:r>
      <w:bookmarkEnd w:id="134"/>
      <w:bookmarkEnd w:id="135"/>
      <w:bookmarkEnd w:id="136"/>
      <w:bookmarkEnd w:id="137"/>
      <w:bookmarkEnd w:id="138"/>
      <w:bookmarkEnd w:id="139"/>
      <w:bookmarkEnd w:id="140"/>
      <w:bookmarkEnd w:id="141"/>
      <w:bookmarkEnd w:id="142"/>
      <w:bookmarkEnd w:id="149"/>
    </w:p>
    <w:p>
      <w:pPr>
        <w:adjustRightInd w:val="0"/>
        <w:snapToGrid w:val="0"/>
        <w:spacing w:line="520" w:lineRule="exact"/>
        <w:ind w:firstLine="480" w:firstLineChars="200"/>
        <w:rPr>
          <w:bCs/>
          <w:sz w:val="24"/>
        </w:rPr>
      </w:pPr>
      <w:r>
        <w:rPr>
          <w:bCs/>
          <w:sz w:val="24"/>
        </w:rPr>
        <w:t>营运期间的主要污染环节见表2.3-2。</w:t>
      </w:r>
    </w:p>
    <w:p>
      <w:pPr>
        <w:spacing w:afterLines="30" w:line="520" w:lineRule="exact"/>
        <w:jc w:val="center"/>
        <w:rPr>
          <w:b/>
          <w:sz w:val="24"/>
        </w:rPr>
      </w:pPr>
      <w:r>
        <w:rPr>
          <w:b/>
          <w:sz w:val="24"/>
        </w:rPr>
        <w:t>表2.3-2    工程产排污环节一览表</w:t>
      </w:r>
    </w:p>
    <w:tbl>
      <w:tblPr>
        <w:tblStyle w:val="44"/>
        <w:tblW w:w="89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79"/>
        <w:gridCol w:w="735"/>
        <w:gridCol w:w="1656"/>
        <w:gridCol w:w="1468"/>
        <w:gridCol w:w="34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blHeader/>
        </w:trPr>
        <w:tc>
          <w:tcPr>
            <w:tcW w:w="1709" w:type="dxa"/>
            <w:gridSpan w:val="2"/>
            <w:vAlign w:val="center"/>
          </w:tcPr>
          <w:p>
            <w:pPr>
              <w:spacing w:line="360" w:lineRule="exact"/>
              <w:jc w:val="center"/>
              <w:rPr>
                <w:b/>
                <w:szCs w:val="21"/>
              </w:rPr>
            </w:pPr>
            <w:r>
              <w:rPr>
                <w:b/>
                <w:szCs w:val="21"/>
              </w:rPr>
              <w:t>产排污环节</w:t>
            </w:r>
          </w:p>
        </w:tc>
        <w:tc>
          <w:tcPr>
            <w:tcW w:w="735" w:type="dxa"/>
            <w:vAlign w:val="center"/>
          </w:tcPr>
          <w:p>
            <w:pPr>
              <w:spacing w:line="360" w:lineRule="exact"/>
              <w:jc w:val="center"/>
              <w:rPr>
                <w:b/>
                <w:szCs w:val="21"/>
              </w:rPr>
            </w:pPr>
            <w:r>
              <w:rPr>
                <w:b/>
                <w:szCs w:val="21"/>
              </w:rPr>
              <w:t>编号</w:t>
            </w:r>
          </w:p>
        </w:tc>
        <w:tc>
          <w:tcPr>
            <w:tcW w:w="1656" w:type="dxa"/>
            <w:vAlign w:val="center"/>
          </w:tcPr>
          <w:p>
            <w:pPr>
              <w:spacing w:line="360" w:lineRule="exact"/>
              <w:jc w:val="center"/>
              <w:rPr>
                <w:b/>
                <w:szCs w:val="21"/>
              </w:rPr>
            </w:pPr>
            <w:r>
              <w:rPr>
                <w:b/>
                <w:szCs w:val="21"/>
              </w:rPr>
              <w:t>污染源</w:t>
            </w:r>
          </w:p>
        </w:tc>
        <w:tc>
          <w:tcPr>
            <w:tcW w:w="1468" w:type="dxa"/>
            <w:vAlign w:val="center"/>
          </w:tcPr>
          <w:p>
            <w:pPr>
              <w:spacing w:line="360" w:lineRule="exact"/>
              <w:jc w:val="center"/>
              <w:rPr>
                <w:b/>
                <w:szCs w:val="21"/>
              </w:rPr>
            </w:pPr>
            <w:r>
              <w:rPr>
                <w:b/>
                <w:szCs w:val="21"/>
              </w:rPr>
              <w:t>成分</w:t>
            </w:r>
          </w:p>
        </w:tc>
        <w:tc>
          <w:tcPr>
            <w:tcW w:w="3420" w:type="dxa"/>
            <w:vAlign w:val="center"/>
          </w:tcPr>
          <w:p>
            <w:pPr>
              <w:spacing w:line="360" w:lineRule="exact"/>
              <w:jc w:val="center"/>
              <w:rPr>
                <w:b/>
                <w:szCs w:val="21"/>
              </w:rPr>
            </w:pPr>
            <w:r>
              <w:rPr>
                <w:b/>
                <w:szCs w:val="21"/>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709" w:type="dxa"/>
            <w:gridSpan w:val="2"/>
            <w:vMerge w:val="restart"/>
            <w:vAlign w:val="center"/>
          </w:tcPr>
          <w:p>
            <w:pPr>
              <w:spacing w:line="360" w:lineRule="exact"/>
              <w:jc w:val="center"/>
              <w:rPr>
                <w:szCs w:val="21"/>
              </w:rPr>
            </w:pPr>
            <w:r>
              <w:rPr>
                <w:szCs w:val="21"/>
              </w:rPr>
              <w:t>猪舍</w:t>
            </w:r>
          </w:p>
        </w:tc>
        <w:tc>
          <w:tcPr>
            <w:tcW w:w="735" w:type="dxa"/>
            <w:vAlign w:val="center"/>
          </w:tcPr>
          <w:p>
            <w:pPr>
              <w:spacing w:line="360" w:lineRule="exact"/>
              <w:jc w:val="center"/>
              <w:rPr>
                <w:szCs w:val="21"/>
              </w:rPr>
            </w:pPr>
            <w:r>
              <w:rPr>
                <w:szCs w:val="21"/>
              </w:rPr>
              <w:t>G</w:t>
            </w:r>
            <w:r>
              <w:rPr>
                <w:szCs w:val="21"/>
                <w:vertAlign w:val="subscript"/>
              </w:rPr>
              <w:t>1</w:t>
            </w:r>
          </w:p>
        </w:tc>
        <w:tc>
          <w:tcPr>
            <w:tcW w:w="1656" w:type="dxa"/>
            <w:vAlign w:val="center"/>
          </w:tcPr>
          <w:p>
            <w:pPr>
              <w:spacing w:line="360" w:lineRule="exact"/>
              <w:jc w:val="center"/>
              <w:rPr>
                <w:szCs w:val="21"/>
              </w:rPr>
            </w:pPr>
            <w:r>
              <w:rPr>
                <w:szCs w:val="21"/>
              </w:rPr>
              <w:t>恶臭</w:t>
            </w:r>
          </w:p>
        </w:tc>
        <w:tc>
          <w:tcPr>
            <w:tcW w:w="1468" w:type="dxa"/>
            <w:vAlign w:val="center"/>
          </w:tcPr>
          <w:p>
            <w:pPr>
              <w:spacing w:line="360" w:lineRule="exact"/>
              <w:jc w:val="center"/>
              <w:rPr>
                <w:szCs w:val="21"/>
              </w:rPr>
            </w:pPr>
            <w:r>
              <w:rPr>
                <w:szCs w:val="21"/>
              </w:rPr>
              <w:t>H</w:t>
            </w:r>
            <w:r>
              <w:rPr>
                <w:szCs w:val="21"/>
                <w:vertAlign w:val="subscript"/>
              </w:rPr>
              <w:t>2</w:t>
            </w:r>
            <w:r>
              <w:rPr>
                <w:szCs w:val="21"/>
              </w:rPr>
              <w:t>S、NH</w:t>
            </w:r>
            <w:r>
              <w:rPr>
                <w:szCs w:val="21"/>
                <w:vertAlign w:val="subscript"/>
              </w:rPr>
              <w:t>3</w:t>
            </w:r>
          </w:p>
        </w:tc>
        <w:tc>
          <w:tcPr>
            <w:tcW w:w="3420" w:type="dxa"/>
            <w:vAlign w:val="center"/>
          </w:tcPr>
          <w:p>
            <w:pPr>
              <w:spacing w:line="360" w:lineRule="exact"/>
              <w:jc w:val="center"/>
              <w:rPr>
                <w:szCs w:val="21"/>
              </w:rPr>
            </w:pPr>
            <w:r>
              <w:rPr>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W</w:t>
            </w:r>
            <w:r>
              <w:rPr>
                <w:szCs w:val="21"/>
                <w:vertAlign w:val="subscript"/>
              </w:rPr>
              <w:t>1</w:t>
            </w:r>
          </w:p>
        </w:tc>
        <w:tc>
          <w:tcPr>
            <w:tcW w:w="1656" w:type="dxa"/>
            <w:vAlign w:val="center"/>
          </w:tcPr>
          <w:p>
            <w:pPr>
              <w:spacing w:line="360" w:lineRule="exact"/>
              <w:jc w:val="center"/>
              <w:rPr>
                <w:szCs w:val="21"/>
              </w:rPr>
            </w:pPr>
            <w:r>
              <w:rPr>
                <w:szCs w:val="21"/>
              </w:rPr>
              <w:t>猪尿液</w:t>
            </w:r>
          </w:p>
        </w:tc>
        <w:tc>
          <w:tcPr>
            <w:tcW w:w="1468" w:type="dxa"/>
            <w:vMerge w:val="restart"/>
            <w:vAlign w:val="center"/>
          </w:tcPr>
          <w:p>
            <w:pPr>
              <w:spacing w:line="360" w:lineRule="exact"/>
              <w:jc w:val="center"/>
              <w:rPr>
                <w:szCs w:val="21"/>
              </w:rPr>
            </w:pPr>
            <w:r>
              <w:rPr>
                <w:szCs w:val="21"/>
              </w:rPr>
              <w:t>COD、NH</w:t>
            </w:r>
            <w:r>
              <w:rPr>
                <w:szCs w:val="21"/>
                <w:vertAlign w:val="subscript"/>
              </w:rPr>
              <w:t>3</w:t>
            </w:r>
            <w:r>
              <w:rPr>
                <w:szCs w:val="21"/>
              </w:rPr>
              <w:t>-N</w:t>
            </w:r>
          </w:p>
        </w:tc>
        <w:tc>
          <w:tcPr>
            <w:tcW w:w="3420" w:type="dxa"/>
            <w:vMerge w:val="restart"/>
            <w:vAlign w:val="center"/>
          </w:tcPr>
          <w:p>
            <w:pPr>
              <w:spacing w:line="360" w:lineRule="exact"/>
              <w:jc w:val="center"/>
              <w:rPr>
                <w:szCs w:val="21"/>
              </w:rPr>
            </w:pPr>
            <w:r>
              <w:rPr>
                <w:szCs w:val="21"/>
              </w:rPr>
              <w:t>经盖泻湖沼气池处理后作液体肥还田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W</w:t>
            </w:r>
            <w:r>
              <w:rPr>
                <w:szCs w:val="21"/>
                <w:vertAlign w:val="subscript"/>
              </w:rPr>
              <w:t>2</w:t>
            </w:r>
          </w:p>
        </w:tc>
        <w:tc>
          <w:tcPr>
            <w:tcW w:w="1656" w:type="dxa"/>
            <w:vAlign w:val="center"/>
          </w:tcPr>
          <w:p>
            <w:pPr>
              <w:spacing w:line="360" w:lineRule="exact"/>
              <w:jc w:val="center"/>
              <w:rPr>
                <w:szCs w:val="21"/>
              </w:rPr>
            </w:pPr>
            <w:r>
              <w:rPr>
                <w:szCs w:val="21"/>
              </w:rPr>
              <w:t>猪舍冲洗水</w:t>
            </w:r>
          </w:p>
        </w:tc>
        <w:tc>
          <w:tcPr>
            <w:tcW w:w="1468" w:type="dxa"/>
            <w:vMerge w:val="continue"/>
            <w:vAlign w:val="center"/>
          </w:tcPr>
          <w:p>
            <w:pPr>
              <w:spacing w:line="360" w:lineRule="exact"/>
              <w:jc w:val="center"/>
              <w:rPr>
                <w:szCs w:val="21"/>
              </w:rPr>
            </w:pPr>
          </w:p>
        </w:tc>
        <w:tc>
          <w:tcPr>
            <w:tcW w:w="3420" w:type="dxa"/>
            <w:vMerge w:val="continue"/>
            <w:vAlign w:val="center"/>
          </w:tcPr>
          <w:p>
            <w:pPr>
              <w:spacing w:line="36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Z</w:t>
            </w:r>
            <w:r>
              <w:rPr>
                <w:szCs w:val="21"/>
                <w:vertAlign w:val="subscript"/>
              </w:rPr>
              <w:t>1</w:t>
            </w:r>
          </w:p>
        </w:tc>
        <w:tc>
          <w:tcPr>
            <w:tcW w:w="1656" w:type="dxa"/>
            <w:vAlign w:val="center"/>
          </w:tcPr>
          <w:p>
            <w:pPr>
              <w:spacing w:line="360" w:lineRule="exact"/>
              <w:jc w:val="center"/>
              <w:rPr>
                <w:szCs w:val="21"/>
              </w:rPr>
            </w:pPr>
            <w:r>
              <w:rPr>
                <w:szCs w:val="21"/>
              </w:rPr>
              <w:t>猪叫</w:t>
            </w:r>
          </w:p>
        </w:tc>
        <w:tc>
          <w:tcPr>
            <w:tcW w:w="1468" w:type="dxa"/>
            <w:vAlign w:val="center"/>
          </w:tcPr>
          <w:p>
            <w:pPr>
              <w:spacing w:line="360" w:lineRule="exact"/>
              <w:jc w:val="center"/>
              <w:rPr>
                <w:szCs w:val="21"/>
              </w:rPr>
            </w:pPr>
            <w:r>
              <w:rPr>
                <w:szCs w:val="21"/>
              </w:rPr>
              <w:t>/</w:t>
            </w:r>
          </w:p>
        </w:tc>
        <w:tc>
          <w:tcPr>
            <w:tcW w:w="3420" w:type="dxa"/>
            <w:vMerge w:val="restart"/>
            <w:vAlign w:val="center"/>
          </w:tcPr>
          <w:p>
            <w:pPr>
              <w:spacing w:line="360" w:lineRule="exact"/>
              <w:jc w:val="center"/>
              <w:rPr>
                <w:szCs w:val="21"/>
              </w:rPr>
            </w:pPr>
            <w:r>
              <w:rPr>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Z</w:t>
            </w:r>
            <w:r>
              <w:rPr>
                <w:szCs w:val="21"/>
                <w:vertAlign w:val="subscript"/>
              </w:rPr>
              <w:t>2</w:t>
            </w:r>
          </w:p>
        </w:tc>
        <w:tc>
          <w:tcPr>
            <w:tcW w:w="1656" w:type="dxa"/>
            <w:vAlign w:val="center"/>
          </w:tcPr>
          <w:p>
            <w:pPr>
              <w:spacing w:line="360" w:lineRule="exact"/>
              <w:jc w:val="center"/>
              <w:rPr>
                <w:szCs w:val="21"/>
              </w:rPr>
            </w:pPr>
            <w:r>
              <w:rPr>
                <w:szCs w:val="21"/>
              </w:rPr>
              <w:t>机械噪声</w:t>
            </w:r>
          </w:p>
        </w:tc>
        <w:tc>
          <w:tcPr>
            <w:tcW w:w="1468" w:type="dxa"/>
            <w:vAlign w:val="center"/>
          </w:tcPr>
          <w:p>
            <w:pPr>
              <w:spacing w:line="360" w:lineRule="exact"/>
              <w:jc w:val="center"/>
              <w:rPr>
                <w:szCs w:val="21"/>
              </w:rPr>
            </w:pPr>
            <w:r>
              <w:rPr>
                <w:szCs w:val="21"/>
              </w:rPr>
              <w:t>/</w:t>
            </w:r>
          </w:p>
        </w:tc>
        <w:tc>
          <w:tcPr>
            <w:tcW w:w="3420" w:type="dxa"/>
            <w:vMerge w:val="continue"/>
            <w:vAlign w:val="center"/>
          </w:tcPr>
          <w:p>
            <w:pPr>
              <w:spacing w:line="36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S</w:t>
            </w:r>
            <w:r>
              <w:rPr>
                <w:szCs w:val="21"/>
                <w:vertAlign w:val="subscript"/>
              </w:rPr>
              <w:t>1</w:t>
            </w:r>
          </w:p>
        </w:tc>
        <w:tc>
          <w:tcPr>
            <w:tcW w:w="1656" w:type="dxa"/>
            <w:vAlign w:val="center"/>
          </w:tcPr>
          <w:p>
            <w:pPr>
              <w:spacing w:line="360" w:lineRule="exact"/>
              <w:jc w:val="center"/>
              <w:rPr>
                <w:szCs w:val="21"/>
              </w:rPr>
            </w:pPr>
            <w:r>
              <w:rPr>
                <w:szCs w:val="21"/>
              </w:rPr>
              <w:t>猪粪</w:t>
            </w:r>
          </w:p>
        </w:tc>
        <w:tc>
          <w:tcPr>
            <w:tcW w:w="1468" w:type="dxa"/>
            <w:vAlign w:val="center"/>
          </w:tcPr>
          <w:p>
            <w:pPr>
              <w:spacing w:line="360" w:lineRule="exact"/>
              <w:jc w:val="center"/>
              <w:rPr>
                <w:szCs w:val="21"/>
              </w:rPr>
            </w:pPr>
            <w:r>
              <w:rPr>
                <w:szCs w:val="21"/>
              </w:rPr>
              <w:t>/</w:t>
            </w:r>
          </w:p>
        </w:tc>
        <w:tc>
          <w:tcPr>
            <w:tcW w:w="3420" w:type="dxa"/>
            <w:vAlign w:val="center"/>
          </w:tcPr>
          <w:p>
            <w:pPr>
              <w:spacing w:line="360" w:lineRule="exact"/>
              <w:jc w:val="center"/>
              <w:rPr>
                <w:szCs w:val="21"/>
              </w:rPr>
            </w:pPr>
            <w:r>
              <w:rPr>
                <w:szCs w:val="21"/>
              </w:rPr>
              <w:t>生产有机肥基肥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S</w:t>
            </w:r>
            <w:r>
              <w:rPr>
                <w:szCs w:val="21"/>
                <w:vertAlign w:val="subscript"/>
              </w:rPr>
              <w:t>2</w:t>
            </w:r>
          </w:p>
        </w:tc>
        <w:tc>
          <w:tcPr>
            <w:tcW w:w="1656" w:type="dxa"/>
            <w:vAlign w:val="center"/>
          </w:tcPr>
          <w:p>
            <w:pPr>
              <w:spacing w:line="360" w:lineRule="exact"/>
              <w:jc w:val="center"/>
              <w:rPr>
                <w:szCs w:val="21"/>
              </w:rPr>
            </w:pPr>
            <w:r>
              <w:rPr>
                <w:szCs w:val="21"/>
              </w:rPr>
              <w:t>病死猪尸体</w:t>
            </w:r>
          </w:p>
        </w:tc>
        <w:tc>
          <w:tcPr>
            <w:tcW w:w="1468" w:type="dxa"/>
            <w:vAlign w:val="center"/>
          </w:tcPr>
          <w:p>
            <w:pPr>
              <w:spacing w:line="360" w:lineRule="exact"/>
              <w:jc w:val="center"/>
              <w:rPr>
                <w:szCs w:val="21"/>
              </w:rPr>
            </w:pPr>
            <w:r>
              <w:rPr>
                <w:szCs w:val="21"/>
              </w:rPr>
              <w:t>/</w:t>
            </w:r>
          </w:p>
        </w:tc>
        <w:tc>
          <w:tcPr>
            <w:tcW w:w="3420" w:type="dxa"/>
            <w:vAlign w:val="center"/>
          </w:tcPr>
          <w:p>
            <w:pPr>
              <w:spacing w:line="360" w:lineRule="exact"/>
              <w:jc w:val="center"/>
              <w:rPr>
                <w:szCs w:val="21"/>
              </w:rPr>
            </w:pPr>
            <w:r>
              <w:rPr>
                <w:bCs/>
                <w:color w:val="000000"/>
                <w:szCs w:val="21"/>
              </w:rPr>
              <w:t>由厂区</w:t>
            </w:r>
            <w:r>
              <w:rPr>
                <w:szCs w:val="21"/>
              </w:rPr>
              <w:t>无害化处理车间处置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S</w:t>
            </w:r>
            <w:r>
              <w:rPr>
                <w:szCs w:val="21"/>
                <w:vertAlign w:val="subscript"/>
              </w:rPr>
              <w:t>3</w:t>
            </w:r>
          </w:p>
        </w:tc>
        <w:tc>
          <w:tcPr>
            <w:tcW w:w="1656" w:type="dxa"/>
            <w:vAlign w:val="center"/>
          </w:tcPr>
          <w:p>
            <w:pPr>
              <w:spacing w:line="360" w:lineRule="exact"/>
              <w:jc w:val="center"/>
              <w:rPr>
                <w:szCs w:val="21"/>
              </w:rPr>
            </w:pPr>
            <w:r>
              <w:rPr>
                <w:szCs w:val="21"/>
              </w:rPr>
              <w:t>医疗废物</w:t>
            </w:r>
          </w:p>
        </w:tc>
        <w:tc>
          <w:tcPr>
            <w:tcW w:w="1468" w:type="dxa"/>
            <w:vAlign w:val="center"/>
          </w:tcPr>
          <w:p>
            <w:pPr>
              <w:spacing w:line="360" w:lineRule="exact"/>
              <w:jc w:val="center"/>
              <w:rPr>
                <w:szCs w:val="21"/>
              </w:rPr>
            </w:pPr>
            <w:r>
              <w:rPr>
                <w:szCs w:val="21"/>
              </w:rPr>
              <w:t>/</w:t>
            </w:r>
          </w:p>
        </w:tc>
        <w:tc>
          <w:tcPr>
            <w:tcW w:w="3420" w:type="dxa"/>
            <w:vAlign w:val="center"/>
          </w:tcPr>
          <w:p>
            <w:pPr>
              <w:spacing w:line="360" w:lineRule="exact"/>
              <w:jc w:val="center"/>
              <w:rPr>
                <w:szCs w:val="21"/>
              </w:rPr>
            </w:pPr>
            <w:r>
              <w:rPr>
                <w:bCs/>
                <w:color w:val="000000"/>
                <w:szCs w:val="21"/>
              </w:rPr>
              <w:t>交由新蔡县中绿环保有限公司处置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30" w:type="dxa"/>
            <w:vMerge w:val="restart"/>
            <w:vAlign w:val="center"/>
          </w:tcPr>
          <w:p>
            <w:pPr>
              <w:spacing w:line="360" w:lineRule="exact"/>
              <w:jc w:val="center"/>
              <w:rPr>
                <w:szCs w:val="21"/>
              </w:rPr>
            </w:pPr>
            <w:r>
              <w:rPr>
                <w:szCs w:val="21"/>
              </w:rPr>
              <w:t>粪污处理区</w:t>
            </w:r>
          </w:p>
        </w:tc>
        <w:tc>
          <w:tcPr>
            <w:tcW w:w="1079" w:type="dxa"/>
            <w:vMerge w:val="restart"/>
            <w:vAlign w:val="center"/>
          </w:tcPr>
          <w:p>
            <w:pPr>
              <w:spacing w:line="360" w:lineRule="exact"/>
              <w:jc w:val="center"/>
              <w:rPr>
                <w:szCs w:val="21"/>
              </w:rPr>
            </w:pPr>
            <w:r>
              <w:rPr>
                <w:szCs w:val="21"/>
              </w:rPr>
              <w:t>沼气工程</w:t>
            </w:r>
          </w:p>
        </w:tc>
        <w:tc>
          <w:tcPr>
            <w:tcW w:w="735" w:type="dxa"/>
            <w:vAlign w:val="center"/>
          </w:tcPr>
          <w:p>
            <w:pPr>
              <w:spacing w:line="360" w:lineRule="exact"/>
              <w:jc w:val="center"/>
              <w:rPr>
                <w:szCs w:val="21"/>
              </w:rPr>
            </w:pPr>
            <w:r>
              <w:rPr>
                <w:szCs w:val="21"/>
              </w:rPr>
              <w:t>G</w:t>
            </w:r>
            <w:r>
              <w:rPr>
                <w:szCs w:val="21"/>
                <w:vertAlign w:val="subscript"/>
              </w:rPr>
              <w:t>2</w:t>
            </w:r>
          </w:p>
        </w:tc>
        <w:tc>
          <w:tcPr>
            <w:tcW w:w="1656" w:type="dxa"/>
            <w:vAlign w:val="center"/>
          </w:tcPr>
          <w:p>
            <w:pPr>
              <w:spacing w:line="360" w:lineRule="exact"/>
              <w:jc w:val="center"/>
              <w:rPr>
                <w:szCs w:val="21"/>
              </w:rPr>
            </w:pPr>
            <w:r>
              <w:rPr>
                <w:szCs w:val="21"/>
              </w:rPr>
              <w:t>恶臭</w:t>
            </w:r>
          </w:p>
        </w:tc>
        <w:tc>
          <w:tcPr>
            <w:tcW w:w="1468" w:type="dxa"/>
            <w:vAlign w:val="center"/>
          </w:tcPr>
          <w:p>
            <w:pPr>
              <w:spacing w:line="360" w:lineRule="exact"/>
              <w:jc w:val="center"/>
              <w:rPr>
                <w:szCs w:val="21"/>
              </w:rPr>
            </w:pPr>
            <w:r>
              <w:rPr>
                <w:szCs w:val="21"/>
              </w:rPr>
              <w:t>H</w:t>
            </w:r>
            <w:r>
              <w:rPr>
                <w:szCs w:val="21"/>
                <w:vertAlign w:val="subscript"/>
              </w:rPr>
              <w:t>2</w:t>
            </w:r>
            <w:r>
              <w:rPr>
                <w:szCs w:val="21"/>
              </w:rPr>
              <w:t>S、NH</w:t>
            </w:r>
            <w:r>
              <w:rPr>
                <w:szCs w:val="21"/>
                <w:vertAlign w:val="subscript"/>
              </w:rPr>
              <w:t>3</w:t>
            </w:r>
          </w:p>
        </w:tc>
        <w:tc>
          <w:tcPr>
            <w:tcW w:w="3420" w:type="dxa"/>
            <w:vAlign w:val="center"/>
          </w:tcPr>
          <w:p>
            <w:pPr>
              <w:spacing w:line="360" w:lineRule="exact"/>
              <w:jc w:val="center"/>
              <w:rPr>
                <w:szCs w:val="21"/>
              </w:rPr>
            </w:pPr>
            <w:r>
              <w:rPr>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630" w:type="dxa"/>
            <w:vMerge w:val="continue"/>
            <w:vAlign w:val="center"/>
          </w:tcPr>
          <w:p>
            <w:pPr>
              <w:spacing w:line="360" w:lineRule="exact"/>
              <w:jc w:val="center"/>
              <w:rPr>
                <w:szCs w:val="21"/>
              </w:rPr>
            </w:pPr>
          </w:p>
        </w:tc>
        <w:tc>
          <w:tcPr>
            <w:tcW w:w="1079" w:type="dxa"/>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Z</w:t>
            </w:r>
            <w:r>
              <w:rPr>
                <w:szCs w:val="21"/>
                <w:vertAlign w:val="subscript"/>
              </w:rPr>
              <w:t>3</w:t>
            </w:r>
          </w:p>
        </w:tc>
        <w:tc>
          <w:tcPr>
            <w:tcW w:w="1656" w:type="dxa"/>
            <w:vAlign w:val="center"/>
          </w:tcPr>
          <w:p>
            <w:pPr>
              <w:spacing w:line="360" w:lineRule="exact"/>
              <w:jc w:val="center"/>
              <w:rPr>
                <w:szCs w:val="21"/>
              </w:rPr>
            </w:pPr>
            <w:r>
              <w:rPr>
                <w:szCs w:val="21"/>
              </w:rPr>
              <w:t>机械噪声</w:t>
            </w:r>
          </w:p>
        </w:tc>
        <w:tc>
          <w:tcPr>
            <w:tcW w:w="1468" w:type="dxa"/>
            <w:vAlign w:val="center"/>
          </w:tcPr>
          <w:p>
            <w:pPr>
              <w:spacing w:line="360" w:lineRule="exact"/>
              <w:jc w:val="center"/>
              <w:rPr>
                <w:szCs w:val="21"/>
              </w:rPr>
            </w:pPr>
            <w:r>
              <w:rPr>
                <w:szCs w:val="21"/>
              </w:rPr>
              <w:t>/</w:t>
            </w:r>
          </w:p>
        </w:tc>
        <w:tc>
          <w:tcPr>
            <w:tcW w:w="3420" w:type="dxa"/>
            <w:vAlign w:val="center"/>
          </w:tcPr>
          <w:p>
            <w:pPr>
              <w:spacing w:line="360" w:lineRule="exact"/>
              <w:jc w:val="center"/>
              <w:rPr>
                <w:szCs w:val="21"/>
              </w:rPr>
            </w:pPr>
            <w:r>
              <w:rPr>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30" w:type="dxa"/>
            <w:vMerge w:val="continue"/>
            <w:vAlign w:val="center"/>
          </w:tcPr>
          <w:p>
            <w:pPr>
              <w:spacing w:line="360" w:lineRule="exact"/>
              <w:jc w:val="center"/>
              <w:rPr>
                <w:szCs w:val="21"/>
              </w:rPr>
            </w:pPr>
          </w:p>
        </w:tc>
        <w:tc>
          <w:tcPr>
            <w:tcW w:w="1079" w:type="dxa"/>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S</w:t>
            </w:r>
            <w:r>
              <w:rPr>
                <w:szCs w:val="21"/>
                <w:vertAlign w:val="subscript"/>
              </w:rPr>
              <w:t>4</w:t>
            </w:r>
          </w:p>
        </w:tc>
        <w:tc>
          <w:tcPr>
            <w:tcW w:w="1656" w:type="dxa"/>
            <w:vAlign w:val="center"/>
          </w:tcPr>
          <w:p>
            <w:pPr>
              <w:spacing w:line="360" w:lineRule="exact"/>
              <w:jc w:val="center"/>
              <w:rPr>
                <w:szCs w:val="21"/>
              </w:rPr>
            </w:pPr>
            <w:r>
              <w:rPr>
                <w:szCs w:val="21"/>
              </w:rPr>
              <w:t>沼渣</w:t>
            </w:r>
          </w:p>
        </w:tc>
        <w:tc>
          <w:tcPr>
            <w:tcW w:w="1468" w:type="dxa"/>
            <w:vAlign w:val="center"/>
          </w:tcPr>
          <w:p>
            <w:pPr>
              <w:spacing w:line="360" w:lineRule="exact"/>
              <w:jc w:val="center"/>
              <w:rPr>
                <w:szCs w:val="21"/>
              </w:rPr>
            </w:pPr>
            <w:r>
              <w:rPr>
                <w:szCs w:val="21"/>
              </w:rPr>
              <w:t>/</w:t>
            </w:r>
          </w:p>
        </w:tc>
        <w:tc>
          <w:tcPr>
            <w:tcW w:w="3420" w:type="dxa"/>
            <w:vAlign w:val="center"/>
          </w:tcPr>
          <w:p>
            <w:pPr>
              <w:spacing w:line="360" w:lineRule="exact"/>
              <w:jc w:val="center"/>
              <w:rPr>
                <w:szCs w:val="21"/>
              </w:rPr>
            </w:pPr>
            <w:r>
              <w:rPr>
                <w:szCs w:val="21"/>
              </w:rPr>
              <w:t>堆肥区暂存后外售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0" w:type="dxa"/>
            <w:vMerge w:val="continue"/>
            <w:vAlign w:val="center"/>
          </w:tcPr>
          <w:p>
            <w:pPr>
              <w:spacing w:line="360" w:lineRule="exact"/>
              <w:jc w:val="center"/>
              <w:rPr>
                <w:szCs w:val="21"/>
              </w:rPr>
            </w:pPr>
          </w:p>
        </w:tc>
        <w:tc>
          <w:tcPr>
            <w:tcW w:w="1079" w:type="dxa"/>
            <w:vMerge w:val="restart"/>
            <w:vAlign w:val="center"/>
          </w:tcPr>
          <w:p>
            <w:pPr>
              <w:spacing w:line="360" w:lineRule="exact"/>
              <w:jc w:val="center"/>
              <w:rPr>
                <w:szCs w:val="21"/>
              </w:rPr>
            </w:pPr>
            <w:r>
              <w:rPr>
                <w:szCs w:val="21"/>
              </w:rPr>
              <w:t>堆肥区</w:t>
            </w:r>
          </w:p>
        </w:tc>
        <w:tc>
          <w:tcPr>
            <w:tcW w:w="735" w:type="dxa"/>
            <w:vAlign w:val="center"/>
          </w:tcPr>
          <w:p>
            <w:pPr>
              <w:spacing w:line="360" w:lineRule="exact"/>
              <w:jc w:val="center"/>
              <w:rPr>
                <w:szCs w:val="21"/>
              </w:rPr>
            </w:pPr>
            <w:r>
              <w:rPr>
                <w:szCs w:val="21"/>
              </w:rPr>
              <w:t>G</w:t>
            </w:r>
            <w:r>
              <w:rPr>
                <w:szCs w:val="21"/>
                <w:vertAlign w:val="subscript"/>
              </w:rPr>
              <w:t>2</w:t>
            </w:r>
          </w:p>
        </w:tc>
        <w:tc>
          <w:tcPr>
            <w:tcW w:w="1656" w:type="dxa"/>
            <w:vAlign w:val="center"/>
          </w:tcPr>
          <w:p>
            <w:pPr>
              <w:spacing w:line="360" w:lineRule="exact"/>
              <w:jc w:val="center"/>
              <w:rPr>
                <w:szCs w:val="21"/>
              </w:rPr>
            </w:pPr>
            <w:r>
              <w:rPr>
                <w:szCs w:val="21"/>
              </w:rPr>
              <w:t>恶臭</w:t>
            </w:r>
          </w:p>
        </w:tc>
        <w:tc>
          <w:tcPr>
            <w:tcW w:w="1468" w:type="dxa"/>
            <w:vAlign w:val="center"/>
          </w:tcPr>
          <w:p>
            <w:pPr>
              <w:spacing w:line="360" w:lineRule="exact"/>
              <w:jc w:val="center"/>
              <w:rPr>
                <w:szCs w:val="21"/>
              </w:rPr>
            </w:pPr>
            <w:r>
              <w:rPr>
                <w:szCs w:val="21"/>
              </w:rPr>
              <w:t>H2S、NH3</w:t>
            </w:r>
          </w:p>
        </w:tc>
        <w:tc>
          <w:tcPr>
            <w:tcW w:w="3420" w:type="dxa"/>
            <w:vAlign w:val="center"/>
          </w:tcPr>
          <w:p>
            <w:pPr>
              <w:spacing w:line="360" w:lineRule="exact"/>
              <w:jc w:val="center"/>
              <w:rPr>
                <w:szCs w:val="21"/>
              </w:rPr>
            </w:pPr>
            <w:r>
              <w:rPr>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30" w:type="dxa"/>
            <w:vMerge w:val="continue"/>
            <w:vAlign w:val="center"/>
          </w:tcPr>
          <w:p>
            <w:pPr>
              <w:spacing w:line="360" w:lineRule="exact"/>
              <w:jc w:val="center"/>
              <w:rPr>
                <w:szCs w:val="21"/>
              </w:rPr>
            </w:pPr>
          </w:p>
        </w:tc>
        <w:tc>
          <w:tcPr>
            <w:tcW w:w="1079" w:type="dxa"/>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Z</w:t>
            </w:r>
            <w:r>
              <w:rPr>
                <w:szCs w:val="21"/>
                <w:vertAlign w:val="subscript"/>
              </w:rPr>
              <w:t>4</w:t>
            </w:r>
          </w:p>
        </w:tc>
        <w:tc>
          <w:tcPr>
            <w:tcW w:w="1656" w:type="dxa"/>
            <w:vAlign w:val="center"/>
          </w:tcPr>
          <w:p>
            <w:pPr>
              <w:spacing w:line="360" w:lineRule="exact"/>
              <w:jc w:val="center"/>
              <w:rPr>
                <w:szCs w:val="21"/>
              </w:rPr>
            </w:pPr>
            <w:r>
              <w:rPr>
                <w:szCs w:val="21"/>
              </w:rPr>
              <w:t>机械噪声</w:t>
            </w:r>
          </w:p>
        </w:tc>
        <w:tc>
          <w:tcPr>
            <w:tcW w:w="1468" w:type="dxa"/>
            <w:vAlign w:val="center"/>
          </w:tcPr>
          <w:p>
            <w:pPr>
              <w:spacing w:line="360" w:lineRule="exact"/>
              <w:jc w:val="center"/>
              <w:rPr>
                <w:szCs w:val="21"/>
              </w:rPr>
            </w:pPr>
            <w:r>
              <w:rPr>
                <w:szCs w:val="21"/>
              </w:rPr>
              <w:t>/</w:t>
            </w:r>
          </w:p>
        </w:tc>
        <w:tc>
          <w:tcPr>
            <w:tcW w:w="3420" w:type="dxa"/>
            <w:vAlign w:val="center"/>
          </w:tcPr>
          <w:p>
            <w:pPr>
              <w:spacing w:line="360" w:lineRule="exact"/>
              <w:jc w:val="center"/>
              <w:rPr>
                <w:szCs w:val="21"/>
              </w:rPr>
            </w:pPr>
            <w:r>
              <w:rPr>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709" w:type="dxa"/>
            <w:gridSpan w:val="2"/>
            <w:vMerge w:val="restart"/>
            <w:vAlign w:val="center"/>
          </w:tcPr>
          <w:p>
            <w:pPr>
              <w:spacing w:line="360" w:lineRule="exact"/>
              <w:jc w:val="center"/>
              <w:rPr>
                <w:szCs w:val="21"/>
              </w:rPr>
            </w:pPr>
            <w:r>
              <w:rPr>
                <w:szCs w:val="21"/>
              </w:rPr>
              <w:t>职工生活</w:t>
            </w:r>
          </w:p>
        </w:tc>
        <w:tc>
          <w:tcPr>
            <w:tcW w:w="735" w:type="dxa"/>
            <w:vAlign w:val="center"/>
          </w:tcPr>
          <w:p>
            <w:pPr>
              <w:spacing w:line="360" w:lineRule="exact"/>
              <w:jc w:val="center"/>
              <w:rPr>
                <w:szCs w:val="21"/>
              </w:rPr>
            </w:pPr>
            <w:r>
              <w:rPr>
                <w:szCs w:val="21"/>
              </w:rPr>
              <w:t>G</w:t>
            </w:r>
            <w:r>
              <w:rPr>
                <w:szCs w:val="21"/>
                <w:vertAlign w:val="subscript"/>
              </w:rPr>
              <w:t>4</w:t>
            </w:r>
          </w:p>
        </w:tc>
        <w:tc>
          <w:tcPr>
            <w:tcW w:w="1656" w:type="dxa"/>
            <w:vAlign w:val="center"/>
          </w:tcPr>
          <w:p>
            <w:pPr>
              <w:spacing w:line="360" w:lineRule="exact"/>
              <w:jc w:val="center"/>
              <w:rPr>
                <w:szCs w:val="21"/>
              </w:rPr>
            </w:pPr>
            <w:r>
              <w:rPr>
                <w:szCs w:val="21"/>
              </w:rPr>
              <w:t>伙房</w:t>
            </w:r>
          </w:p>
        </w:tc>
        <w:tc>
          <w:tcPr>
            <w:tcW w:w="1468" w:type="dxa"/>
            <w:vAlign w:val="center"/>
          </w:tcPr>
          <w:p>
            <w:pPr>
              <w:spacing w:line="360" w:lineRule="exact"/>
              <w:jc w:val="center"/>
              <w:rPr>
                <w:szCs w:val="21"/>
              </w:rPr>
            </w:pPr>
            <w:r>
              <w:rPr>
                <w:szCs w:val="21"/>
              </w:rPr>
              <w:t>油烟</w:t>
            </w:r>
          </w:p>
        </w:tc>
        <w:tc>
          <w:tcPr>
            <w:tcW w:w="3420" w:type="dxa"/>
            <w:vAlign w:val="center"/>
          </w:tcPr>
          <w:p>
            <w:pPr>
              <w:spacing w:line="360" w:lineRule="exact"/>
              <w:jc w:val="center"/>
              <w:rPr>
                <w:szCs w:val="21"/>
              </w:rPr>
            </w:pPr>
            <w:r>
              <w:rPr>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G</w:t>
            </w:r>
            <w:r>
              <w:rPr>
                <w:szCs w:val="21"/>
                <w:vertAlign w:val="subscript"/>
              </w:rPr>
              <w:t>3</w:t>
            </w:r>
          </w:p>
        </w:tc>
        <w:tc>
          <w:tcPr>
            <w:tcW w:w="1656" w:type="dxa"/>
            <w:vAlign w:val="center"/>
          </w:tcPr>
          <w:p>
            <w:pPr>
              <w:spacing w:line="360" w:lineRule="exact"/>
              <w:jc w:val="center"/>
              <w:rPr>
                <w:szCs w:val="21"/>
              </w:rPr>
            </w:pPr>
            <w:r>
              <w:rPr>
                <w:szCs w:val="21"/>
              </w:rPr>
              <w:t>沼气锅炉</w:t>
            </w:r>
          </w:p>
        </w:tc>
        <w:tc>
          <w:tcPr>
            <w:tcW w:w="1468" w:type="dxa"/>
            <w:vAlign w:val="center"/>
          </w:tcPr>
          <w:p>
            <w:pPr>
              <w:spacing w:line="360" w:lineRule="exact"/>
              <w:jc w:val="center"/>
              <w:rPr>
                <w:szCs w:val="21"/>
              </w:rPr>
            </w:pPr>
            <w:r>
              <w:rPr>
                <w:szCs w:val="21"/>
              </w:rPr>
              <w:t>SO</w:t>
            </w:r>
            <w:r>
              <w:rPr>
                <w:szCs w:val="21"/>
                <w:vertAlign w:val="subscript"/>
              </w:rPr>
              <w:t>2</w:t>
            </w:r>
            <w:r>
              <w:rPr>
                <w:szCs w:val="21"/>
              </w:rPr>
              <w:t>、NOx</w:t>
            </w:r>
          </w:p>
        </w:tc>
        <w:tc>
          <w:tcPr>
            <w:tcW w:w="3420" w:type="dxa"/>
            <w:vAlign w:val="center"/>
          </w:tcPr>
          <w:p>
            <w:pPr>
              <w:spacing w:line="360" w:lineRule="exact"/>
              <w:jc w:val="center"/>
              <w:rPr>
                <w:szCs w:val="21"/>
              </w:rPr>
            </w:pPr>
            <w:r>
              <w:rPr>
                <w:szCs w:val="21"/>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W</w:t>
            </w:r>
            <w:r>
              <w:rPr>
                <w:szCs w:val="21"/>
                <w:vertAlign w:val="subscript"/>
              </w:rPr>
              <w:t>3</w:t>
            </w:r>
          </w:p>
        </w:tc>
        <w:tc>
          <w:tcPr>
            <w:tcW w:w="1656" w:type="dxa"/>
            <w:vAlign w:val="center"/>
          </w:tcPr>
          <w:p>
            <w:pPr>
              <w:spacing w:line="360" w:lineRule="exact"/>
              <w:jc w:val="center"/>
              <w:rPr>
                <w:szCs w:val="21"/>
              </w:rPr>
            </w:pPr>
            <w:r>
              <w:rPr>
                <w:szCs w:val="21"/>
              </w:rPr>
              <w:t>生活污水</w:t>
            </w:r>
          </w:p>
        </w:tc>
        <w:tc>
          <w:tcPr>
            <w:tcW w:w="1468" w:type="dxa"/>
            <w:vAlign w:val="center"/>
          </w:tcPr>
          <w:p>
            <w:pPr>
              <w:spacing w:line="360" w:lineRule="exact"/>
              <w:jc w:val="center"/>
              <w:rPr>
                <w:szCs w:val="21"/>
              </w:rPr>
            </w:pPr>
            <w:r>
              <w:rPr>
                <w:szCs w:val="21"/>
              </w:rPr>
              <w:t>COD、BOD</w:t>
            </w:r>
            <w:r>
              <w:rPr>
                <w:szCs w:val="21"/>
                <w:vertAlign w:val="subscript"/>
              </w:rPr>
              <w:t>5</w:t>
            </w:r>
            <w:r>
              <w:rPr>
                <w:szCs w:val="21"/>
              </w:rPr>
              <w:t>、NH</w:t>
            </w:r>
            <w:r>
              <w:rPr>
                <w:szCs w:val="21"/>
                <w:vertAlign w:val="subscript"/>
              </w:rPr>
              <w:t>3</w:t>
            </w:r>
            <w:r>
              <w:rPr>
                <w:szCs w:val="21"/>
              </w:rPr>
              <w:t>-N</w:t>
            </w:r>
          </w:p>
        </w:tc>
        <w:tc>
          <w:tcPr>
            <w:tcW w:w="3420" w:type="dxa"/>
            <w:vAlign w:val="center"/>
          </w:tcPr>
          <w:p>
            <w:pPr>
              <w:spacing w:line="360" w:lineRule="exact"/>
              <w:jc w:val="center"/>
              <w:rPr>
                <w:szCs w:val="21"/>
              </w:rPr>
            </w:pPr>
            <w:r>
              <w:rPr>
                <w:szCs w:val="21"/>
              </w:rPr>
              <w:t>经处理后作农肥还田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709" w:type="dxa"/>
            <w:gridSpan w:val="2"/>
            <w:vMerge w:val="continue"/>
            <w:vAlign w:val="center"/>
          </w:tcPr>
          <w:p>
            <w:pPr>
              <w:spacing w:line="360" w:lineRule="exact"/>
              <w:jc w:val="center"/>
              <w:rPr>
                <w:szCs w:val="21"/>
              </w:rPr>
            </w:pPr>
          </w:p>
        </w:tc>
        <w:tc>
          <w:tcPr>
            <w:tcW w:w="735" w:type="dxa"/>
            <w:vAlign w:val="center"/>
          </w:tcPr>
          <w:p>
            <w:pPr>
              <w:spacing w:line="360" w:lineRule="exact"/>
              <w:jc w:val="center"/>
              <w:rPr>
                <w:szCs w:val="21"/>
              </w:rPr>
            </w:pPr>
            <w:r>
              <w:rPr>
                <w:szCs w:val="21"/>
              </w:rPr>
              <w:t>S</w:t>
            </w:r>
            <w:r>
              <w:rPr>
                <w:szCs w:val="21"/>
                <w:vertAlign w:val="subscript"/>
              </w:rPr>
              <w:t>5</w:t>
            </w:r>
          </w:p>
        </w:tc>
        <w:tc>
          <w:tcPr>
            <w:tcW w:w="1656" w:type="dxa"/>
            <w:vAlign w:val="center"/>
          </w:tcPr>
          <w:p>
            <w:pPr>
              <w:spacing w:line="360" w:lineRule="exact"/>
              <w:jc w:val="center"/>
              <w:rPr>
                <w:szCs w:val="21"/>
              </w:rPr>
            </w:pPr>
            <w:r>
              <w:rPr>
                <w:szCs w:val="21"/>
              </w:rPr>
              <w:t>生活垃圾</w:t>
            </w:r>
          </w:p>
        </w:tc>
        <w:tc>
          <w:tcPr>
            <w:tcW w:w="1468" w:type="dxa"/>
            <w:vAlign w:val="center"/>
          </w:tcPr>
          <w:p>
            <w:pPr>
              <w:spacing w:line="360" w:lineRule="exact"/>
              <w:jc w:val="center"/>
              <w:rPr>
                <w:szCs w:val="21"/>
              </w:rPr>
            </w:pPr>
            <w:r>
              <w:rPr>
                <w:szCs w:val="21"/>
              </w:rPr>
              <w:t>/</w:t>
            </w:r>
          </w:p>
        </w:tc>
        <w:tc>
          <w:tcPr>
            <w:tcW w:w="3420" w:type="dxa"/>
            <w:vAlign w:val="center"/>
          </w:tcPr>
          <w:p>
            <w:pPr>
              <w:spacing w:line="360" w:lineRule="exact"/>
              <w:jc w:val="center"/>
              <w:rPr>
                <w:szCs w:val="21"/>
              </w:rPr>
            </w:pPr>
            <w:r>
              <w:rPr>
                <w:szCs w:val="21"/>
              </w:rPr>
              <w:t>送环卫部门处理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709" w:type="dxa"/>
            <w:gridSpan w:val="2"/>
            <w:vAlign w:val="center"/>
          </w:tcPr>
          <w:p>
            <w:pPr>
              <w:spacing w:line="360" w:lineRule="exact"/>
              <w:jc w:val="center"/>
              <w:rPr>
                <w:szCs w:val="21"/>
              </w:rPr>
            </w:pPr>
            <w:r>
              <w:rPr>
                <w:szCs w:val="21"/>
              </w:rPr>
              <w:t>沼气脱硫装置</w:t>
            </w:r>
          </w:p>
        </w:tc>
        <w:tc>
          <w:tcPr>
            <w:tcW w:w="735" w:type="dxa"/>
            <w:vAlign w:val="center"/>
          </w:tcPr>
          <w:p>
            <w:pPr>
              <w:spacing w:line="360" w:lineRule="exact"/>
              <w:jc w:val="center"/>
              <w:rPr>
                <w:szCs w:val="21"/>
              </w:rPr>
            </w:pPr>
            <w:r>
              <w:rPr>
                <w:szCs w:val="21"/>
              </w:rPr>
              <w:t>S</w:t>
            </w:r>
            <w:r>
              <w:rPr>
                <w:szCs w:val="21"/>
                <w:vertAlign w:val="subscript"/>
              </w:rPr>
              <w:t>6</w:t>
            </w:r>
          </w:p>
        </w:tc>
        <w:tc>
          <w:tcPr>
            <w:tcW w:w="1656" w:type="dxa"/>
            <w:vAlign w:val="center"/>
          </w:tcPr>
          <w:p>
            <w:pPr>
              <w:spacing w:line="360" w:lineRule="exact"/>
              <w:jc w:val="center"/>
              <w:rPr>
                <w:szCs w:val="21"/>
              </w:rPr>
            </w:pPr>
            <w:r>
              <w:rPr>
                <w:szCs w:val="21"/>
              </w:rPr>
              <w:t>废脱硫剂</w:t>
            </w:r>
          </w:p>
        </w:tc>
        <w:tc>
          <w:tcPr>
            <w:tcW w:w="1468" w:type="dxa"/>
            <w:vAlign w:val="center"/>
          </w:tcPr>
          <w:p>
            <w:pPr>
              <w:spacing w:line="360" w:lineRule="exact"/>
              <w:jc w:val="center"/>
              <w:rPr>
                <w:szCs w:val="21"/>
              </w:rPr>
            </w:pPr>
            <w:r>
              <w:rPr>
                <w:szCs w:val="21"/>
              </w:rPr>
              <w:t>/</w:t>
            </w:r>
          </w:p>
        </w:tc>
        <w:tc>
          <w:tcPr>
            <w:tcW w:w="3420" w:type="dxa"/>
            <w:vAlign w:val="center"/>
          </w:tcPr>
          <w:p>
            <w:pPr>
              <w:spacing w:line="360" w:lineRule="exact"/>
              <w:jc w:val="center"/>
              <w:rPr>
                <w:szCs w:val="21"/>
              </w:rPr>
            </w:pPr>
            <w:r>
              <w:rPr>
                <w:szCs w:val="21"/>
              </w:rPr>
              <w:t>生产厂家统一回收处置</w:t>
            </w:r>
          </w:p>
        </w:tc>
      </w:tr>
    </w:tbl>
    <w:p>
      <w:pPr>
        <w:rPr>
          <w:kern w:val="0"/>
          <w:sz w:val="24"/>
        </w:rPr>
      </w:pPr>
    </w:p>
    <w:p>
      <w:pPr>
        <w:adjustRightInd w:val="0"/>
        <w:snapToGrid w:val="0"/>
        <w:spacing w:line="520" w:lineRule="exact"/>
        <w:jc w:val="left"/>
        <w:rPr>
          <w:b/>
          <w:sz w:val="24"/>
        </w:rPr>
      </w:pPr>
      <w:r>
        <w:rPr>
          <w:b/>
          <w:sz w:val="24"/>
        </w:rPr>
        <w:t>2.3.2.1大气污染源</w:t>
      </w:r>
    </w:p>
    <w:p>
      <w:pPr>
        <w:spacing w:line="520" w:lineRule="exact"/>
        <w:ind w:firstLine="482" w:firstLineChars="200"/>
        <w:rPr>
          <w:b/>
          <w:bCs/>
          <w:sz w:val="24"/>
          <w:u w:val="single"/>
        </w:rPr>
      </w:pPr>
      <w:r>
        <w:rPr>
          <w:b/>
          <w:bCs/>
          <w:sz w:val="24"/>
          <w:u w:val="single"/>
        </w:rPr>
        <w:t>本项目产生的废气主要是养殖区恶臭、污水处理工程恶臭、固粪处置区恶臭、无害化处理中心恶臭、沼气燃烧废气和生活区食堂油烟等。</w:t>
      </w:r>
    </w:p>
    <w:p>
      <w:pPr>
        <w:pStyle w:val="98"/>
        <w:spacing w:line="520" w:lineRule="exact"/>
        <w:ind w:firstLine="480"/>
        <w:rPr>
          <w:b/>
          <w:bCs/>
          <w:u w:val="single"/>
        </w:rPr>
      </w:pPr>
      <w:r>
        <w:rPr>
          <w:b/>
          <w:bCs/>
          <w:u w:val="single"/>
        </w:rPr>
        <w:t>（1）无组织排放恶臭气体</w:t>
      </w:r>
    </w:p>
    <w:p>
      <w:pPr>
        <w:pStyle w:val="98"/>
        <w:spacing w:line="520" w:lineRule="exact"/>
        <w:ind w:firstLine="480"/>
        <w:rPr>
          <w:b/>
          <w:bCs/>
          <w:u w:val="single"/>
        </w:rPr>
      </w:pPr>
      <w:r>
        <w:rPr>
          <w:rFonts w:hint="eastAsia" w:ascii="宋体" w:hAnsi="宋体" w:cs="宋体"/>
          <w:b/>
          <w:bCs/>
          <w:u w:val="single"/>
        </w:rPr>
        <w:t>①</w:t>
      </w:r>
      <w:r>
        <w:rPr>
          <w:b/>
          <w:bCs/>
          <w:u w:val="single"/>
        </w:rPr>
        <w:t>污染因素分析</w:t>
      </w:r>
    </w:p>
    <w:p>
      <w:pPr>
        <w:pStyle w:val="98"/>
        <w:spacing w:line="520" w:lineRule="exact"/>
        <w:ind w:firstLine="480"/>
        <w:rPr>
          <w:b/>
          <w:bCs/>
          <w:u w:val="single"/>
        </w:rPr>
      </w:pPr>
      <w:r>
        <w:rPr>
          <w:b/>
          <w:bCs/>
          <w:u w:val="single"/>
        </w:rPr>
        <w:t>恶臭主要来源为有机物腐败时所产生的氨气、动物有机体中蛋白质腐败时所产生的硫化氢等。</w:t>
      </w:r>
    </w:p>
    <w:p>
      <w:pPr>
        <w:pStyle w:val="98"/>
        <w:spacing w:line="520" w:lineRule="exact"/>
        <w:ind w:firstLine="480"/>
        <w:rPr>
          <w:b/>
          <w:bCs/>
          <w:u w:val="single"/>
        </w:rPr>
      </w:pPr>
      <w:r>
        <w:rPr>
          <w:b/>
          <w:bCs/>
          <w:u w:val="single"/>
        </w:rPr>
        <w:t>猪舍中刚排泄出的粪尿中有氨、硫化氢等有害气体，在高温季节尤为明显。以上有害气体及生产中产生的尘埃、微生物排入大气，刺激人、畜呼吸道，可引起呼吸道疾病；恶臭气体使人产生不愉快的感觉，影响人的工作效率，也常引起猪只生产力下降。猪场排出的各种微生物以尘埃为载体，随风传播，可引起疫病蔓延，场区孳生大量蚊蝇也易传播疫病、污染环境。影响畜禽场恶臭产生的的主要原因是清粪方式、管理水平、粪便和污水处理程度，同时也与场址选择、场地规划和布局、畜舍设计、畜舍通风等有关。</w:t>
      </w:r>
    </w:p>
    <w:p>
      <w:pPr>
        <w:pStyle w:val="98"/>
        <w:spacing w:line="520" w:lineRule="exact"/>
        <w:ind w:firstLine="559" w:firstLineChars="232"/>
        <w:rPr>
          <w:b/>
          <w:bCs/>
          <w:u w:val="single"/>
        </w:rPr>
      </w:pPr>
      <w:r>
        <w:rPr>
          <w:rFonts w:hint="eastAsia" w:ascii="宋体" w:hAnsi="宋体" w:cs="宋体"/>
          <w:b/>
          <w:bCs/>
          <w:u w:val="single"/>
        </w:rPr>
        <w:t>②</w:t>
      </w:r>
      <w:r>
        <w:rPr>
          <w:b/>
          <w:bCs/>
          <w:u w:val="single"/>
        </w:rPr>
        <w:t>污染物源强确定</w:t>
      </w:r>
    </w:p>
    <w:p>
      <w:pPr>
        <w:spacing w:line="520" w:lineRule="exact"/>
        <w:ind w:firstLine="482" w:firstLineChars="200"/>
        <w:rPr>
          <w:b/>
          <w:bCs/>
          <w:sz w:val="24"/>
          <w:u w:val="single"/>
        </w:rPr>
      </w:pPr>
      <w:r>
        <w:rPr>
          <w:b/>
          <w:bCs/>
          <w:sz w:val="24"/>
          <w:u w:val="single"/>
        </w:rPr>
        <w:t>项目区内恶臭气体主要来自养殖区恶臭、污水处理工程恶臭、固粪处置区恶臭。</w:t>
      </w:r>
    </w:p>
    <w:p>
      <w:pPr>
        <w:spacing w:line="520" w:lineRule="exact"/>
        <w:ind w:firstLine="482" w:firstLineChars="200"/>
        <w:rPr>
          <w:b/>
          <w:bCs/>
          <w:sz w:val="24"/>
          <w:u w:val="single"/>
        </w:rPr>
      </w:pPr>
      <w:r>
        <w:rPr>
          <w:b/>
          <w:bCs/>
          <w:sz w:val="24"/>
          <w:u w:val="single"/>
        </w:rPr>
        <w:t>A、猪舍恶臭</w:t>
      </w:r>
    </w:p>
    <w:p>
      <w:pPr>
        <w:spacing w:line="520" w:lineRule="exact"/>
        <w:ind w:firstLine="482" w:firstLineChars="200"/>
        <w:rPr>
          <w:b/>
          <w:bCs/>
          <w:sz w:val="24"/>
          <w:u w:val="single"/>
        </w:rPr>
      </w:pPr>
      <w:bookmarkStart w:id="150" w:name="_Toc269400717"/>
      <w:bookmarkStart w:id="151" w:name="_Toc311979930"/>
      <w:bookmarkStart w:id="152" w:name="_Toc311979862"/>
      <w:bookmarkStart w:id="153" w:name="_Toc311979817"/>
      <w:r>
        <w:rPr>
          <w:b/>
          <w:bCs/>
          <w:sz w:val="24"/>
          <w:u w:val="single"/>
        </w:rPr>
        <w:t>养殖过程恶臭气体主要产生于猪舍内，为了有效核定出臭气中NH</w:t>
      </w:r>
      <w:r>
        <w:rPr>
          <w:b/>
          <w:bCs/>
          <w:sz w:val="24"/>
          <w:u w:val="single"/>
          <w:vertAlign w:val="subscript"/>
        </w:rPr>
        <w:t>3</w:t>
      </w:r>
      <w:r>
        <w:rPr>
          <w:b/>
          <w:bCs/>
          <w:sz w:val="24"/>
          <w:u w:val="single"/>
        </w:rPr>
        <w:t>、H</w:t>
      </w:r>
      <w:r>
        <w:rPr>
          <w:b/>
          <w:bCs/>
          <w:sz w:val="24"/>
          <w:u w:val="single"/>
          <w:vertAlign w:val="subscript"/>
        </w:rPr>
        <w:t>2</w:t>
      </w:r>
      <w:r>
        <w:rPr>
          <w:b/>
          <w:bCs/>
          <w:sz w:val="24"/>
          <w:u w:val="single"/>
        </w:rPr>
        <w:t>S产生情况</w:t>
      </w:r>
      <w:r>
        <w:rPr>
          <w:b/>
          <w:bCs/>
          <w:color w:val="000000"/>
          <w:sz w:val="24"/>
          <w:u w:val="single"/>
        </w:rPr>
        <w:t>类比来源为已批复的《邓州牧原食品有限公司高李分场生猪养殖建设项目环境影响报告书》中的数据，该项目规模为年出栏12.5万头商品猪。育肥猪NH</w:t>
      </w:r>
      <w:r>
        <w:rPr>
          <w:b/>
          <w:bCs/>
          <w:color w:val="000000"/>
          <w:sz w:val="24"/>
          <w:u w:val="single"/>
          <w:vertAlign w:val="subscript"/>
        </w:rPr>
        <w:t>3</w:t>
      </w:r>
      <w:r>
        <w:rPr>
          <w:b/>
          <w:bCs/>
          <w:color w:val="000000"/>
          <w:sz w:val="24"/>
          <w:u w:val="single"/>
        </w:rPr>
        <w:t>产生源强为0.2g/头·d，H</w:t>
      </w:r>
      <w:r>
        <w:rPr>
          <w:b/>
          <w:bCs/>
          <w:color w:val="000000"/>
          <w:sz w:val="24"/>
          <w:u w:val="single"/>
          <w:vertAlign w:val="subscript"/>
        </w:rPr>
        <w:t>2</w:t>
      </w:r>
      <w:r>
        <w:rPr>
          <w:b/>
          <w:bCs/>
          <w:color w:val="000000"/>
          <w:sz w:val="24"/>
          <w:u w:val="single"/>
        </w:rPr>
        <w:t>S产生源强为0.017g/头·d（保育猪乘以0.2的系数）。以上数据是在猪舍没有采取任何措施的情况下的产生量。</w:t>
      </w:r>
    </w:p>
    <w:p>
      <w:pPr>
        <w:spacing w:line="520" w:lineRule="exact"/>
        <w:ind w:firstLine="482" w:firstLineChars="200"/>
        <w:rPr>
          <w:b/>
          <w:bCs/>
          <w:sz w:val="24"/>
          <w:u w:val="single"/>
          <w:vertAlign w:val="subscript"/>
        </w:rPr>
      </w:pPr>
      <w:r>
        <w:rPr>
          <w:b/>
          <w:bCs/>
          <w:sz w:val="24"/>
          <w:u w:val="single"/>
        </w:rPr>
        <w:t>经过</w:t>
      </w:r>
      <w:r>
        <w:rPr>
          <w:b/>
          <w:bCs/>
          <w:color w:val="000000"/>
          <w:sz w:val="24"/>
          <w:u w:val="single"/>
        </w:rPr>
        <w:t>牧原食品有限公司</w:t>
      </w:r>
      <w:r>
        <w:rPr>
          <w:b/>
          <w:bCs/>
          <w:sz w:val="24"/>
          <w:u w:val="single"/>
        </w:rPr>
        <w:t>多年研究结果表明采取以下措施可以从源头减少恶臭的产生：温度高时恶臭浓度高，猪粪在1～2周后发酵较快，粪便暴露面积大的发酵率高。猪舍采用漏缝地板，保证粪便冷却，并尽快从猪舍内清粪，在猪舍内加强通风，加速粪便干燥，可减少猪粪污染；喷洒除臭剂；通过合理搭配日粮，可以一方面抑制了腐败细菌的生长，改善有机物的分解途径，减少NH</w:t>
      </w:r>
      <w:r>
        <w:rPr>
          <w:b/>
          <w:bCs/>
          <w:sz w:val="24"/>
          <w:u w:val="single"/>
          <w:vertAlign w:val="subscript"/>
        </w:rPr>
        <w:t>3</w:t>
      </w:r>
      <w:r>
        <w:rPr>
          <w:b/>
          <w:bCs/>
          <w:sz w:val="24"/>
          <w:u w:val="single"/>
        </w:rPr>
        <w:t>和H</w:t>
      </w:r>
      <w:r>
        <w:rPr>
          <w:b/>
          <w:bCs/>
          <w:sz w:val="24"/>
          <w:u w:val="single"/>
          <w:vertAlign w:val="subscript"/>
        </w:rPr>
        <w:t>2</w:t>
      </w:r>
      <w:r>
        <w:rPr>
          <w:b/>
          <w:bCs/>
          <w:sz w:val="24"/>
          <w:u w:val="single"/>
        </w:rPr>
        <w:t>S的释放量和胺类物质的产生；另一方面它又可利用H</w:t>
      </w:r>
      <w:r>
        <w:rPr>
          <w:b/>
          <w:bCs/>
          <w:sz w:val="24"/>
          <w:u w:val="single"/>
          <w:vertAlign w:val="subscript"/>
        </w:rPr>
        <w:t>2</w:t>
      </w:r>
      <w:r>
        <w:rPr>
          <w:b/>
          <w:bCs/>
          <w:sz w:val="24"/>
          <w:u w:val="single"/>
        </w:rPr>
        <w:t>S作氢供体，消耗H</w:t>
      </w:r>
      <w:r>
        <w:rPr>
          <w:b/>
          <w:bCs/>
          <w:sz w:val="24"/>
          <w:u w:val="single"/>
          <w:vertAlign w:val="subscript"/>
        </w:rPr>
        <w:t>2</w:t>
      </w:r>
      <w:r>
        <w:rPr>
          <w:b/>
          <w:bCs/>
          <w:sz w:val="24"/>
          <w:u w:val="single"/>
        </w:rPr>
        <w:t>S，从而减轻环境中的恶臭。通过以上措施可以有效抑制和去除H</w:t>
      </w:r>
      <w:r>
        <w:rPr>
          <w:b/>
          <w:bCs/>
          <w:sz w:val="24"/>
          <w:u w:val="single"/>
          <w:vertAlign w:val="subscript"/>
        </w:rPr>
        <w:t>2</w:t>
      </w:r>
      <w:r>
        <w:rPr>
          <w:b/>
          <w:bCs/>
          <w:sz w:val="24"/>
          <w:u w:val="single"/>
        </w:rPr>
        <w:t>S和NH</w:t>
      </w:r>
      <w:r>
        <w:rPr>
          <w:b/>
          <w:bCs/>
          <w:sz w:val="24"/>
          <w:u w:val="single"/>
          <w:vertAlign w:val="subscript"/>
        </w:rPr>
        <w:t>3</w:t>
      </w:r>
      <w:r>
        <w:rPr>
          <w:b/>
          <w:bCs/>
          <w:sz w:val="24"/>
          <w:u w:val="single"/>
        </w:rPr>
        <w:t>的产生量，恶臭控制及处置措施可行。</w:t>
      </w:r>
    </w:p>
    <w:p>
      <w:pPr>
        <w:spacing w:line="520" w:lineRule="exact"/>
        <w:ind w:firstLine="482" w:firstLineChars="200"/>
        <w:rPr>
          <w:b/>
          <w:bCs/>
          <w:sz w:val="24"/>
          <w:u w:val="single"/>
        </w:rPr>
      </w:pPr>
      <w:r>
        <w:rPr>
          <w:b/>
          <w:bCs/>
          <w:sz w:val="24"/>
          <w:u w:val="single"/>
        </w:rPr>
        <w:t>根据企业提供的资料，本次项目生猪存栏量为：保育猪16667头，育肥猪33333头。根据以上参数及存栏情况计算恶臭气体产排情况，计算结果见表2.3-3。</w:t>
      </w:r>
    </w:p>
    <w:p>
      <w:pPr>
        <w:spacing w:afterLines="30" w:line="520" w:lineRule="exact"/>
        <w:jc w:val="center"/>
        <w:rPr>
          <w:b/>
          <w:bCs/>
          <w:sz w:val="24"/>
          <w:u w:val="single"/>
        </w:rPr>
      </w:pPr>
      <w:r>
        <w:rPr>
          <w:b/>
          <w:bCs/>
          <w:sz w:val="24"/>
          <w:u w:val="single"/>
        </w:rPr>
        <w:t>表2.3-3    项目养殖过程猪舍恶臭气体产生及排放情况一览表</w:t>
      </w:r>
    </w:p>
    <w:tbl>
      <w:tblPr>
        <w:tblStyle w:val="44"/>
        <w:tblW w:w="885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83"/>
        <w:gridCol w:w="1021"/>
        <w:gridCol w:w="3919"/>
        <w:gridCol w:w="961"/>
        <w:gridCol w:w="9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adjustRightInd w:val="0"/>
              <w:snapToGrid w:val="0"/>
              <w:jc w:val="center"/>
              <w:rPr>
                <w:b/>
                <w:bCs/>
                <w:szCs w:val="21"/>
                <w:u w:val="single"/>
              </w:rPr>
            </w:pPr>
            <w:r>
              <w:rPr>
                <w:b/>
                <w:bCs/>
                <w:szCs w:val="21"/>
                <w:u w:val="single"/>
              </w:rPr>
              <w:t>污染源</w:t>
            </w:r>
          </w:p>
        </w:tc>
        <w:tc>
          <w:tcPr>
            <w:tcW w:w="1904" w:type="dxa"/>
            <w:gridSpan w:val="2"/>
            <w:tcMar>
              <w:left w:w="0" w:type="dxa"/>
              <w:right w:w="0" w:type="dxa"/>
            </w:tcMar>
            <w:vAlign w:val="center"/>
          </w:tcPr>
          <w:p>
            <w:pPr>
              <w:adjustRightInd w:val="0"/>
              <w:snapToGrid w:val="0"/>
              <w:jc w:val="center"/>
              <w:rPr>
                <w:b/>
                <w:bCs/>
                <w:szCs w:val="21"/>
                <w:u w:val="single"/>
              </w:rPr>
            </w:pPr>
            <w:r>
              <w:rPr>
                <w:b/>
                <w:bCs/>
                <w:szCs w:val="21"/>
                <w:u w:val="single"/>
              </w:rPr>
              <w:t>未采取措施时污染物产生情况</w:t>
            </w:r>
          </w:p>
        </w:tc>
        <w:tc>
          <w:tcPr>
            <w:tcW w:w="3919" w:type="dxa"/>
            <w:vMerge w:val="restart"/>
            <w:tcMar>
              <w:left w:w="0" w:type="dxa"/>
              <w:right w:w="0" w:type="dxa"/>
            </w:tcMar>
            <w:vAlign w:val="center"/>
          </w:tcPr>
          <w:p>
            <w:pPr>
              <w:adjustRightInd w:val="0"/>
              <w:snapToGrid w:val="0"/>
              <w:jc w:val="center"/>
              <w:rPr>
                <w:b/>
                <w:bCs/>
                <w:szCs w:val="21"/>
                <w:u w:val="single"/>
              </w:rPr>
            </w:pPr>
            <w:r>
              <w:rPr>
                <w:b/>
                <w:bCs/>
                <w:szCs w:val="21"/>
                <w:u w:val="single"/>
              </w:rPr>
              <w:t>拟处理措施</w:t>
            </w:r>
          </w:p>
        </w:tc>
        <w:tc>
          <w:tcPr>
            <w:tcW w:w="1931" w:type="dxa"/>
            <w:gridSpan w:val="2"/>
            <w:tcMar>
              <w:left w:w="0" w:type="dxa"/>
              <w:right w:w="0" w:type="dxa"/>
            </w:tcMar>
            <w:vAlign w:val="center"/>
          </w:tcPr>
          <w:p>
            <w:pPr>
              <w:adjustRightInd w:val="0"/>
              <w:snapToGrid w:val="0"/>
              <w:jc w:val="center"/>
              <w:rPr>
                <w:b/>
                <w:bCs/>
                <w:szCs w:val="21"/>
                <w:u w:val="single"/>
              </w:rPr>
            </w:pPr>
            <w:r>
              <w:rPr>
                <w:b/>
                <w:bCs/>
                <w:szCs w:val="21"/>
                <w:u w:val="single"/>
              </w:rPr>
              <w:t>采取措施后污染物排放情况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1" w:type="dxa"/>
            <w:vMerge w:val="continue"/>
            <w:vAlign w:val="center"/>
          </w:tcPr>
          <w:p>
            <w:pPr>
              <w:adjustRightInd w:val="0"/>
              <w:snapToGrid w:val="0"/>
              <w:jc w:val="center"/>
              <w:rPr>
                <w:b/>
                <w:bCs/>
                <w:szCs w:val="21"/>
                <w:u w:val="single"/>
              </w:rPr>
            </w:pPr>
          </w:p>
        </w:tc>
        <w:tc>
          <w:tcPr>
            <w:tcW w:w="883" w:type="dxa"/>
            <w:tcMar>
              <w:left w:w="0" w:type="dxa"/>
              <w:right w:w="0" w:type="dxa"/>
            </w:tcMar>
            <w:vAlign w:val="center"/>
          </w:tcPr>
          <w:p>
            <w:pPr>
              <w:adjustRightInd w:val="0"/>
              <w:snapToGrid w:val="0"/>
              <w:jc w:val="center"/>
              <w:rPr>
                <w:b/>
                <w:bCs/>
                <w:szCs w:val="21"/>
                <w:u w:val="single"/>
              </w:rPr>
            </w:pPr>
            <w:r>
              <w:rPr>
                <w:b/>
                <w:bCs/>
                <w:szCs w:val="21"/>
                <w:u w:val="single"/>
              </w:rPr>
              <w:t>H</w:t>
            </w:r>
            <w:r>
              <w:rPr>
                <w:b/>
                <w:bCs/>
                <w:szCs w:val="21"/>
                <w:u w:val="single"/>
                <w:vertAlign w:val="subscript"/>
              </w:rPr>
              <w:t>2</w:t>
            </w:r>
            <w:r>
              <w:rPr>
                <w:b/>
                <w:bCs/>
                <w:szCs w:val="21"/>
                <w:u w:val="single"/>
              </w:rPr>
              <w:t>S</w:t>
            </w:r>
          </w:p>
          <w:p>
            <w:pPr>
              <w:adjustRightInd w:val="0"/>
              <w:snapToGrid w:val="0"/>
              <w:jc w:val="center"/>
              <w:rPr>
                <w:b/>
                <w:bCs/>
                <w:szCs w:val="21"/>
                <w:u w:val="single"/>
              </w:rPr>
            </w:pPr>
            <w:r>
              <w:rPr>
                <w:b/>
                <w:bCs/>
                <w:szCs w:val="21"/>
                <w:u w:val="single"/>
              </w:rPr>
              <w:t>（t/a）</w:t>
            </w:r>
          </w:p>
        </w:tc>
        <w:tc>
          <w:tcPr>
            <w:tcW w:w="1021" w:type="dxa"/>
            <w:tcMar>
              <w:left w:w="0" w:type="dxa"/>
              <w:right w:w="0" w:type="dxa"/>
            </w:tcMar>
            <w:vAlign w:val="center"/>
          </w:tcPr>
          <w:p>
            <w:pPr>
              <w:adjustRightInd w:val="0"/>
              <w:snapToGrid w:val="0"/>
              <w:jc w:val="center"/>
              <w:rPr>
                <w:b/>
                <w:bCs/>
                <w:szCs w:val="21"/>
                <w:u w:val="single"/>
                <w:vertAlign w:val="subscript"/>
              </w:rPr>
            </w:pPr>
            <w:r>
              <w:rPr>
                <w:b/>
                <w:bCs/>
                <w:szCs w:val="21"/>
                <w:u w:val="single"/>
              </w:rPr>
              <w:t>NH</w:t>
            </w:r>
            <w:r>
              <w:rPr>
                <w:b/>
                <w:bCs/>
                <w:szCs w:val="21"/>
                <w:u w:val="single"/>
                <w:vertAlign w:val="subscript"/>
              </w:rPr>
              <w:t>3</w:t>
            </w:r>
          </w:p>
          <w:p>
            <w:pPr>
              <w:adjustRightInd w:val="0"/>
              <w:snapToGrid w:val="0"/>
              <w:jc w:val="center"/>
              <w:rPr>
                <w:b/>
                <w:bCs/>
                <w:szCs w:val="21"/>
                <w:u w:val="single"/>
              </w:rPr>
            </w:pPr>
            <w:r>
              <w:rPr>
                <w:b/>
                <w:bCs/>
                <w:szCs w:val="21"/>
                <w:u w:val="single"/>
              </w:rPr>
              <w:t>（t/a）</w:t>
            </w:r>
          </w:p>
        </w:tc>
        <w:tc>
          <w:tcPr>
            <w:tcW w:w="3919" w:type="dxa"/>
            <w:vMerge w:val="continue"/>
            <w:tcMar>
              <w:left w:w="0" w:type="dxa"/>
              <w:right w:w="0" w:type="dxa"/>
            </w:tcMar>
            <w:vAlign w:val="center"/>
          </w:tcPr>
          <w:p>
            <w:pPr>
              <w:adjustRightInd w:val="0"/>
              <w:snapToGrid w:val="0"/>
              <w:jc w:val="center"/>
              <w:rPr>
                <w:b/>
                <w:bCs/>
                <w:szCs w:val="21"/>
                <w:u w:val="single"/>
              </w:rPr>
            </w:pPr>
          </w:p>
        </w:tc>
        <w:tc>
          <w:tcPr>
            <w:tcW w:w="961" w:type="dxa"/>
            <w:tcMar>
              <w:left w:w="0" w:type="dxa"/>
              <w:right w:w="0" w:type="dxa"/>
            </w:tcMar>
            <w:vAlign w:val="center"/>
          </w:tcPr>
          <w:p>
            <w:pPr>
              <w:adjustRightInd w:val="0"/>
              <w:snapToGrid w:val="0"/>
              <w:jc w:val="center"/>
              <w:rPr>
                <w:b/>
                <w:bCs/>
                <w:szCs w:val="21"/>
                <w:u w:val="single"/>
              </w:rPr>
            </w:pPr>
            <w:r>
              <w:rPr>
                <w:b/>
                <w:bCs/>
                <w:szCs w:val="21"/>
                <w:u w:val="single"/>
              </w:rPr>
              <w:t>H</w:t>
            </w:r>
            <w:r>
              <w:rPr>
                <w:b/>
                <w:bCs/>
                <w:szCs w:val="21"/>
                <w:u w:val="single"/>
                <w:vertAlign w:val="subscript"/>
              </w:rPr>
              <w:t>2</w:t>
            </w:r>
            <w:r>
              <w:rPr>
                <w:b/>
                <w:bCs/>
                <w:szCs w:val="21"/>
                <w:u w:val="single"/>
              </w:rPr>
              <w:t>S</w:t>
            </w:r>
          </w:p>
          <w:p>
            <w:pPr>
              <w:adjustRightInd w:val="0"/>
              <w:snapToGrid w:val="0"/>
              <w:jc w:val="center"/>
              <w:rPr>
                <w:b/>
                <w:bCs/>
                <w:szCs w:val="21"/>
                <w:u w:val="single"/>
              </w:rPr>
            </w:pPr>
            <w:r>
              <w:rPr>
                <w:b/>
                <w:bCs/>
                <w:szCs w:val="21"/>
                <w:u w:val="single"/>
              </w:rPr>
              <w:t>（t/a）</w:t>
            </w:r>
          </w:p>
        </w:tc>
        <w:tc>
          <w:tcPr>
            <w:tcW w:w="970" w:type="dxa"/>
            <w:tcMar>
              <w:left w:w="0" w:type="dxa"/>
              <w:right w:w="0" w:type="dxa"/>
            </w:tcMar>
            <w:vAlign w:val="center"/>
          </w:tcPr>
          <w:p>
            <w:pPr>
              <w:adjustRightInd w:val="0"/>
              <w:snapToGrid w:val="0"/>
              <w:jc w:val="center"/>
              <w:rPr>
                <w:b/>
                <w:bCs/>
                <w:szCs w:val="21"/>
                <w:u w:val="single"/>
                <w:vertAlign w:val="subscript"/>
              </w:rPr>
            </w:pPr>
            <w:r>
              <w:rPr>
                <w:b/>
                <w:bCs/>
                <w:szCs w:val="21"/>
                <w:u w:val="single"/>
              </w:rPr>
              <w:t>NH</w:t>
            </w:r>
            <w:r>
              <w:rPr>
                <w:b/>
                <w:bCs/>
                <w:szCs w:val="21"/>
                <w:u w:val="single"/>
                <w:vertAlign w:val="subscript"/>
              </w:rPr>
              <w:t>3</w:t>
            </w:r>
          </w:p>
          <w:p>
            <w:pPr>
              <w:adjustRightInd w:val="0"/>
              <w:snapToGrid w:val="0"/>
              <w:jc w:val="center"/>
              <w:rPr>
                <w:b/>
                <w:bCs/>
                <w:szCs w:val="21"/>
                <w:u w:val="single"/>
              </w:rPr>
            </w:pPr>
            <w:r>
              <w:rPr>
                <w:b/>
                <w:bCs/>
                <w:szCs w:val="21"/>
                <w:u w:val="singl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01" w:type="dxa"/>
            <w:vAlign w:val="center"/>
          </w:tcPr>
          <w:p>
            <w:pPr>
              <w:adjustRightInd w:val="0"/>
              <w:snapToGrid w:val="0"/>
              <w:jc w:val="center"/>
              <w:rPr>
                <w:b/>
                <w:bCs/>
                <w:szCs w:val="21"/>
                <w:u w:val="single"/>
              </w:rPr>
            </w:pPr>
            <w:r>
              <w:rPr>
                <w:b/>
                <w:bCs/>
                <w:szCs w:val="21"/>
                <w:u w:val="single"/>
              </w:rPr>
              <w:t>猪舍</w:t>
            </w:r>
          </w:p>
        </w:tc>
        <w:tc>
          <w:tcPr>
            <w:tcW w:w="883" w:type="dxa"/>
            <w:tcMar>
              <w:left w:w="0" w:type="dxa"/>
              <w:right w:w="0" w:type="dxa"/>
            </w:tcMar>
            <w:vAlign w:val="center"/>
          </w:tcPr>
          <w:p>
            <w:pPr>
              <w:jc w:val="center"/>
              <w:rPr>
                <w:b/>
                <w:bCs/>
                <w:sz w:val="22"/>
                <w:szCs w:val="22"/>
                <w:u w:val="single"/>
              </w:rPr>
            </w:pPr>
            <w:r>
              <w:rPr>
                <w:b/>
                <w:bCs/>
                <w:sz w:val="22"/>
                <w:szCs w:val="22"/>
                <w:u w:val="single"/>
              </w:rPr>
              <w:t>0.</w:t>
            </w:r>
            <w:r>
              <w:rPr>
                <w:rFonts w:hint="eastAsia"/>
                <w:b/>
                <w:bCs/>
                <w:sz w:val="22"/>
                <w:szCs w:val="22"/>
                <w:u w:val="single"/>
              </w:rPr>
              <w:t>228</w:t>
            </w:r>
          </w:p>
        </w:tc>
        <w:tc>
          <w:tcPr>
            <w:tcW w:w="1021" w:type="dxa"/>
            <w:tcMar>
              <w:left w:w="0" w:type="dxa"/>
              <w:right w:w="0" w:type="dxa"/>
            </w:tcMar>
            <w:vAlign w:val="center"/>
          </w:tcPr>
          <w:p>
            <w:pPr>
              <w:jc w:val="center"/>
              <w:rPr>
                <w:b/>
                <w:bCs/>
                <w:sz w:val="22"/>
                <w:szCs w:val="22"/>
                <w:u w:val="single"/>
              </w:rPr>
            </w:pPr>
            <w:r>
              <w:rPr>
                <w:rFonts w:hint="eastAsia"/>
                <w:b/>
                <w:bCs/>
                <w:sz w:val="22"/>
                <w:szCs w:val="22"/>
                <w:u w:val="single"/>
              </w:rPr>
              <w:t>2.677</w:t>
            </w:r>
          </w:p>
        </w:tc>
        <w:tc>
          <w:tcPr>
            <w:tcW w:w="3919" w:type="dxa"/>
            <w:tcMar>
              <w:left w:w="0" w:type="dxa"/>
              <w:right w:w="0" w:type="dxa"/>
            </w:tcMar>
            <w:vAlign w:val="center"/>
          </w:tcPr>
          <w:p>
            <w:pPr>
              <w:adjustRightInd w:val="0"/>
              <w:snapToGrid w:val="0"/>
              <w:jc w:val="center"/>
              <w:rPr>
                <w:b/>
                <w:bCs/>
                <w:szCs w:val="21"/>
                <w:u w:val="single"/>
              </w:rPr>
            </w:pPr>
            <w:r>
              <w:rPr>
                <w:b/>
                <w:bCs/>
                <w:szCs w:val="21"/>
                <w:u w:val="single"/>
              </w:rPr>
              <w:t>控制饲养密度、采用节水型饮水器、加强通风、全漏缝地板并及时清粪，喷洒除臭剂，去除效率可达到70%</w:t>
            </w:r>
          </w:p>
        </w:tc>
        <w:tc>
          <w:tcPr>
            <w:tcW w:w="961" w:type="dxa"/>
            <w:tcMar>
              <w:left w:w="0" w:type="dxa"/>
              <w:right w:w="0" w:type="dxa"/>
            </w:tcMar>
            <w:vAlign w:val="center"/>
          </w:tcPr>
          <w:p>
            <w:pPr>
              <w:jc w:val="center"/>
              <w:rPr>
                <w:b/>
                <w:bCs/>
                <w:sz w:val="22"/>
                <w:szCs w:val="22"/>
                <w:u w:val="single"/>
              </w:rPr>
            </w:pPr>
            <w:r>
              <w:rPr>
                <w:b/>
                <w:bCs/>
                <w:sz w:val="22"/>
                <w:szCs w:val="22"/>
                <w:u w:val="single"/>
              </w:rPr>
              <w:t>0.</w:t>
            </w:r>
            <w:r>
              <w:rPr>
                <w:rFonts w:hint="eastAsia"/>
                <w:b/>
                <w:bCs/>
                <w:sz w:val="22"/>
                <w:szCs w:val="22"/>
                <w:u w:val="single"/>
              </w:rPr>
              <w:t>068</w:t>
            </w:r>
          </w:p>
        </w:tc>
        <w:tc>
          <w:tcPr>
            <w:tcW w:w="970" w:type="dxa"/>
            <w:tcMar>
              <w:left w:w="0" w:type="dxa"/>
              <w:right w:w="0" w:type="dxa"/>
            </w:tcMar>
            <w:vAlign w:val="center"/>
          </w:tcPr>
          <w:p>
            <w:pPr>
              <w:jc w:val="center"/>
              <w:rPr>
                <w:b/>
                <w:bCs/>
                <w:sz w:val="22"/>
                <w:szCs w:val="22"/>
                <w:u w:val="single"/>
              </w:rPr>
            </w:pPr>
            <w:r>
              <w:rPr>
                <w:rFonts w:hint="eastAsia"/>
                <w:b/>
                <w:bCs/>
                <w:sz w:val="22"/>
                <w:szCs w:val="22"/>
                <w:u w:val="single"/>
              </w:rPr>
              <w:t>0.803</w:t>
            </w:r>
          </w:p>
        </w:tc>
      </w:tr>
    </w:tbl>
    <w:p>
      <w:pPr>
        <w:spacing w:line="520" w:lineRule="exact"/>
        <w:ind w:firstLine="482" w:firstLineChars="200"/>
        <w:rPr>
          <w:b/>
          <w:bCs/>
          <w:sz w:val="24"/>
          <w:u w:val="single"/>
        </w:rPr>
      </w:pPr>
      <w:bookmarkStart w:id="154" w:name="_Toc388881917"/>
      <w:bookmarkStart w:id="155" w:name="_Toc406847416"/>
      <w:bookmarkStart w:id="156" w:name="_Toc407001409"/>
      <w:bookmarkStart w:id="157" w:name="_Toc413166136"/>
      <w:r>
        <w:rPr>
          <w:b/>
          <w:bCs/>
          <w:sz w:val="24"/>
          <w:u w:val="single"/>
        </w:rPr>
        <w:t>B、污水前处理系统恶臭</w:t>
      </w:r>
    </w:p>
    <w:p>
      <w:pPr>
        <w:widowControl/>
        <w:spacing w:line="520" w:lineRule="exact"/>
        <w:ind w:firstLine="482" w:firstLineChars="200"/>
        <w:jc w:val="left"/>
        <w:rPr>
          <w:b/>
          <w:bCs/>
          <w:sz w:val="24"/>
          <w:u w:val="single"/>
        </w:rPr>
      </w:pPr>
      <w:r>
        <w:rPr>
          <w:b/>
          <w:bCs/>
          <w:sz w:val="24"/>
          <w:u w:val="single"/>
        </w:rPr>
        <w:t>盖泻湖沼气池在接入污水前将进行固液分离，因前期固液分离环节由于设备要求，上方不能全部封闭，而盖泻湖沼气池为密闭的，因此只有在固液分离机、收集池部分会产生恶臭气体。</w:t>
      </w:r>
    </w:p>
    <w:p>
      <w:pPr>
        <w:spacing w:line="520" w:lineRule="exact"/>
        <w:ind w:firstLine="482" w:firstLineChars="200"/>
        <w:rPr>
          <w:b/>
          <w:bCs/>
          <w:kern w:val="0"/>
          <w:szCs w:val="22"/>
          <w:u w:val="single"/>
        </w:rPr>
      </w:pPr>
      <w:r>
        <w:rPr>
          <w:b/>
          <w:bCs/>
          <w:kern w:val="0"/>
          <w:sz w:val="24"/>
          <w:u w:val="single"/>
        </w:rPr>
        <w:t>收集池恶臭源强：</w:t>
      </w:r>
      <w:r>
        <w:rPr>
          <w:b/>
          <w:bCs/>
          <w:sz w:val="24"/>
          <w:u w:val="single"/>
        </w:rPr>
        <w:t>根据美国EPA对城市污水处理厂恶臭污染物产生情况的研究，每处理1gBOD</w:t>
      </w:r>
      <w:r>
        <w:rPr>
          <w:b/>
          <w:bCs/>
          <w:sz w:val="24"/>
          <w:u w:val="single"/>
          <w:vertAlign w:val="subscript"/>
        </w:rPr>
        <w:t>5</w:t>
      </w:r>
      <w:r>
        <w:rPr>
          <w:b/>
          <w:bCs/>
          <w:sz w:val="24"/>
          <w:u w:val="single"/>
        </w:rPr>
        <w:t>可产生0.0031g氨气和0.00012g硫化氢。本项目</w:t>
      </w:r>
      <w:r>
        <w:rPr>
          <w:b/>
          <w:bCs/>
          <w:snapToGrid w:val="0"/>
          <w:kern w:val="0"/>
          <w:sz w:val="24"/>
          <w:u w:val="single"/>
        </w:rPr>
        <w:t>废水产生量为</w:t>
      </w:r>
      <w:r>
        <w:rPr>
          <w:rFonts w:hint="eastAsia"/>
          <w:b/>
          <w:bCs/>
          <w:color w:val="000000"/>
          <w:sz w:val="24"/>
          <w:u w:val="single"/>
        </w:rPr>
        <w:t>70846.5</w:t>
      </w:r>
      <w:r>
        <w:rPr>
          <w:b/>
          <w:bCs/>
          <w:sz w:val="24"/>
          <w:u w:val="single"/>
        </w:rPr>
        <w:t>m</w:t>
      </w:r>
      <w:r>
        <w:rPr>
          <w:b/>
          <w:bCs/>
          <w:sz w:val="24"/>
          <w:u w:val="single"/>
          <w:vertAlign w:val="superscript"/>
        </w:rPr>
        <w:t>3</w:t>
      </w:r>
      <w:r>
        <w:rPr>
          <w:b/>
          <w:bCs/>
          <w:sz w:val="24"/>
          <w:u w:val="single"/>
        </w:rPr>
        <w:t>/a</w:t>
      </w:r>
      <w:r>
        <w:rPr>
          <w:b/>
          <w:bCs/>
          <w:snapToGrid w:val="0"/>
          <w:kern w:val="0"/>
          <w:sz w:val="24"/>
          <w:u w:val="single"/>
        </w:rPr>
        <w:t>，</w:t>
      </w:r>
      <w:r>
        <w:rPr>
          <w:b/>
          <w:bCs/>
          <w:sz w:val="24"/>
          <w:u w:val="single"/>
        </w:rPr>
        <w:t>BOD</w:t>
      </w:r>
      <w:r>
        <w:rPr>
          <w:b/>
          <w:bCs/>
          <w:sz w:val="24"/>
          <w:u w:val="single"/>
          <w:vertAlign w:val="subscript"/>
        </w:rPr>
        <w:t>5</w:t>
      </w:r>
      <w:r>
        <w:rPr>
          <w:b/>
          <w:bCs/>
          <w:sz w:val="24"/>
          <w:u w:val="single"/>
        </w:rPr>
        <w:t>去除量为</w:t>
      </w:r>
      <w:r>
        <w:rPr>
          <w:rFonts w:hint="eastAsia"/>
          <w:b/>
          <w:bCs/>
          <w:sz w:val="24"/>
          <w:u w:val="single"/>
        </w:rPr>
        <w:t>141.69</w:t>
      </w:r>
      <w:r>
        <w:rPr>
          <w:b/>
          <w:bCs/>
          <w:sz w:val="24"/>
          <w:u w:val="single"/>
        </w:rPr>
        <w:t>t/a，</w:t>
      </w:r>
      <w:r>
        <w:rPr>
          <w:b/>
          <w:bCs/>
          <w:snapToGrid w:val="0"/>
          <w:kern w:val="0"/>
          <w:sz w:val="24"/>
          <w:u w:val="single"/>
        </w:rPr>
        <w:t>则</w:t>
      </w:r>
      <w:r>
        <w:rPr>
          <w:b/>
          <w:bCs/>
          <w:sz w:val="24"/>
          <w:u w:val="single"/>
        </w:rPr>
        <w:t>收集池NH</w:t>
      </w:r>
      <w:r>
        <w:rPr>
          <w:b/>
          <w:bCs/>
          <w:sz w:val="24"/>
          <w:u w:val="single"/>
          <w:vertAlign w:val="subscript"/>
        </w:rPr>
        <w:t>3</w:t>
      </w:r>
      <w:r>
        <w:rPr>
          <w:b/>
          <w:bCs/>
          <w:sz w:val="24"/>
          <w:u w:val="single"/>
        </w:rPr>
        <w:t>产生量为0.</w:t>
      </w:r>
      <w:r>
        <w:rPr>
          <w:rFonts w:hint="eastAsia"/>
          <w:b/>
          <w:bCs/>
          <w:sz w:val="24"/>
          <w:u w:val="single"/>
        </w:rPr>
        <w:t>439</w:t>
      </w:r>
      <w:r>
        <w:rPr>
          <w:b/>
          <w:bCs/>
          <w:sz w:val="24"/>
          <w:u w:val="single"/>
        </w:rPr>
        <w:t>t/a，H</w:t>
      </w:r>
      <w:r>
        <w:rPr>
          <w:b/>
          <w:bCs/>
          <w:sz w:val="24"/>
          <w:u w:val="single"/>
          <w:vertAlign w:val="subscript"/>
        </w:rPr>
        <w:t>2</w:t>
      </w:r>
      <w:r>
        <w:rPr>
          <w:b/>
          <w:bCs/>
          <w:sz w:val="24"/>
          <w:u w:val="single"/>
        </w:rPr>
        <w:t>S产生量为0.0</w:t>
      </w:r>
      <w:r>
        <w:rPr>
          <w:rFonts w:hint="eastAsia"/>
          <w:b/>
          <w:bCs/>
          <w:sz w:val="24"/>
          <w:u w:val="single"/>
        </w:rPr>
        <w:t>17</w:t>
      </w:r>
      <w:r>
        <w:rPr>
          <w:b/>
          <w:bCs/>
          <w:sz w:val="24"/>
          <w:u w:val="single"/>
        </w:rPr>
        <w:t>t/a。</w:t>
      </w:r>
      <w:r>
        <w:rPr>
          <w:b/>
          <w:bCs/>
          <w:kern w:val="0"/>
          <w:sz w:val="24"/>
          <w:u w:val="single"/>
        </w:rPr>
        <w:t>为进一步减小项目污水处理过程恶臭气体对周边环境的影响，对污水前处理系统收集池区域喷洒除臭剂，并加强场区绿化。</w:t>
      </w:r>
    </w:p>
    <w:p>
      <w:pPr>
        <w:spacing w:line="520" w:lineRule="exact"/>
        <w:ind w:firstLine="482" w:firstLineChars="200"/>
        <w:rPr>
          <w:b/>
          <w:bCs/>
          <w:sz w:val="24"/>
          <w:u w:val="single"/>
        </w:rPr>
      </w:pPr>
      <w:r>
        <w:rPr>
          <w:b/>
          <w:bCs/>
          <w:sz w:val="24"/>
          <w:u w:val="single"/>
        </w:rPr>
        <w:t>C、沼液暂存池恶臭</w:t>
      </w:r>
    </w:p>
    <w:p>
      <w:pPr>
        <w:spacing w:line="520" w:lineRule="exact"/>
        <w:ind w:firstLine="482" w:firstLineChars="200"/>
        <w:rPr>
          <w:b/>
          <w:bCs/>
          <w:sz w:val="24"/>
          <w:u w:val="single"/>
        </w:rPr>
      </w:pPr>
      <w:r>
        <w:rPr>
          <w:b/>
          <w:bCs/>
          <w:sz w:val="24"/>
          <w:u w:val="single"/>
        </w:rPr>
        <w:t>本项目场内设1座沼液储存池，容积为64006m</w:t>
      </w:r>
      <w:r>
        <w:rPr>
          <w:b/>
          <w:bCs/>
          <w:sz w:val="24"/>
          <w:u w:val="single"/>
          <w:vertAlign w:val="superscript"/>
        </w:rPr>
        <w:t>3</w:t>
      </w:r>
      <w:r>
        <w:rPr>
          <w:b/>
          <w:bCs/>
          <w:sz w:val="24"/>
          <w:u w:val="single"/>
        </w:rPr>
        <w:t>，占地面积</w:t>
      </w:r>
      <w:r>
        <w:rPr>
          <w:rFonts w:hint="eastAsia"/>
          <w:b/>
          <w:bCs/>
          <w:sz w:val="24"/>
          <w:u w:val="single"/>
        </w:rPr>
        <w:t>11640</w:t>
      </w:r>
      <w:r>
        <w:rPr>
          <w:b/>
          <w:bCs/>
          <w:sz w:val="24"/>
          <w:u w:val="single"/>
        </w:rPr>
        <w:t>m</w:t>
      </w:r>
      <w:r>
        <w:rPr>
          <w:b/>
          <w:bCs/>
          <w:sz w:val="24"/>
          <w:u w:val="single"/>
          <w:vertAlign w:val="superscript"/>
        </w:rPr>
        <w:t>2</w:t>
      </w:r>
      <w:r>
        <w:rPr>
          <w:b/>
          <w:bCs/>
          <w:sz w:val="24"/>
          <w:u w:val="single"/>
        </w:rPr>
        <w:t>，根据类比牧原内乡二十二十场（已验收）沼液储存池：占地面积13622m</w:t>
      </w:r>
      <w:r>
        <w:rPr>
          <w:b/>
          <w:bCs/>
          <w:sz w:val="24"/>
          <w:u w:val="single"/>
          <w:vertAlign w:val="superscript"/>
        </w:rPr>
        <w:t>2</w:t>
      </w:r>
      <w:r>
        <w:rPr>
          <w:b/>
          <w:bCs/>
          <w:sz w:val="24"/>
          <w:u w:val="single"/>
        </w:rPr>
        <w:t>，H</w:t>
      </w:r>
      <w:r>
        <w:rPr>
          <w:b/>
          <w:bCs/>
          <w:sz w:val="24"/>
          <w:u w:val="single"/>
          <w:vertAlign w:val="subscript"/>
        </w:rPr>
        <w:t>2</w:t>
      </w:r>
      <w:r>
        <w:rPr>
          <w:b/>
          <w:bCs/>
          <w:sz w:val="24"/>
          <w:u w:val="single"/>
        </w:rPr>
        <w:t>S的产生量为0.0316kg/d，NH</w:t>
      </w:r>
      <w:r>
        <w:rPr>
          <w:b/>
          <w:bCs/>
          <w:sz w:val="24"/>
          <w:u w:val="single"/>
          <w:vertAlign w:val="subscript"/>
        </w:rPr>
        <w:t>3</w:t>
      </w:r>
      <w:r>
        <w:rPr>
          <w:b/>
          <w:bCs/>
          <w:sz w:val="24"/>
          <w:u w:val="single"/>
        </w:rPr>
        <w:t>的产生量为0.3953kg/d，折合后产生量分别为H</w:t>
      </w:r>
      <w:r>
        <w:rPr>
          <w:b/>
          <w:bCs/>
          <w:sz w:val="24"/>
          <w:u w:val="single"/>
          <w:vertAlign w:val="subscript"/>
        </w:rPr>
        <w:t>2</w:t>
      </w:r>
      <w:r>
        <w:rPr>
          <w:b/>
          <w:bCs/>
          <w:sz w:val="24"/>
          <w:u w:val="single"/>
        </w:rPr>
        <w:t>S 0.0023g/m</w:t>
      </w:r>
      <w:r>
        <w:rPr>
          <w:b/>
          <w:bCs/>
          <w:sz w:val="24"/>
          <w:u w:val="single"/>
          <w:vertAlign w:val="superscript"/>
        </w:rPr>
        <w:t>2</w:t>
      </w:r>
      <w:r>
        <w:rPr>
          <w:b/>
          <w:bCs/>
          <w:sz w:val="24"/>
          <w:u w:val="single"/>
        </w:rPr>
        <w:t>·d，NH</w:t>
      </w:r>
      <w:r>
        <w:rPr>
          <w:b/>
          <w:bCs/>
          <w:sz w:val="24"/>
          <w:u w:val="single"/>
          <w:vertAlign w:val="subscript"/>
        </w:rPr>
        <w:t>3</w:t>
      </w:r>
      <w:r>
        <w:rPr>
          <w:b/>
          <w:bCs/>
          <w:sz w:val="24"/>
          <w:u w:val="single"/>
        </w:rPr>
        <w:t>0.03g/m</w:t>
      </w:r>
      <w:r>
        <w:rPr>
          <w:b/>
          <w:bCs/>
          <w:sz w:val="24"/>
          <w:u w:val="single"/>
          <w:vertAlign w:val="superscript"/>
        </w:rPr>
        <w:t>2</w:t>
      </w:r>
      <w:r>
        <w:rPr>
          <w:b/>
          <w:bCs/>
          <w:sz w:val="24"/>
          <w:u w:val="single"/>
        </w:rPr>
        <w:t>·d。本项目沼液储存池占地面积</w:t>
      </w:r>
      <w:r>
        <w:rPr>
          <w:rFonts w:hint="eastAsia"/>
          <w:b/>
          <w:bCs/>
          <w:sz w:val="24"/>
          <w:u w:val="single"/>
        </w:rPr>
        <w:t>11640</w:t>
      </w:r>
      <w:r>
        <w:rPr>
          <w:b/>
          <w:bCs/>
          <w:sz w:val="24"/>
          <w:u w:val="single"/>
        </w:rPr>
        <w:t>m</w:t>
      </w:r>
      <w:r>
        <w:rPr>
          <w:b/>
          <w:bCs/>
          <w:sz w:val="24"/>
          <w:u w:val="single"/>
          <w:vertAlign w:val="superscript"/>
        </w:rPr>
        <w:t>2</w:t>
      </w:r>
      <w:r>
        <w:rPr>
          <w:b/>
          <w:bCs/>
          <w:sz w:val="24"/>
          <w:u w:val="single"/>
        </w:rPr>
        <w:t>，则沼液储存池H</w:t>
      </w:r>
      <w:r>
        <w:rPr>
          <w:b/>
          <w:bCs/>
          <w:sz w:val="24"/>
          <w:u w:val="single"/>
          <w:vertAlign w:val="subscript"/>
        </w:rPr>
        <w:t>2</w:t>
      </w:r>
      <w:r>
        <w:rPr>
          <w:b/>
          <w:bCs/>
          <w:sz w:val="24"/>
          <w:u w:val="single"/>
        </w:rPr>
        <w:t>S的产生量为0.0</w:t>
      </w:r>
      <w:r>
        <w:rPr>
          <w:rFonts w:hint="eastAsia"/>
          <w:b/>
          <w:bCs/>
          <w:sz w:val="24"/>
          <w:u w:val="single"/>
        </w:rPr>
        <w:t>268</w:t>
      </w:r>
      <w:r>
        <w:rPr>
          <w:b/>
          <w:bCs/>
          <w:sz w:val="24"/>
          <w:u w:val="single"/>
        </w:rPr>
        <w:t>kg/d（0.00</w:t>
      </w:r>
      <w:r>
        <w:rPr>
          <w:rFonts w:hint="eastAsia"/>
          <w:b/>
          <w:bCs/>
          <w:sz w:val="24"/>
          <w:u w:val="single"/>
        </w:rPr>
        <w:t>99</w:t>
      </w:r>
      <w:r>
        <w:rPr>
          <w:b/>
          <w:bCs/>
          <w:sz w:val="24"/>
          <w:u w:val="single"/>
        </w:rPr>
        <w:t xml:space="preserve"> t/a），NH</w:t>
      </w:r>
      <w:r>
        <w:rPr>
          <w:b/>
          <w:bCs/>
          <w:sz w:val="24"/>
          <w:u w:val="single"/>
          <w:vertAlign w:val="subscript"/>
        </w:rPr>
        <w:t>3</w:t>
      </w:r>
      <w:r>
        <w:rPr>
          <w:b/>
          <w:bCs/>
          <w:sz w:val="24"/>
          <w:u w:val="single"/>
        </w:rPr>
        <w:t>的产生量为0.</w:t>
      </w:r>
      <w:r>
        <w:rPr>
          <w:rFonts w:hint="eastAsia"/>
          <w:b/>
          <w:bCs/>
          <w:sz w:val="24"/>
          <w:u w:val="single"/>
        </w:rPr>
        <w:t>349</w:t>
      </w:r>
      <w:r>
        <w:rPr>
          <w:b/>
          <w:bCs/>
          <w:sz w:val="24"/>
          <w:u w:val="single"/>
        </w:rPr>
        <w:t>kg/d（0.</w:t>
      </w:r>
      <w:r>
        <w:rPr>
          <w:rFonts w:hint="eastAsia"/>
          <w:b/>
          <w:bCs/>
          <w:sz w:val="24"/>
          <w:u w:val="single"/>
        </w:rPr>
        <w:t>127</w:t>
      </w:r>
      <w:r>
        <w:rPr>
          <w:b/>
          <w:bCs/>
          <w:sz w:val="24"/>
          <w:u w:val="single"/>
        </w:rPr>
        <w:t>t/a）。</w:t>
      </w:r>
    </w:p>
    <w:p>
      <w:pPr>
        <w:spacing w:line="520" w:lineRule="exact"/>
        <w:ind w:firstLine="482" w:firstLineChars="200"/>
        <w:rPr>
          <w:b/>
          <w:bCs/>
          <w:kern w:val="0"/>
          <w:szCs w:val="22"/>
          <w:u w:val="single"/>
        </w:rPr>
      </w:pPr>
      <w:r>
        <w:rPr>
          <w:b/>
          <w:bCs/>
          <w:sz w:val="24"/>
          <w:u w:val="single"/>
        </w:rPr>
        <w:t>由于沼液储存池相对占地面积较大，不便于喷洒除臭剂，且池上方不能加盖，因此产生的臭气全部逸散至空气中。评价建议采取在沼液储存池周边加强绿化来吸收产生的恶臭气体。使其对周围环境的影响降至最低。</w:t>
      </w:r>
    </w:p>
    <w:p>
      <w:pPr>
        <w:spacing w:line="520" w:lineRule="exact"/>
        <w:ind w:firstLine="482" w:firstLineChars="200"/>
        <w:rPr>
          <w:b/>
          <w:bCs/>
          <w:sz w:val="24"/>
          <w:u w:val="single"/>
        </w:rPr>
      </w:pPr>
      <w:r>
        <w:rPr>
          <w:b/>
          <w:bCs/>
          <w:sz w:val="24"/>
          <w:u w:val="single"/>
        </w:rPr>
        <w:t>污水处理区恶臭排放情况见表2.3-4。</w:t>
      </w:r>
    </w:p>
    <w:p>
      <w:pPr>
        <w:pStyle w:val="2"/>
        <w:ind w:firstLine="400"/>
        <w:rPr>
          <w:b/>
          <w:bCs/>
          <w:u w:val="single"/>
        </w:rPr>
      </w:pPr>
    </w:p>
    <w:p>
      <w:pPr>
        <w:spacing w:afterLines="30" w:line="520" w:lineRule="exact"/>
        <w:jc w:val="center"/>
        <w:rPr>
          <w:b/>
          <w:bCs/>
          <w:sz w:val="24"/>
          <w:u w:val="single"/>
        </w:rPr>
      </w:pPr>
      <w:r>
        <w:rPr>
          <w:b/>
          <w:bCs/>
          <w:sz w:val="24"/>
          <w:u w:val="single"/>
        </w:rPr>
        <w:t>表2.3-4    污水处理区臭气产生及排放一览表</w:t>
      </w:r>
    </w:p>
    <w:tbl>
      <w:tblPr>
        <w:tblStyle w:val="44"/>
        <w:tblW w:w="8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649"/>
        <w:gridCol w:w="975"/>
        <w:gridCol w:w="1056"/>
        <w:gridCol w:w="2555"/>
        <w:gridCol w:w="1277"/>
        <w:gridCol w:w="12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649" w:type="dxa"/>
            <w:vMerge w:val="restart"/>
            <w:vAlign w:val="center"/>
          </w:tcPr>
          <w:p>
            <w:pPr>
              <w:pStyle w:val="145"/>
              <w:rPr>
                <w:rFonts w:eastAsia="宋体"/>
                <w:b/>
                <w:bCs/>
                <w:sz w:val="21"/>
                <w:szCs w:val="21"/>
                <w:u w:val="single"/>
              </w:rPr>
            </w:pPr>
            <w:r>
              <w:rPr>
                <w:rFonts w:eastAsia="宋体"/>
                <w:b/>
                <w:bCs/>
                <w:sz w:val="21"/>
                <w:szCs w:val="21"/>
                <w:u w:val="single"/>
              </w:rPr>
              <w:t>污染源</w:t>
            </w:r>
          </w:p>
        </w:tc>
        <w:tc>
          <w:tcPr>
            <w:tcW w:w="2031" w:type="dxa"/>
            <w:gridSpan w:val="2"/>
            <w:vAlign w:val="center"/>
          </w:tcPr>
          <w:p>
            <w:pPr>
              <w:pStyle w:val="145"/>
              <w:rPr>
                <w:rFonts w:eastAsia="宋体"/>
                <w:b/>
                <w:bCs/>
                <w:sz w:val="21"/>
                <w:szCs w:val="21"/>
                <w:u w:val="single"/>
              </w:rPr>
            </w:pPr>
            <w:r>
              <w:rPr>
                <w:rFonts w:eastAsia="宋体"/>
                <w:b/>
                <w:bCs/>
                <w:sz w:val="21"/>
                <w:szCs w:val="21"/>
                <w:u w:val="single"/>
              </w:rPr>
              <w:t>污染物产生量（t/a）</w:t>
            </w:r>
          </w:p>
        </w:tc>
        <w:tc>
          <w:tcPr>
            <w:tcW w:w="2555" w:type="dxa"/>
            <w:vMerge w:val="restart"/>
            <w:vAlign w:val="center"/>
          </w:tcPr>
          <w:p>
            <w:pPr>
              <w:pStyle w:val="145"/>
              <w:rPr>
                <w:rFonts w:eastAsia="宋体"/>
                <w:b/>
                <w:bCs/>
                <w:sz w:val="21"/>
                <w:szCs w:val="21"/>
                <w:u w:val="single"/>
              </w:rPr>
            </w:pPr>
            <w:r>
              <w:rPr>
                <w:rFonts w:eastAsia="宋体"/>
                <w:b/>
                <w:bCs/>
                <w:sz w:val="21"/>
                <w:szCs w:val="21"/>
                <w:u w:val="single"/>
              </w:rPr>
              <w:t>拟处理措施</w:t>
            </w:r>
          </w:p>
        </w:tc>
        <w:tc>
          <w:tcPr>
            <w:tcW w:w="2553" w:type="dxa"/>
            <w:gridSpan w:val="2"/>
            <w:vAlign w:val="center"/>
          </w:tcPr>
          <w:p>
            <w:pPr>
              <w:pStyle w:val="145"/>
              <w:rPr>
                <w:rFonts w:eastAsia="宋体"/>
                <w:b/>
                <w:bCs/>
                <w:sz w:val="21"/>
                <w:szCs w:val="21"/>
                <w:u w:val="single"/>
              </w:rPr>
            </w:pPr>
            <w:r>
              <w:rPr>
                <w:rFonts w:eastAsia="宋体"/>
                <w:b/>
                <w:bCs/>
                <w:sz w:val="21"/>
                <w:szCs w:val="21"/>
                <w:u w:val="single"/>
              </w:rPr>
              <w:t>污染物排放源强（t/a）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649" w:type="dxa"/>
            <w:vMerge w:val="continue"/>
            <w:vAlign w:val="center"/>
          </w:tcPr>
          <w:p>
            <w:pPr>
              <w:pStyle w:val="145"/>
              <w:rPr>
                <w:rFonts w:eastAsia="宋体"/>
                <w:b/>
                <w:bCs/>
                <w:sz w:val="21"/>
                <w:szCs w:val="21"/>
                <w:u w:val="single"/>
              </w:rPr>
            </w:pPr>
          </w:p>
        </w:tc>
        <w:tc>
          <w:tcPr>
            <w:tcW w:w="975" w:type="dxa"/>
            <w:vAlign w:val="center"/>
          </w:tcPr>
          <w:p>
            <w:pPr>
              <w:pStyle w:val="145"/>
              <w:rPr>
                <w:rFonts w:eastAsia="宋体"/>
                <w:b/>
                <w:bCs/>
                <w:sz w:val="21"/>
                <w:szCs w:val="21"/>
                <w:u w:val="single"/>
              </w:rPr>
            </w:pPr>
            <w:r>
              <w:rPr>
                <w:rFonts w:eastAsia="宋体"/>
                <w:b/>
                <w:bCs/>
                <w:sz w:val="21"/>
                <w:szCs w:val="21"/>
                <w:u w:val="single"/>
              </w:rPr>
              <w:t>H</w:t>
            </w:r>
            <w:r>
              <w:rPr>
                <w:rFonts w:eastAsia="宋体"/>
                <w:b/>
                <w:bCs/>
                <w:sz w:val="21"/>
                <w:szCs w:val="21"/>
                <w:u w:val="single"/>
                <w:vertAlign w:val="subscript"/>
              </w:rPr>
              <w:t>2</w:t>
            </w:r>
            <w:r>
              <w:rPr>
                <w:rFonts w:eastAsia="宋体"/>
                <w:b/>
                <w:bCs/>
                <w:sz w:val="21"/>
                <w:szCs w:val="21"/>
                <w:u w:val="single"/>
              </w:rPr>
              <w:t>S</w:t>
            </w:r>
          </w:p>
        </w:tc>
        <w:tc>
          <w:tcPr>
            <w:tcW w:w="1056" w:type="dxa"/>
            <w:vAlign w:val="center"/>
          </w:tcPr>
          <w:p>
            <w:pPr>
              <w:pStyle w:val="145"/>
              <w:rPr>
                <w:rFonts w:eastAsia="宋体"/>
                <w:b/>
                <w:bCs/>
                <w:sz w:val="21"/>
                <w:szCs w:val="21"/>
                <w:u w:val="single"/>
              </w:rPr>
            </w:pPr>
            <w:r>
              <w:rPr>
                <w:rFonts w:eastAsia="宋体"/>
                <w:b/>
                <w:bCs/>
                <w:sz w:val="21"/>
                <w:szCs w:val="21"/>
                <w:u w:val="single"/>
              </w:rPr>
              <w:t>NH</w:t>
            </w:r>
            <w:r>
              <w:rPr>
                <w:rFonts w:eastAsia="宋体"/>
                <w:b/>
                <w:bCs/>
                <w:sz w:val="21"/>
                <w:szCs w:val="21"/>
                <w:u w:val="single"/>
                <w:vertAlign w:val="subscript"/>
              </w:rPr>
              <w:t>3</w:t>
            </w:r>
          </w:p>
        </w:tc>
        <w:tc>
          <w:tcPr>
            <w:tcW w:w="2555" w:type="dxa"/>
            <w:vMerge w:val="continue"/>
            <w:vAlign w:val="center"/>
          </w:tcPr>
          <w:p>
            <w:pPr>
              <w:pStyle w:val="145"/>
              <w:rPr>
                <w:rFonts w:eastAsia="宋体"/>
                <w:b/>
                <w:bCs/>
                <w:sz w:val="21"/>
                <w:szCs w:val="21"/>
                <w:u w:val="single"/>
              </w:rPr>
            </w:pPr>
          </w:p>
        </w:tc>
        <w:tc>
          <w:tcPr>
            <w:tcW w:w="1277" w:type="dxa"/>
            <w:vAlign w:val="center"/>
          </w:tcPr>
          <w:p>
            <w:pPr>
              <w:pStyle w:val="145"/>
              <w:rPr>
                <w:rFonts w:eastAsia="宋体"/>
                <w:b/>
                <w:bCs/>
                <w:sz w:val="21"/>
                <w:szCs w:val="21"/>
                <w:u w:val="single"/>
              </w:rPr>
            </w:pPr>
            <w:r>
              <w:rPr>
                <w:rFonts w:eastAsia="宋体"/>
                <w:b/>
                <w:bCs/>
                <w:sz w:val="21"/>
                <w:szCs w:val="21"/>
                <w:u w:val="single"/>
              </w:rPr>
              <w:t>H</w:t>
            </w:r>
            <w:r>
              <w:rPr>
                <w:rFonts w:eastAsia="宋体"/>
                <w:b/>
                <w:bCs/>
                <w:sz w:val="21"/>
                <w:szCs w:val="21"/>
                <w:u w:val="single"/>
                <w:vertAlign w:val="subscript"/>
              </w:rPr>
              <w:t>2</w:t>
            </w:r>
            <w:r>
              <w:rPr>
                <w:rFonts w:eastAsia="宋体"/>
                <w:b/>
                <w:bCs/>
                <w:sz w:val="21"/>
                <w:szCs w:val="21"/>
                <w:u w:val="single"/>
              </w:rPr>
              <w:t>S</w:t>
            </w:r>
          </w:p>
        </w:tc>
        <w:tc>
          <w:tcPr>
            <w:tcW w:w="1276" w:type="dxa"/>
            <w:vAlign w:val="center"/>
          </w:tcPr>
          <w:p>
            <w:pPr>
              <w:pStyle w:val="145"/>
              <w:rPr>
                <w:rFonts w:eastAsia="宋体"/>
                <w:b/>
                <w:bCs/>
                <w:sz w:val="21"/>
                <w:szCs w:val="21"/>
                <w:u w:val="single"/>
              </w:rPr>
            </w:pPr>
            <w:r>
              <w:rPr>
                <w:rFonts w:eastAsia="宋体"/>
                <w:b/>
                <w:bCs/>
                <w:sz w:val="21"/>
                <w:szCs w:val="21"/>
                <w:u w:val="single"/>
              </w:rPr>
              <w:t>NH</w:t>
            </w:r>
            <w:r>
              <w:rPr>
                <w:rFonts w:eastAsia="宋体"/>
                <w:b/>
                <w:bCs/>
                <w:sz w:val="21"/>
                <w:szCs w:val="21"/>
                <w:u w:val="single"/>
                <w:vertAlign w:val="sub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649" w:type="dxa"/>
            <w:vAlign w:val="center"/>
          </w:tcPr>
          <w:p>
            <w:pPr>
              <w:pStyle w:val="145"/>
              <w:rPr>
                <w:rFonts w:eastAsia="宋体"/>
                <w:b/>
                <w:bCs/>
                <w:sz w:val="21"/>
                <w:szCs w:val="21"/>
                <w:u w:val="single"/>
              </w:rPr>
            </w:pPr>
            <w:r>
              <w:rPr>
                <w:rFonts w:eastAsia="宋体"/>
                <w:b/>
                <w:bCs/>
                <w:sz w:val="21"/>
                <w:szCs w:val="21"/>
                <w:u w:val="single"/>
              </w:rPr>
              <w:t>收集池恶臭</w:t>
            </w:r>
          </w:p>
        </w:tc>
        <w:tc>
          <w:tcPr>
            <w:tcW w:w="975" w:type="dxa"/>
            <w:vAlign w:val="bottom"/>
          </w:tcPr>
          <w:p>
            <w:pPr>
              <w:jc w:val="center"/>
              <w:rPr>
                <w:b/>
                <w:bCs/>
                <w:szCs w:val="21"/>
                <w:u w:val="single"/>
              </w:rPr>
            </w:pPr>
            <w:r>
              <w:rPr>
                <w:b/>
                <w:bCs/>
                <w:szCs w:val="21"/>
                <w:u w:val="single"/>
              </w:rPr>
              <w:t>0.017</w:t>
            </w:r>
          </w:p>
        </w:tc>
        <w:tc>
          <w:tcPr>
            <w:tcW w:w="1056" w:type="dxa"/>
            <w:vAlign w:val="bottom"/>
          </w:tcPr>
          <w:p>
            <w:pPr>
              <w:jc w:val="center"/>
              <w:rPr>
                <w:b/>
                <w:bCs/>
                <w:szCs w:val="21"/>
                <w:u w:val="single"/>
              </w:rPr>
            </w:pPr>
            <w:r>
              <w:rPr>
                <w:b/>
                <w:bCs/>
                <w:szCs w:val="21"/>
                <w:u w:val="single"/>
              </w:rPr>
              <w:t>0.439</w:t>
            </w:r>
          </w:p>
        </w:tc>
        <w:tc>
          <w:tcPr>
            <w:tcW w:w="2555" w:type="dxa"/>
            <w:vMerge w:val="restart"/>
            <w:vAlign w:val="center"/>
          </w:tcPr>
          <w:p>
            <w:pPr>
              <w:pStyle w:val="145"/>
              <w:rPr>
                <w:rFonts w:eastAsia="宋体"/>
                <w:b/>
                <w:bCs/>
                <w:sz w:val="21"/>
                <w:szCs w:val="21"/>
                <w:u w:val="single"/>
              </w:rPr>
            </w:pPr>
            <w:r>
              <w:rPr>
                <w:rFonts w:eastAsia="宋体"/>
                <w:b/>
                <w:bCs/>
                <w:sz w:val="21"/>
                <w:szCs w:val="21"/>
                <w:u w:val="single"/>
              </w:rPr>
              <w:t>恶臭产气区域喷洒除臭剂，绿化，去除效率可达到70%</w:t>
            </w:r>
          </w:p>
        </w:tc>
        <w:tc>
          <w:tcPr>
            <w:tcW w:w="1277" w:type="dxa"/>
            <w:vAlign w:val="bottom"/>
          </w:tcPr>
          <w:p>
            <w:pPr>
              <w:jc w:val="center"/>
              <w:rPr>
                <w:rFonts w:ascii="Calibri" w:hAnsi="Calibri" w:cs="宋体"/>
                <w:b/>
                <w:bCs/>
                <w:sz w:val="22"/>
                <w:szCs w:val="22"/>
                <w:u w:val="single"/>
              </w:rPr>
            </w:pPr>
            <w:r>
              <w:rPr>
                <w:rFonts w:ascii="Calibri" w:hAnsi="Calibri"/>
                <w:b/>
                <w:bCs/>
                <w:sz w:val="22"/>
                <w:szCs w:val="22"/>
                <w:u w:val="single"/>
              </w:rPr>
              <w:t>0.0051</w:t>
            </w:r>
          </w:p>
        </w:tc>
        <w:tc>
          <w:tcPr>
            <w:tcW w:w="1276" w:type="dxa"/>
            <w:vAlign w:val="bottom"/>
          </w:tcPr>
          <w:p>
            <w:pPr>
              <w:jc w:val="center"/>
              <w:rPr>
                <w:rFonts w:ascii="Calibri" w:hAnsi="Calibri" w:cs="宋体"/>
                <w:b/>
                <w:bCs/>
                <w:sz w:val="22"/>
                <w:szCs w:val="22"/>
                <w:u w:val="single"/>
              </w:rPr>
            </w:pPr>
            <w:r>
              <w:rPr>
                <w:rFonts w:ascii="Calibri" w:hAnsi="Calibri"/>
                <w:b/>
                <w:bCs/>
                <w:sz w:val="22"/>
                <w:szCs w:val="22"/>
                <w:u w:val="single"/>
              </w:rPr>
              <w:t>0.13</w:t>
            </w:r>
            <w:r>
              <w:rPr>
                <w:rFonts w:hint="eastAsia" w:ascii="Calibri" w:hAnsi="Calibri"/>
                <w:b/>
                <w:bCs/>
                <w:sz w:val="22"/>
                <w:szCs w:val="22"/>
                <w:u w:val="singl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649" w:type="dxa"/>
            <w:vAlign w:val="center"/>
          </w:tcPr>
          <w:p>
            <w:pPr>
              <w:pStyle w:val="145"/>
              <w:rPr>
                <w:rFonts w:eastAsia="宋体"/>
                <w:b/>
                <w:bCs/>
                <w:sz w:val="21"/>
                <w:szCs w:val="21"/>
                <w:u w:val="single"/>
              </w:rPr>
            </w:pPr>
            <w:r>
              <w:rPr>
                <w:rFonts w:eastAsia="宋体"/>
                <w:b/>
                <w:bCs/>
                <w:sz w:val="21"/>
                <w:szCs w:val="21"/>
                <w:u w:val="single"/>
              </w:rPr>
              <w:t>沼液暂存池恶臭</w:t>
            </w:r>
          </w:p>
        </w:tc>
        <w:tc>
          <w:tcPr>
            <w:tcW w:w="975" w:type="dxa"/>
            <w:vAlign w:val="bottom"/>
          </w:tcPr>
          <w:p>
            <w:pPr>
              <w:jc w:val="center"/>
              <w:rPr>
                <w:b/>
                <w:bCs/>
                <w:szCs w:val="21"/>
                <w:u w:val="single"/>
              </w:rPr>
            </w:pPr>
            <w:r>
              <w:rPr>
                <w:b/>
                <w:bCs/>
                <w:szCs w:val="21"/>
                <w:u w:val="single"/>
              </w:rPr>
              <w:t>0.0099</w:t>
            </w:r>
          </w:p>
        </w:tc>
        <w:tc>
          <w:tcPr>
            <w:tcW w:w="1056" w:type="dxa"/>
            <w:vAlign w:val="bottom"/>
          </w:tcPr>
          <w:p>
            <w:pPr>
              <w:jc w:val="center"/>
              <w:rPr>
                <w:b/>
                <w:bCs/>
                <w:szCs w:val="21"/>
                <w:u w:val="single"/>
              </w:rPr>
            </w:pPr>
            <w:r>
              <w:rPr>
                <w:b/>
                <w:bCs/>
                <w:szCs w:val="21"/>
                <w:u w:val="single"/>
              </w:rPr>
              <w:t>0.127</w:t>
            </w:r>
          </w:p>
        </w:tc>
        <w:tc>
          <w:tcPr>
            <w:tcW w:w="2555" w:type="dxa"/>
            <w:vMerge w:val="continue"/>
            <w:vAlign w:val="center"/>
          </w:tcPr>
          <w:p>
            <w:pPr>
              <w:pStyle w:val="145"/>
              <w:rPr>
                <w:rFonts w:eastAsia="宋体"/>
                <w:b/>
                <w:bCs/>
                <w:sz w:val="21"/>
                <w:szCs w:val="21"/>
                <w:u w:val="single"/>
              </w:rPr>
            </w:pPr>
          </w:p>
        </w:tc>
        <w:tc>
          <w:tcPr>
            <w:tcW w:w="1277" w:type="dxa"/>
            <w:vAlign w:val="bottom"/>
          </w:tcPr>
          <w:p>
            <w:pPr>
              <w:jc w:val="center"/>
              <w:rPr>
                <w:rFonts w:ascii="Calibri" w:hAnsi="Calibri" w:cs="宋体"/>
                <w:b/>
                <w:bCs/>
                <w:sz w:val="22"/>
                <w:szCs w:val="22"/>
                <w:u w:val="single"/>
              </w:rPr>
            </w:pPr>
            <w:r>
              <w:rPr>
                <w:rFonts w:ascii="Calibri" w:hAnsi="Calibri"/>
                <w:b/>
                <w:bCs/>
                <w:sz w:val="22"/>
                <w:szCs w:val="22"/>
                <w:u w:val="single"/>
              </w:rPr>
              <w:t>0.00297</w:t>
            </w:r>
          </w:p>
        </w:tc>
        <w:tc>
          <w:tcPr>
            <w:tcW w:w="1276" w:type="dxa"/>
            <w:vAlign w:val="bottom"/>
          </w:tcPr>
          <w:p>
            <w:pPr>
              <w:jc w:val="center"/>
              <w:rPr>
                <w:rFonts w:ascii="Calibri" w:hAnsi="Calibri" w:cs="宋体"/>
                <w:b/>
                <w:bCs/>
                <w:sz w:val="22"/>
                <w:szCs w:val="22"/>
                <w:u w:val="single"/>
              </w:rPr>
            </w:pPr>
            <w:r>
              <w:rPr>
                <w:rFonts w:ascii="Calibri" w:hAnsi="Calibri"/>
                <w:b/>
                <w:bCs/>
                <w:sz w:val="22"/>
                <w:szCs w:val="22"/>
                <w:u w:val="single"/>
              </w:rPr>
              <w:t>0.0381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649" w:type="dxa"/>
            <w:vAlign w:val="center"/>
          </w:tcPr>
          <w:p>
            <w:pPr>
              <w:pStyle w:val="145"/>
              <w:rPr>
                <w:rFonts w:eastAsia="宋体"/>
                <w:b/>
                <w:bCs/>
                <w:sz w:val="21"/>
                <w:szCs w:val="21"/>
                <w:u w:val="single"/>
              </w:rPr>
            </w:pPr>
            <w:r>
              <w:rPr>
                <w:rFonts w:eastAsia="宋体"/>
                <w:b/>
                <w:bCs/>
                <w:sz w:val="21"/>
                <w:szCs w:val="21"/>
                <w:u w:val="single"/>
              </w:rPr>
              <w:t>合计</w:t>
            </w:r>
          </w:p>
        </w:tc>
        <w:tc>
          <w:tcPr>
            <w:tcW w:w="975" w:type="dxa"/>
            <w:vAlign w:val="bottom"/>
          </w:tcPr>
          <w:p>
            <w:pPr>
              <w:jc w:val="center"/>
              <w:rPr>
                <w:b/>
                <w:bCs/>
                <w:color w:val="000000"/>
                <w:szCs w:val="21"/>
                <w:u w:val="single"/>
              </w:rPr>
            </w:pPr>
            <w:r>
              <w:rPr>
                <w:b/>
                <w:bCs/>
                <w:color w:val="000000"/>
                <w:szCs w:val="21"/>
                <w:u w:val="single"/>
              </w:rPr>
              <w:t>0.0269</w:t>
            </w:r>
          </w:p>
        </w:tc>
        <w:tc>
          <w:tcPr>
            <w:tcW w:w="1056" w:type="dxa"/>
            <w:vAlign w:val="bottom"/>
          </w:tcPr>
          <w:p>
            <w:pPr>
              <w:jc w:val="center"/>
              <w:rPr>
                <w:b/>
                <w:bCs/>
                <w:color w:val="000000"/>
                <w:szCs w:val="21"/>
                <w:u w:val="single"/>
              </w:rPr>
            </w:pPr>
            <w:r>
              <w:rPr>
                <w:b/>
                <w:bCs/>
                <w:color w:val="000000"/>
                <w:szCs w:val="21"/>
                <w:u w:val="single"/>
              </w:rPr>
              <w:t>0.566</w:t>
            </w:r>
          </w:p>
        </w:tc>
        <w:tc>
          <w:tcPr>
            <w:tcW w:w="2555" w:type="dxa"/>
            <w:vMerge w:val="continue"/>
            <w:vAlign w:val="center"/>
          </w:tcPr>
          <w:p>
            <w:pPr>
              <w:pStyle w:val="145"/>
              <w:rPr>
                <w:rFonts w:eastAsia="宋体"/>
                <w:b/>
                <w:bCs/>
                <w:sz w:val="21"/>
                <w:szCs w:val="21"/>
                <w:u w:val="single"/>
              </w:rPr>
            </w:pPr>
          </w:p>
        </w:tc>
        <w:tc>
          <w:tcPr>
            <w:tcW w:w="1277" w:type="dxa"/>
            <w:vAlign w:val="bottom"/>
          </w:tcPr>
          <w:p>
            <w:pPr>
              <w:jc w:val="center"/>
              <w:rPr>
                <w:rFonts w:ascii="Calibri" w:hAnsi="Calibri" w:cs="宋体"/>
                <w:b/>
                <w:bCs/>
                <w:sz w:val="22"/>
                <w:szCs w:val="22"/>
                <w:u w:val="single"/>
              </w:rPr>
            </w:pPr>
            <w:r>
              <w:rPr>
                <w:rFonts w:ascii="Calibri" w:hAnsi="Calibri"/>
                <w:b/>
                <w:bCs/>
                <w:sz w:val="22"/>
                <w:szCs w:val="22"/>
                <w:u w:val="single"/>
              </w:rPr>
              <w:t>0.00807</w:t>
            </w:r>
          </w:p>
        </w:tc>
        <w:tc>
          <w:tcPr>
            <w:tcW w:w="1276" w:type="dxa"/>
            <w:vAlign w:val="bottom"/>
          </w:tcPr>
          <w:p>
            <w:pPr>
              <w:jc w:val="center"/>
              <w:rPr>
                <w:rFonts w:ascii="Calibri" w:hAnsi="Calibri" w:cs="宋体"/>
                <w:b/>
                <w:bCs/>
                <w:sz w:val="22"/>
                <w:szCs w:val="22"/>
                <w:u w:val="single"/>
              </w:rPr>
            </w:pPr>
            <w:r>
              <w:rPr>
                <w:rFonts w:ascii="Calibri" w:hAnsi="Calibri"/>
                <w:b/>
                <w:bCs/>
                <w:sz w:val="22"/>
                <w:szCs w:val="22"/>
                <w:u w:val="single"/>
              </w:rPr>
              <w:t>0.1698</w:t>
            </w:r>
          </w:p>
        </w:tc>
      </w:tr>
    </w:tbl>
    <w:p>
      <w:pPr>
        <w:spacing w:line="520" w:lineRule="exact"/>
        <w:rPr>
          <w:b/>
          <w:bCs/>
          <w:sz w:val="24"/>
          <w:u w:val="single"/>
        </w:rPr>
      </w:pPr>
      <w:r>
        <w:rPr>
          <w:b/>
          <w:bCs/>
          <w:sz w:val="24"/>
          <w:u w:val="single"/>
        </w:rPr>
        <w:t>D、固粪处置区恶臭</w:t>
      </w:r>
    </w:p>
    <w:p>
      <w:pPr>
        <w:spacing w:line="500" w:lineRule="exact"/>
        <w:ind w:firstLine="482" w:firstLineChars="200"/>
        <w:rPr>
          <w:b/>
          <w:bCs/>
          <w:sz w:val="24"/>
          <w:u w:val="single"/>
        </w:rPr>
      </w:pPr>
      <w:r>
        <w:rPr>
          <w:b/>
          <w:bCs/>
          <w:sz w:val="24"/>
          <w:u w:val="single"/>
        </w:rPr>
        <w:t>项目猪粪经固液分离后清至固粪处置区进行堆肥发酵，沼渣经固液分离后泵至固粪处置区暂存。建设单位拟设置1个固粪处置区（固粪处置区三面设置1m高的围墙、顶部设置彩瓦顶棚、底部地面硬化防渗处理，底部设置渗滤液导流沟，渗滤液经污道进入收集池进行处理）和固粪处置区，在暂存场通过喷洒植物型除臭剂对恶臭气体进行脱臭处理，通过已通过验收的牧原公司实际运营的固粪处置区的H</w:t>
      </w:r>
      <w:r>
        <w:rPr>
          <w:b/>
          <w:bCs/>
          <w:sz w:val="24"/>
          <w:u w:val="single"/>
          <w:vertAlign w:val="subscript"/>
        </w:rPr>
        <w:t>2</w:t>
      </w:r>
      <w:r>
        <w:rPr>
          <w:b/>
          <w:bCs/>
          <w:sz w:val="24"/>
          <w:u w:val="single"/>
        </w:rPr>
        <w:t>S和NH</w:t>
      </w:r>
      <w:r>
        <w:rPr>
          <w:b/>
          <w:bCs/>
          <w:sz w:val="24"/>
          <w:u w:val="single"/>
          <w:vertAlign w:val="subscript"/>
        </w:rPr>
        <w:t>3</w:t>
      </w:r>
      <w:r>
        <w:rPr>
          <w:b/>
          <w:bCs/>
          <w:sz w:val="24"/>
          <w:u w:val="single"/>
        </w:rPr>
        <w:t>的产生速率，其中H</w:t>
      </w:r>
      <w:r>
        <w:rPr>
          <w:b/>
          <w:bCs/>
          <w:sz w:val="24"/>
          <w:u w:val="single"/>
          <w:vertAlign w:val="subscript"/>
        </w:rPr>
        <w:t>2</w:t>
      </w:r>
      <w:r>
        <w:rPr>
          <w:b/>
          <w:bCs/>
          <w:sz w:val="24"/>
          <w:u w:val="single"/>
        </w:rPr>
        <w:t>S产生速率为0.3g/m</w:t>
      </w:r>
      <w:r>
        <w:rPr>
          <w:b/>
          <w:bCs/>
          <w:sz w:val="24"/>
          <w:u w:val="single"/>
          <w:vertAlign w:val="superscript"/>
        </w:rPr>
        <w:t>2</w:t>
      </w:r>
      <w:r>
        <w:rPr>
          <w:b/>
          <w:bCs/>
          <w:sz w:val="24"/>
          <w:u w:val="single"/>
        </w:rPr>
        <w:t>*d，NH</w:t>
      </w:r>
      <w:r>
        <w:rPr>
          <w:b/>
          <w:bCs/>
          <w:sz w:val="24"/>
          <w:u w:val="single"/>
          <w:vertAlign w:val="subscript"/>
        </w:rPr>
        <w:t>3</w:t>
      </w:r>
      <w:r>
        <w:rPr>
          <w:b/>
          <w:bCs/>
          <w:sz w:val="24"/>
          <w:u w:val="single"/>
        </w:rPr>
        <w:t>的产生速率为5g/m</w:t>
      </w:r>
      <w:r>
        <w:rPr>
          <w:b/>
          <w:bCs/>
          <w:sz w:val="24"/>
          <w:u w:val="single"/>
          <w:vertAlign w:val="superscript"/>
        </w:rPr>
        <w:t>2</w:t>
      </w:r>
      <w:r>
        <w:rPr>
          <w:b/>
          <w:bCs/>
          <w:sz w:val="24"/>
          <w:u w:val="single"/>
        </w:rPr>
        <w:t>*d，本项目固粪处置区面积为840m</w:t>
      </w:r>
      <w:r>
        <w:rPr>
          <w:b/>
          <w:bCs/>
          <w:sz w:val="24"/>
          <w:u w:val="single"/>
          <w:vertAlign w:val="superscript"/>
        </w:rPr>
        <w:t>2</w:t>
      </w:r>
      <w:r>
        <w:rPr>
          <w:b/>
          <w:bCs/>
          <w:sz w:val="24"/>
          <w:u w:val="single"/>
        </w:rPr>
        <w:t>，则H</w:t>
      </w:r>
      <w:r>
        <w:rPr>
          <w:b/>
          <w:bCs/>
          <w:sz w:val="24"/>
          <w:u w:val="single"/>
          <w:vertAlign w:val="subscript"/>
        </w:rPr>
        <w:t>2</w:t>
      </w:r>
      <w:r>
        <w:rPr>
          <w:b/>
          <w:bCs/>
          <w:sz w:val="24"/>
          <w:u w:val="single"/>
        </w:rPr>
        <w:t>S的产生量为0.092t/a，NH</w:t>
      </w:r>
      <w:r>
        <w:rPr>
          <w:b/>
          <w:bCs/>
          <w:sz w:val="24"/>
          <w:u w:val="single"/>
          <w:vertAlign w:val="subscript"/>
        </w:rPr>
        <w:t>3</w:t>
      </w:r>
      <w:r>
        <w:rPr>
          <w:b/>
          <w:bCs/>
          <w:sz w:val="24"/>
          <w:u w:val="single"/>
        </w:rPr>
        <w:t>的产生量为1.533t/a。各恶臭气体产排情况结果见表2.3-5。</w:t>
      </w:r>
    </w:p>
    <w:p>
      <w:pPr>
        <w:kinsoku w:val="0"/>
        <w:overflowPunct w:val="0"/>
        <w:spacing w:afterLines="30" w:line="500" w:lineRule="exact"/>
        <w:jc w:val="center"/>
        <w:rPr>
          <w:b/>
          <w:bCs/>
          <w:sz w:val="24"/>
          <w:u w:val="single"/>
        </w:rPr>
      </w:pPr>
      <w:r>
        <w:rPr>
          <w:b/>
          <w:bCs/>
          <w:sz w:val="24"/>
          <w:u w:val="single"/>
        </w:rPr>
        <w:t>表2.3-5    项目养殖过程猪舍恶臭气体产生及排放情况一览表</w:t>
      </w:r>
    </w:p>
    <w:tbl>
      <w:tblPr>
        <w:tblStyle w:val="44"/>
        <w:tblpPr w:leftFromText="180" w:rightFromText="180" w:vertAnchor="text" w:tblpY="1"/>
        <w:tblW w:w="8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84"/>
        <w:gridCol w:w="1121"/>
        <w:gridCol w:w="1571"/>
        <w:gridCol w:w="821"/>
        <w:gridCol w:w="3676"/>
        <w:gridCol w:w="11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trPr>
        <w:tc>
          <w:tcPr>
            <w:tcW w:w="484" w:type="dxa"/>
            <w:vAlign w:val="center"/>
          </w:tcPr>
          <w:p>
            <w:pPr>
              <w:spacing w:line="280" w:lineRule="exact"/>
              <w:jc w:val="center"/>
              <w:rPr>
                <w:b/>
                <w:bCs/>
                <w:snapToGrid w:val="0"/>
                <w:spacing w:val="-4"/>
                <w:szCs w:val="21"/>
                <w:u w:val="single"/>
              </w:rPr>
            </w:pPr>
            <w:r>
              <w:rPr>
                <w:b/>
                <w:bCs/>
                <w:snapToGrid w:val="0"/>
                <w:spacing w:val="-4"/>
                <w:szCs w:val="21"/>
                <w:u w:val="single"/>
              </w:rPr>
              <w:t>序号</w:t>
            </w:r>
          </w:p>
        </w:tc>
        <w:tc>
          <w:tcPr>
            <w:tcW w:w="1121" w:type="dxa"/>
            <w:vAlign w:val="center"/>
          </w:tcPr>
          <w:p>
            <w:pPr>
              <w:spacing w:line="280" w:lineRule="exact"/>
              <w:jc w:val="center"/>
              <w:rPr>
                <w:b/>
                <w:bCs/>
                <w:snapToGrid w:val="0"/>
                <w:spacing w:val="-4"/>
                <w:szCs w:val="21"/>
                <w:u w:val="single"/>
              </w:rPr>
            </w:pPr>
            <w:r>
              <w:rPr>
                <w:b/>
                <w:bCs/>
                <w:snapToGrid w:val="0"/>
                <w:spacing w:val="-4"/>
                <w:szCs w:val="21"/>
                <w:u w:val="single"/>
              </w:rPr>
              <w:t>主要污染物</w:t>
            </w:r>
          </w:p>
        </w:tc>
        <w:tc>
          <w:tcPr>
            <w:tcW w:w="1571" w:type="dxa"/>
            <w:vAlign w:val="center"/>
          </w:tcPr>
          <w:p>
            <w:pPr>
              <w:spacing w:line="280" w:lineRule="exact"/>
              <w:jc w:val="center"/>
              <w:rPr>
                <w:b/>
                <w:bCs/>
                <w:szCs w:val="21"/>
                <w:u w:val="single"/>
              </w:rPr>
            </w:pPr>
            <w:r>
              <w:rPr>
                <w:b/>
                <w:bCs/>
                <w:szCs w:val="21"/>
                <w:u w:val="single"/>
              </w:rPr>
              <w:t>污  染  源</w:t>
            </w:r>
          </w:p>
        </w:tc>
        <w:tc>
          <w:tcPr>
            <w:tcW w:w="821" w:type="dxa"/>
            <w:vAlign w:val="center"/>
          </w:tcPr>
          <w:p>
            <w:pPr>
              <w:spacing w:line="280" w:lineRule="exact"/>
              <w:jc w:val="center"/>
              <w:rPr>
                <w:b/>
                <w:bCs/>
                <w:snapToGrid w:val="0"/>
                <w:spacing w:val="-4"/>
                <w:szCs w:val="21"/>
                <w:u w:val="single"/>
              </w:rPr>
            </w:pPr>
            <w:r>
              <w:rPr>
                <w:b/>
                <w:bCs/>
                <w:snapToGrid w:val="0"/>
                <w:spacing w:val="-4"/>
                <w:szCs w:val="21"/>
                <w:u w:val="single"/>
              </w:rPr>
              <w:t>产生量</w:t>
            </w:r>
          </w:p>
          <w:p>
            <w:pPr>
              <w:spacing w:line="280" w:lineRule="exact"/>
              <w:jc w:val="center"/>
              <w:rPr>
                <w:b/>
                <w:bCs/>
                <w:snapToGrid w:val="0"/>
                <w:spacing w:val="-4"/>
                <w:szCs w:val="21"/>
                <w:u w:val="single"/>
              </w:rPr>
            </w:pPr>
            <w:r>
              <w:rPr>
                <w:b/>
                <w:bCs/>
                <w:snapToGrid w:val="0"/>
                <w:spacing w:val="-4"/>
                <w:szCs w:val="21"/>
                <w:u w:val="single"/>
              </w:rPr>
              <w:t>(t/a)</w:t>
            </w:r>
          </w:p>
        </w:tc>
        <w:tc>
          <w:tcPr>
            <w:tcW w:w="3676" w:type="dxa"/>
            <w:vAlign w:val="center"/>
          </w:tcPr>
          <w:p>
            <w:pPr>
              <w:spacing w:line="280" w:lineRule="exact"/>
              <w:jc w:val="center"/>
              <w:rPr>
                <w:b/>
                <w:bCs/>
                <w:snapToGrid w:val="0"/>
                <w:spacing w:val="-4"/>
                <w:szCs w:val="21"/>
                <w:u w:val="single"/>
              </w:rPr>
            </w:pPr>
            <w:r>
              <w:rPr>
                <w:b/>
                <w:bCs/>
                <w:snapToGrid w:val="0"/>
                <w:spacing w:val="-4"/>
                <w:szCs w:val="21"/>
                <w:u w:val="single"/>
              </w:rPr>
              <w:t>拟处理措施</w:t>
            </w:r>
          </w:p>
        </w:tc>
        <w:tc>
          <w:tcPr>
            <w:tcW w:w="1115" w:type="dxa"/>
            <w:vAlign w:val="center"/>
          </w:tcPr>
          <w:p>
            <w:pPr>
              <w:spacing w:line="280" w:lineRule="exact"/>
              <w:jc w:val="center"/>
              <w:rPr>
                <w:b/>
                <w:bCs/>
                <w:snapToGrid w:val="0"/>
                <w:spacing w:val="-4"/>
                <w:szCs w:val="21"/>
                <w:u w:val="single"/>
              </w:rPr>
            </w:pPr>
            <w:r>
              <w:rPr>
                <w:b/>
                <w:bCs/>
                <w:snapToGrid w:val="0"/>
                <w:spacing w:val="-4"/>
                <w:szCs w:val="21"/>
                <w:u w:val="single"/>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Align w:val="center"/>
          </w:tcPr>
          <w:p>
            <w:pPr>
              <w:spacing w:line="280" w:lineRule="exact"/>
              <w:jc w:val="center"/>
              <w:rPr>
                <w:b/>
                <w:bCs/>
                <w:snapToGrid w:val="0"/>
                <w:spacing w:val="-4"/>
                <w:szCs w:val="21"/>
                <w:u w:val="single"/>
              </w:rPr>
            </w:pPr>
            <w:r>
              <w:rPr>
                <w:b/>
                <w:bCs/>
                <w:snapToGrid w:val="0"/>
                <w:spacing w:val="-4"/>
                <w:szCs w:val="21"/>
                <w:u w:val="single"/>
              </w:rPr>
              <w:t>1</w:t>
            </w:r>
          </w:p>
        </w:tc>
        <w:tc>
          <w:tcPr>
            <w:tcW w:w="1121" w:type="dxa"/>
            <w:vAlign w:val="center"/>
          </w:tcPr>
          <w:p>
            <w:pPr>
              <w:spacing w:line="280" w:lineRule="exact"/>
              <w:jc w:val="center"/>
              <w:rPr>
                <w:b/>
                <w:bCs/>
                <w:snapToGrid w:val="0"/>
                <w:spacing w:val="-4"/>
                <w:szCs w:val="21"/>
                <w:u w:val="single"/>
                <w:vertAlign w:val="subscript"/>
              </w:rPr>
            </w:pPr>
            <w:r>
              <w:rPr>
                <w:b/>
                <w:bCs/>
                <w:snapToGrid w:val="0"/>
                <w:spacing w:val="-4"/>
                <w:szCs w:val="21"/>
                <w:u w:val="single"/>
              </w:rPr>
              <w:t>NH</w:t>
            </w:r>
            <w:r>
              <w:rPr>
                <w:b/>
                <w:bCs/>
                <w:snapToGrid w:val="0"/>
                <w:spacing w:val="-4"/>
                <w:szCs w:val="21"/>
                <w:u w:val="single"/>
                <w:vertAlign w:val="subscript"/>
              </w:rPr>
              <w:t>3</w:t>
            </w:r>
          </w:p>
        </w:tc>
        <w:tc>
          <w:tcPr>
            <w:tcW w:w="1571" w:type="dxa"/>
            <w:vMerge w:val="restart"/>
            <w:vAlign w:val="center"/>
          </w:tcPr>
          <w:p>
            <w:pPr>
              <w:spacing w:line="280" w:lineRule="exact"/>
              <w:jc w:val="center"/>
              <w:rPr>
                <w:b/>
                <w:bCs/>
                <w:szCs w:val="21"/>
                <w:u w:val="single"/>
              </w:rPr>
            </w:pPr>
            <w:r>
              <w:rPr>
                <w:b/>
                <w:bCs/>
                <w:szCs w:val="21"/>
                <w:u w:val="single"/>
              </w:rPr>
              <w:t>猪舍</w:t>
            </w:r>
          </w:p>
        </w:tc>
        <w:tc>
          <w:tcPr>
            <w:tcW w:w="821" w:type="dxa"/>
            <w:vAlign w:val="bottom"/>
          </w:tcPr>
          <w:p>
            <w:pPr>
              <w:jc w:val="center"/>
              <w:rPr>
                <w:rFonts w:ascii="Calibri" w:hAnsi="Calibri" w:cs="宋体"/>
                <w:b/>
                <w:bCs/>
                <w:sz w:val="22"/>
                <w:szCs w:val="22"/>
                <w:u w:val="single"/>
              </w:rPr>
            </w:pPr>
            <w:r>
              <w:rPr>
                <w:rFonts w:ascii="Calibri" w:hAnsi="Calibri"/>
                <w:b/>
                <w:bCs/>
                <w:sz w:val="22"/>
                <w:szCs w:val="22"/>
                <w:u w:val="single"/>
              </w:rPr>
              <w:t>2.677</w:t>
            </w:r>
          </w:p>
        </w:tc>
        <w:tc>
          <w:tcPr>
            <w:tcW w:w="3676" w:type="dxa"/>
            <w:vMerge w:val="restart"/>
            <w:vAlign w:val="center"/>
          </w:tcPr>
          <w:p>
            <w:pPr>
              <w:spacing w:line="280" w:lineRule="exact"/>
              <w:jc w:val="center"/>
              <w:rPr>
                <w:b/>
                <w:bCs/>
                <w:snapToGrid w:val="0"/>
                <w:spacing w:val="-4"/>
                <w:szCs w:val="21"/>
                <w:u w:val="single"/>
              </w:rPr>
            </w:pPr>
            <w:r>
              <w:rPr>
                <w:b/>
                <w:bCs/>
                <w:snapToGrid w:val="0"/>
                <w:spacing w:val="-4"/>
                <w:szCs w:val="21"/>
                <w:u w:val="single"/>
              </w:rPr>
              <w:t>调整日粮结构，喷洒除臭剂，加强通风，去除率可达70%，设施绿化带</w:t>
            </w:r>
          </w:p>
        </w:tc>
        <w:tc>
          <w:tcPr>
            <w:tcW w:w="1115" w:type="dxa"/>
            <w:vAlign w:val="bottom"/>
          </w:tcPr>
          <w:p>
            <w:pPr>
              <w:jc w:val="center"/>
              <w:rPr>
                <w:rFonts w:ascii="Calibri" w:hAnsi="Calibri" w:cs="宋体"/>
                <w:b/>
                <w:bCs/>
                <w:sz w:val="22"/>
                <w:szCs w:val="22"/>
                <w:u w:val="single"/>
              </w:rPr>
            </w:pPr>
            <w:r>
              <w:rPr>
                <w:rFonts w:ascii="Calibri" w:hAnsi="Calibri"/>
                <w:b/>
                <w:bCs/>
                <w:sz w:val="22"/>
                <w:szCs w:val="22"/>
                <w:u w:val="single"/>
              </w:rPr>
              <w:t>0.803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Align w:val="center"/>
          </w:tcPr>
          <w:p>
            <w:pPr>
              <w:spacing w:line="280" w:lineRule="exact"/>
              <w:jc w:val="center"/>
              <w:rPr>
                <w:b/>
                <w:bCs/>
                <w:snapToGrid w:val="0"/>
                <w:spacing w:val="-4"/>
                <w:szCs w:val="21"/>
                <w:u w:val="single"/>
              </w:rPr>
            </w:pPr>
            <w:r>
              <w:rPr>
                <w:b/>
                <w:bCs/>
                <w:snapToGrid w:val="0"/>
                <w:spacing w:val="-4"/>
                <w:szCs w:val="21"/>
                <w:u w:val="single"/>
              </w:rPr>
              <w:t>2</w:t>
            </w:r>
          </w:p>
        </w:tc>
        <w:tc>
          <w:tcPr>
            <w:tcW w:w="1121" w:type="dxa"/>
            <w:vAlign w:val="center"/>
          </w:tcPr>
          <w:p>
            <w:pPr>
              <w:spacing w:line="280" w:lineRule="exact"/>
              <w:jc w:val="center"/>
              <w:rPr>
                <w:b/>
                <w:bCs/>
                <w:snapToGrid w:val="0"/>
                <w:spacing w:val="-4"/>
                <w:szCs w:val="21"/>
                <w:u w:val="single"/>
              </w:rPr>
            </w:pPr>
            <w:r>
              <w:rPr>
                <w:b/>
                <w:bCs/>
                <w:snapToGrid w:val="0"/>
                <w:spacing w:val="-4"/>
                <w:szCs w:val="21"/>
                <w:u w:val="single"/>
              </w:rPr>
              <w:t>H</w:t>
            </w:r>
            <w:r>
              <w:rPr>
                <w:b/>
                <w:bCs/>
                <w:snapToGrid w:val="0"/>
                <w:spacing w:val="-4"/>
                <w:szCs w:val="21"/>
                <w:u w:val="single"/>
                <w:vertAlign w:val="subscript"/>
              </w:rPr>
              <w:t>2</w:t>
            </w:r>
            <w:r>
              <w:rPr>
                <w:b/>
                <w:bCs/>
                <w:snapToGrid w:val="0"/>
                <w:spacing w:val="-4"/>
                <w:szCs w:val="21"/>
                <w:u w:val="single"/>
              </w:rPr>
              <w:t>S</w:t>
            </w:r>
          </w:p>
        </w:tc>
        <w:tc>
          <w:tcPr>
            <w:tcW w:w="1571" w:type="dxa"/>
            <w:vMerge w:val="continue"/>
            <w:vAlign w:val="center"/>
          </w:tcPr>
          <w:p>
            <w:pPr>
              <w:spacing w:line="280" w:lineRule="exact"/>
              <w:jc w:val="center"/>
              <w:rPr>
                <w:b/>
                <w:bCs/>
                <w:szCs w:val="21"/>
                <w:u w:val="single"/>
              </w:rPr>
            </w:pPr>
          </w:p>
        </w:tc>
        <w:tc>
          <w:tcPr>
            <w:tcW w:w="821" w:type="dxa"/>
            <w:vAlign w:val="bottom"/>
          </w:tcPr>
          <w:p>
            <w:pPr>
              <w:jc w:val="center"/>
              <w:rPr>
                <w:rFonts w:ascii="Calibri" w:hAnsi="Calibri" w:cs="宋体"/>
                <w:b/>
                <w:bCs/>
                <w:sz w:val="22"/>
                <w:szCs w:val="22"/>
                <w:u w:val="single"/>
              </w:rPr>
            </w:pPr>
            <w:r>
              <w:rPr>
                <w:rFonts w:ascii="Calibri" w:hAnsi="Calibri"/>
                <w:b/>
                <w:bCs/>
                <w:sz w:val="22"/>
                <w:szCs w:val="22"/>
                <w:u w:val="single"/>
              </w:rPr>
              <w:t>0.228</w:t>
            </w:r>
          </w:p>
        </w:tc>
        <w:tc>
          <w:tcPr>
            <w:tcW w:w="3676" w:type="dxa"/>
            <w:vMerge w:val="continue"/>
            <w:vAlign w:val="center"/>
          </w:tcPr>
          <w:p>
            <w:pPr>
              <w:spacing w:line="280" w:lineRule="exact"/>
              <w:jc w:val="center"/>
              <w:rPr>
                <w:b/>
                <w:bCs/>
                <w:snapToGrid w:val="0"/>
                <w:spacing w:val="-4"/>
                <w:szCs w:val="21"/>
                <w:u w:val="single"/>
              </w:rPr>
            </w:pPr>
          </w:p>
        </w:tc>
        <w:tc>
          <w:tcPr>
            <w:tcW w:w="1115" w:type="dxa"/>
            <w:vAlign w:val="bottom"/>
          </w:tcPr>
          <w:p>
            <w:pPr>
              <w:jc w:val="center"/>
              <w:rPr>
                <w:rFonts w:ascii="Calibri" w:hAnsi="Calibri" w:cs="宋体"/>
                <w:b/>
                <w:bCs/>
                <w:sz w:val="22"/>
                <w:szCs w:val="22"/>
                <w:u w:val="single"/>
              </w:rPr>
            </w:pPr>
            <w:r>
              <w:rPr>
                <w:rFonts w:ascii="Calibri" w:hAnsi="Calibri"/>
                <w:b/>
                <w:bCs/>
                <w:sz w:val="22"/>
                <w:szCs w:val="22"/>
                <w:u w:val="single"/>
              </w:rPr>
              <w:t>0.068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Align w:val="center"/>
          </w:tcPr>
          <w:p>
            <w:pPr>
              <w:spacing w:line="280" w:lineRule="exact"/>
              <w:jc w:val="center"/>
              <w:rPr>
                <w:b/>
                <w:bCs/>
                <w:snapToGrid w:val="0"/>
                <w:spacing w:val="-4"/>
                <w:szCs w:val="21"/>
                <w:u w:val="single"/>
              </w:rPr>
            </w:pPr>
            <w:r>
              <w:rPr>
                <w:b/>
                <w:bCs/>
                <w:snapToGrid w:val="0"/>
                <w:spacing w:val="-4"/>
                <w:szCs w:val="21"/>
                <w:u w:val="single"/>
              </w:rPr>
              <w:t>3</w:t>
            </w:r>
          </w:p>
        </w:tc>
        <w:tc>
          <w:tcPr>
            <w:tcW w:w="1121" w:type="dxa"/>
            <w:vAlign w:val="center"/>
          </w:tcPr>
          <w:p>
            <w:pPr>
              <w:spacing w:line="280" w:lineRule="exact"/>
              <w:jc w:val="center"/>
              <w:rPr>
                <w:b/>
                <w:bCs/>
                <w:snapToGrid w:val="0"/>
                <w:spacing w:val="-4"/>
                <w:szCs w:val="21"/>
                <w:u w:val="single"/>
              </w:rPr>
            </w:pPr>
            <w:r>
              <w:rPr>
                <w:b/>
                <w:bCs/>
                <w:snapToGrid w:val="0"/>
                <w:spacing w:val="-4"/>
                <w:szCs w:val="21"/>
                <w:u w:val="single"/>
              </w:rPr>
              <w:t>NH</w:t>
            </w:r>
            <w:r>
              <w:rPr>
                <w:b/>
                <w:bCs/>
                <w:snapToGrid w:val="0"/>
                <w:spacing w:val="-4"/>
                <w:szCs w:val="21"/>
                <w:u w:val="single"/>
                <w:vertAlign w:val="subscript"/>
              </w:rPr>
              <w:t>3</w:t>
            </w:r>
          </w:p>
        </w:tc>
        <w:tc>
          <w:tcPr>
            <w:tcW w:w="1571" w:type="dxa"/>
            <w:vMerge w:val="restart"/>
            <w:vAlign w:val="center"/>
          </w:tcPr>
          <w:p>
            <w:pPr>
              <w:spacing w:line="280" w:lineRule="exact"/>
              <w:jc w:val="center"/>
              <w:rPr>
                <w:b/>
                <w:bCs/>
                <w:szCs w:val="21"/>
                <w:u w:val="single"/>
              </w:rPr>
            </w:pPr>
            <w:r>
              <w:rPr>
                <w:b/>
                <w:bCs/>
                <w:szCs w:val="21"/>
                <w:u w:val="single"/>
              </w:rPr>
              <w:t>收集池恶臭</w:t>
            </w:r>
          </w:p>
        </w:tc>
        <w:tc>
          <w:tcPr>
            <w:tcW w:w="821" w:type="dxa"/>
            <w:vAlign w:val="bottom"/>
          </w:tcPr>
          <w:p>
            <w:pPr>
              <w:jc w:val="center"/>
              <w:rPr>
                <w:b/>
                <w:bCs/>
                <w:color w:val="000000"/>
                <w:szCs w:val="21"/>
                <w:u w:val="single"/>
              </w:rPr>
            </w:pPr>
            <w:r>
              <w:rPr>
                <w:b/>
                <w:bCs/>
                <w:color w:val="000000"/>
                <w:szCs w:val="21"/>
                <w:u w:val="single"/>
              </w:rPr>
              <w:t>0.439</w:t>
            </w:r>
          </w:p>
        </w:tc>
        <w:tc>
          <w:tcPr>
            <w:tcW w:w="3676" w:type="dxa"/>
            <w:vMerge w:val="restart"/>
            <w:vAlign w:val="center"/>
          </w:tcPr>
          <w:p>
            <w:pPr>
              <w:spacing w:line="280" w:lineRule="exact"/>
              <w:jc w:val="center"/>
              <w:rPr>
                <w:b/>
                <w:bCs/>
                <w:snapToGrid w:val="0"/>
                <w:spacing w:val="-4"/>
                <w:szCs w:val="21"/>
                <w:u w:val="single"/>
              </w:rPr>
            </w:pPr>
            <w:r>
              <w:rPr>
                <w:b/>
                <w:bCs/>
                <w:snapToGrid w:val="0"/>
                <w:spacing w:val="-4"/>
                <w:szCs w:val="21"/>
                <w:u w:val="single"/>
              </w:rPr>
              <w:t>喷洒除臭剂，设置绿化带，去除率可达70%，设施绿化带</w:t>
            </w:r>
          </w:p>
        </w:tc>
        <w:tc>
          <w:tcPr>
            <w:tcW w:w="1115" w:type="dxa"/>
            <w:vAlign w:val="bottom"/>
          </w:tcPr>
          <w:p>
            <w:pPr>
              <w:jc w:val="center"/>
              <w:rPr>
                <w:b/>
                <w:bCs/>
                <w:color w:val="000000"/>
                <w:szCs w:val="21"/>
                <w:u w:val="single"/>
              </w:rPr>
            </w:pPr>
            <w:r>
              <w:rPr>
                <w:b/>
                <w:bCs/>
                <w:color w:val="000000"/>
                <w:szCs w:val="21"/>
                <w:u w:val="single"/>
              </w:rPr>
              <w:t>0.132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Align w:val="center"/>
          </w:tcPr>
          <w:p>
            <w:pPr>
              <w:spacing w:line="280" w:lineRule="exact"/>
              <w:jc w:val="center"/>
              <w:rPr>
                <w:b/>
                <w:bCs/>
                <w:snapToGrid w:val="0"/>
                <w:spacing w:val="-4"/>
                <w:szCs w:val="21"/>
                <w:u w:val="single"/>
              </w:rPr>
            </w:pPr>
            <w:r>
              <w:rPr>
                <w:b/>
                <w:bCs/>
                <w:snapToGrid w:val="0"/>
                <w:spacing w:val="-4"/>
                <w:szCs w:val="21"/>
                <w:u w:val="single"/>
              </w:rPr>
              <w:t>4</w:t>
            </w:r>
          </w:p>
        </w:tc>
        <w:tc>
          <w:tcPr>
            <w:tcW w:w="1121" w:type="dxa"/>
            <w:vAlign w:val="center"/>
          </w:tcPr>
          <w:p>
            <w:pPr>
              <w:spacing w:line="280" w:lineRule="exact"/>
              <w:jc w:val="center"/>
              <w:rPr>
                <w:b/>
                <w:bCs/>
                <w:snapToGrid w:val="0"/>
                <w:spacing w:val="-4"/>
                <w:szCs w:val="21"/>
                <w:u w:val="single"/>
              </w:rPr>
            </w:pPr>
            <w:r>
              <w:rPr>
                <w:b/>
                <w:bCs/>
                <w:snapToGrid w:val="0"/>
                <w:spacing w:val="-4"/>
                <w:szCs w:val="21"/>
                <w:u w:val="single"/>
              </w:rPr>
              <w:t>H</w:t>
            </w:r>
            <w:r>
              <w:rPr>
                <w:b/>
                <w:bCs/>
                <w:snapToGrid w:val="0"/>
                <w:spacing w:val="-4"/>
                <w:szCs w:val="21"/>
                <w:u w:val="single"/>
                <w:vertAlign w:val="subscript"/>
              </w:rPr>
              <w:t>2</w:t>
            </w:r>
            <w:r>
              <w:rPr>
                <w:b/>
                <w:bCs/>
                <w:snapToGrid w:val="0"/>
                <w:spacing w:val="-4"/>
                <w:szCs w:val="21"/>
                <w:u w:val="single"/>
              </w:rPr>
              <w:t>S</w:t>
            </w:r>
          </w:p>
        </w:tc>
        <w:tc>
          <w:tcPr>
            <w:tcW w:w="1571" w:type="dxa"/>
            <w:vMerge w:val="continue"/>
            <w:vAlign w:val="center"/>
          </w:tcPr>
          <w:p>
            <w:pPr>
              <w:spacing w:line="280" w:lineRule="exact"/>
              <w:jc w:val="center"/>
              <w:rPr>
                <w:b/>
                <w:bCs/>
                <w:szCs w:val="21"/>
                <w:u w:val="single"/>
              </w:rPr>
            </w:pPr>
          </w:p>
        </w:tc>
        <w:tc>
          <w:tcPr>
            <w:tcW w:w="821" w:type="dxa"/>
            <w:vAlign w:val="bottom"/>
          </w:tcPr>
          <w:p>
            <w:pPr>
              <w:jc w:val="center"/>
              <w:rPr>
                <w:b/>
                <w:bCs/>
                <w:color w:val="000000"/>
                <w:szCs w:val="21"/>
                <w:u w:val="single"/>
              </w:rPr>
            </w:pPr>
            <w:r>
              <w:rPr>
                <w:b/>
                <w:bCs/>
                <w:color w:val="000000"/>
                <w:szCs w:val="21"/>
                <w:u w:val="single"/>
              </w:rPr>
              <w:t>0.017</w:t>
            </w:r>
          </w:p>
        </w:tc>
        <w:tc>
          <w:tcPr>
            <w:tcW w:w="3676" w:type="dxa"/>
            <w:vMerge w:val="continue"/>
            <w:vAlign w:val="center"/>
          </w:tcPr>
          <w:p>
            <w:pPr>
              <w:spacing w:line="280" w:lineRule="exact"/>
              <w:jc w:val="center"/>
              <w:rPr>
                <w:b/>
                <w:bCs/>
                <w:snapToGrid w:val="0"/>
                <w:color w:val="FF0000"/>
                <w:spacing w:val="-4"/>
                <w:szCs w:val="21"/>
                <w:u w:val="single"/>
              </w:rPr>
            </w:pPr>
          </w:p>
        </w:tc>
        <w:tc>
          <w:tcPr>
            <w:tcW w:w="1115" w:type="dxa"/>
            <w:vAlign w:val="bottom"/>
          </w:tcPr>
          <w:p>
            <w:pPr>
              <w:jc w:val="center"/>
              <w:rPr>
                <w:b/>
                <w:bCs/>
                <w:color w:val="000000"/>
                <w:szCs w:val="21"/>
                <w:u w:val="single"/>
              </w:rPr>
            </w:pPr>
            <w:r>
              <w:rPr>
                <w:b/>
                <w:bCs/>
                <w:color w:val="000000"/>
                <w:szCs w:val="21"/>
                <w:u w:val="single"/>
              </w:rPr>
              <w:t>0.0051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Align w:val="center"/>
          </w:tcPr>
          <w:p>
            <w:pPr>
              <w:spacing w:line="280" w:lineRule="exact"/>
              <w:jc w:val="center"/>
              <w:rPr>
                <w:b/>
                <w:bCs/>
                <w:snapToGrid w:val="0"/>
                <w:spacing w:val="-4"/>
                <w:szCs w:val="21"/>
                <w:u w:val="single"/>
              </w:rPr>
            </w:pPr>
            <w:r>
              <w:rPr>
                <w:b/>
                <w:bCs/>
                <w:snapToGrid w:val="0"/>
                <w:spacing w:val="-4"/>
                <w:szCs w:val="21"/>
                <w:u w:val="single"/>
              </w:rPr>
              <w:t>5</w:t>
            </w:r>
          </w:p>
        </w:tc>
        <w:tc>
          <w:tcPr>
            <w:tcW w:w="1121" w:type="dxa"/>
            <w:vAlign w:val="center"/>
          </w:tcPr>
          <w:p>
            <w:pPr>
              <w:spacing w:line="280" w:lineRule="exact"/>
              <w:jc w:val="center"/>
              <w:rPr>
                <w:b/>
                <w:bCs/>
                <w:snapToGrid w:val="0"/>
                <w:spacing w:val="-4"/>
                <w:szCs w:val="21"/>
                <w:u w:val="single"/>
              </w:rPr>
            </w:pPr>
            <w:r>
              <w:rPr>
                <w:b/>
                <w:bCs/>
                <w:snapToGrid w:val="0"/>
                <w:spacing w:val="-4"/>
                <w:szCs w:val="21"/>
                <w:u w:val="single"/>
              </w:rPr>
              <w:t>NH</w:t>
            </w:r>
            <w:r>
              <w:rPr>
                <w:b/>
                <w:bCs/>
                <w:snapToGrid w:val="0"/>
                <w:spacing w:val="-4"/>
                <w:szCs w:val="21"/>
                <w:u w:val="single"/>
                <w:vertAlign w:val="subscript"/>
              </w:rPr>
              <w:t>3</w:t>
            </w:r>
          </w:p>
        </w:tc>
        <w:tc>
          <w:tcPr>
            <w:tcW w:w="1571" w:type="dxa"/>
            <w:vMerge w:val="restart"/>
            <w:vAlign w:val="center"/>
          </w:tcPr>
          <w:p>
            <w:pPr>
              <w:spacing w:line="280" w:lineRule="exact"/>
              <w:jc w:val="center"/>
              <w:rPr>
                <w:b/>
                <w:bCs/>
                <w:szCs w:val="21"/>
                <w:u w:val="single"/>
              </w:rPr>
            </w:pPr>
            <w:r>
              <w:rPr>
                <w:b/>
                <w:bCs/>
                <w:szCs w:val="21"/>
                <w:u w:val="single"/>
              </w:rPr>
              <w:t>沼液暂存池</w:t>
            </w:r>
          </w:p>
        </w:tc>
        <w:tc>
          <w:tcPr>
            <w:tcW w:w="821" w:type="dxa"/>
            <w:vAlign w:val="bottom"/>
          </w:tcPr>
          <w:p>
            <w:pPr>
              <w:jc w:val="center"/>
              <w:rPr>
                <w:b/>
                <w:bCs/>
                <w:color w:val="000000"/>
                <w:szCs w:val="21"/>
                <w:u w:val="single"/>
              </w:rPr>
            </w:pPr>
            <w:r>
              <w:rPr>
                <w:b/>
                <w:bCs/>
                <w:color w:val="000000"/>
                <w:szCs w:val="21"/>
                <w:u w:val="single"/>
              </w:rPr>
              <w:t>0.127</w:t>
            </w:r>
          </w:p>
        </w:tc>
        <w:tc>
          <w:tcPr>
            <w:tcW w:w="3676" w:type="dxa"/>
            <w:vMerge w:val="continue"/>
            <w:vAlign w:val="center"/>
          </w:tcPr>
          <w:p>
            <w:pPr>
              <w:spacing w:line="280" w:lineRule="exact"/>
              <w:jc w:val="center"/>
              <w:rPr>
                <w:b/>
                <w:bCs/>
                <w:snapToGrid w:val="0"/>
                <w:spacing w:val="-4"/>
                <w:szCs w:val="21"/>
                <w:u w:val="single"/>
              </w:rPr>
            </w:pPr>
          </w:p>
        </w:tc>
        <w:tc>
          <w:tcPr>
            <w:tcW w:w="1115" w:type="dxa"/>
            <w:vAlign w:val="bottom"/>
          </w:tcPr>
          <w:p>
            <w:pPr>
              <w:jc w:val="center"/>
              <w:rPr>
                <w:b/>
                <w:bCs/>
                <w:color w:val="000000"/>
                <w:szCs w:val="21"/>
                <w:u w:val="single"/>
              </w:rPr>
            </w:pPr>
            <w:r>
              <w:rPr>
                <w:b/>
                <w:bCs/>
                <w:color w:val="000000"/>
                <w:szCs w:val="21"/>
                <w:u w:val="single"/>
              </w:rPr>
              <w:t>0.0381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Align w:val="center"/>
          </w:tcPr>
          <w:p>
            <w:pPr>
              <w:spacing w:line="280" w:lineRule="exact"/>
              <w:jc w:val="center"/>
              <w:rPr>
                <w:b/>
                <w:bCs/>
                <w:snapToGrid w:val="0"/>
                <w:spacing w:val="-4"/>
                <w:szCs w:val="21"/>
                <w:u w:val="single"/>
              </w:rPr>
            </w:pPr>
            <w:r>
              <w:rPr>
                <w:b/>
                <w:bCs/>
                <w:snapToGrid w:val="0"/>
                <w:spacing w:val="-4"/>
                <w:szCs w:val="21"/>
                <w:u w:val="single"/>
              </w:rPr>
              <w:t>6</w:t>
            </w:r>
          </w:p>
        </w:tc>
        <w:tc>
          <w:tcPr>
            <w:tcW w:w="1121" w:type="dxa"/>
            <w:vAlign w:val="center"/>
          </w:tcPr>
          <w:p>
            <w:pPr>
              <w:spacing w:line="280" w:lineRule="exact"/>
              <w:jc w:val="center"/>
              <w:rPr>
                <w:b/>
                <w:bCs/>
                <w:snapToGrid w:val="0"/>
                <w:spacing w:val="-4"/>
                <w:szCs w:val="21"/>
                <w:u w:val="single"/>
              </w:rPr>
            </w:pPr>
            <w:r>
              <w:rPr>
                <w:b/>
                <w:bCs/>
                <w:snapToGrid w:val="0"/>
                <w:spacing w:val="-4"/>
                <w:szCs w:val="21"/>
                <w:u w:val="single"/>
              </w:rPr>
              <w:t>H</w:t>
            </w:r>
            <w:r>
              <w:rPr>
                <w:b/>
                <w:bCs/>
                <w:snapToGrid w:val="0"/>
                <w:spacing w:val="-4"/>
                <w:szCs w:val="21"/>
                <w:u w:val="single"/>
                <w:vertAlign w:val="subscript"/>
              </w:rPr>
              <w:t>2</w:t>
            </w:r>
            <w:r>
              <w:rPr>
                <w:b/>
                <w:bCs/>
                <w:snapToGrid w:val="0"/>
                <w:spacing w:val="-4"/>
                <w:szCs w:val="21"/>
                <w:u w:val="single"/>
              </w:rPr>
              <w:t>S</w:t>
            </w:r>
          </w:p>
        </w:tc>
        <w:tc>
          <w:tcPr>
            <w:tcW w:w="1571" w:type="dxa"/>
            <w:vMerge w:val="continue"/>
            <w:vAlign w:val="center"/>
          </w:tcPr>
          <w:p>
            <w:pPr>
              <w:spacing w:line="280" w:lineRule="exact"/>
              <w:jc w:val="center"/>
              <w:rPr>
                <w:b/>
                <w:bCs/>
                <w:szCs w:val="21"/>
                <w:u w:val="single"/>
              </w:rPr>
            </w:pPr>
          </w:p>
        </w:tc>
        <w:tc>
          <w:tcPr>
            <w:tcW w:w="821" w:type="dxa"/>
            <w:vAlign w:val="bottom"/>
          </w:tcPr>
          <w:p>
            <w:pPr>
              <w:jc w:val="center"/>
              <w:rPr>
                <w:b/>
                <w:bCs/>
                <w:color w:val="000000"/>
                <w:szCs w:val="21"/>
                <w:u w:val="single"/>
              </w:rPr>
            </w:pPr>
            <w:r>
              <w:rPr>
                <w:b/>
                <w:bCs/>
                <w:color w:val="000000"/>
                <w:szCs w:val="21"/>
                <w:u w:val="single"/>
              </w:rPr>
              <w:t>0.0099</w:t>
            </w:r>
          </w:p>
        </w:tc>
        <w:tc>
          <w:tcPr>
            <w:tcW w:w="3676" w:type="dxa"/>
            <w:vMerge w:val="continue"/>
            <w:vAlign w:val="center"/>
          </w:tcPr>
          <w:p>
            <w:pPr>
              <w:spacing w:line="280" w:lineRule="exact"/>
              <w:jc w:val="center"/>
              <w:rPr>
                <w:b/>
                <w:bCs/>
                <w:snapToGrid w:val="0"/>
                <w:spacing w:val="-4"/>
                <w:szCs w:val="21"/>
                <w:u w:val="single"/>
              </w:rPr>
            </w:pPr>
          </w:p>
        </w:tc>
        <w:tc>
          <w:tcPr>
            <w:tcW w:w="1115" w:type="dxa"/>
            <w:vAlign w:val="bottom"/>
          </w:tcPr>
          <w:p>
            <w:pPr>
              <w:jc w:val="center"/>
              <w:rPr>
                <w:b/>
                <w:bCs/>
                <w:color w:val="000000"/>
                <w:szCs w:val="21"/>
                <w:u w:val="single"/>
              </w:rPr>
            </w:pPr>
            <w:r>
              <w:rPr>
                <w:b/>
                <w:bCs/>
                <w:color w:val="000000"/>
                <w:szCs w:val="21"/>
                <w:u w:val="single"/>
              </w:rPr>
              <w:t>0.00297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Align w:val="center"/>
          </w:tcPr>
          <w:p>
            <w:pPr>
              <w:spacing w:line="280" w:lineRule="exact"/>
              <w:jc w:val="center"/>
              <w:rPr>
                <w:b/>
                <w:bCs/>
                <w:snapToGrid w:val="0"/>
                <w:spacing w:val="-4"/>
                <w:szCs w:val="21"/>
                <w:u w:val="single"/>
              </w:rPr>
            </w:pPr>
            <w:r>
              <w:rPr>
                <w:b/>
                <w:bCs/>
                <w:snapToGrid w:val="0"/>
                <w:spacing w:val="-4"/>
                <w:szCs w:val="21"/>
                <w:u w:val="single"/>
              </w:rPr>
              <w:t>7</w:t>
            </w:r>
          </w:p>
        </w:tc>
        <w:tc>
          <w:tcPr>
            <w:tcW w:w="1121" w:type="dxa"/>
            <w:vAlign w:val="center"/>
          </w:tcPr>
          <w:p>
            <w:pPr>
              <w:spacing w:line="280" w:lineRule="exact"/>
              <w:jc w:val="center"/>
              <w:rPr>
                <w:b/>
                <w:bCs/>
                <w:snapToGrid w:val="0"/>
                <w:spacing w:val="-4"/>
                <w:szCs w:val="21"/>
                <w:u w:val="single"/>
              </w:rPr>
            </w:pPr>
            <w:r>
              <w:rPr>
                <w:b/>
                <w:bCs/>
                <w:snapToGrid w:val="0"/>
                <w:spacing w:val="-4"/>
                <w:szCs w:val="21"/>
                <w:u w:val="single"/>
              </w:rPr>
              <w:t>NH</w:t>
            </w:r>
            <w:r>
              <w:rPr>
                <w:b/>
                <w:bCs/>
                <w:snapToGrid w:val="0"/>
                <w:spacing w:val="-4"/>
                <w:szCs w:val="21"/>
                <w:u w:val="single"/>
                <w:vertAlign w:val="subscript"/>
              </w:rPr>
              <w:t>3</w:t>
            </w:r>
          </w:p>
        </w:tc>
        <w:tc>
          <w:tcPr>
            <w:tcW w:w="1571" w:type="dxa"/>
            <w:vMerge w:val="restart"/>
            <w:vAlign w:val="center"/>
          </w:tcPr>
          <w:p>
            <w:pPr>
              <w:spacing w:line="280" w:lineRule="exact"/>
              <w:jc w:val="center"/>
              <w:rPr>
                <w:b/>
                <w:bCs/>
                <w:szCs w:val="21"/>
                <w:u w:val="single"/>
              </w:rPr>
            </w:pPr>
            <w:r>
              <w:rPr>
                <w:b/>
                <w:bCs/>
                <w:szCs w:val="21"/>
                <w:u w:val="single"/>
              </w:rPr>
              <w:t>固粪处置区</w:t>
            </w:r>
          </w:p>
        </w:tc>
        <w:tc>
          <w:tcPr>
            <w:tcW w:w="821" w:type="dxa"/>
            <w:vAlign w:val="bottom"/>
          </w:tcPr>
          <w:p>
            <w:pPr>
              <w:jc w:val="center"/>
              <w:rPr>
                <w:b/>
                <w:bCs/>
                <w:color w:val="000000"/>
                <w:szCs w:val="21"/>
                <w:u w:val="single"/>
              </w:rPr>
            </w:pPr>
            <w:r>
              <w:rPr>
                <w:b/>
                <w:bCs/>
                <w:color w:val="000000"/>
                <w:szCs w:val="21"/>
                <w:u w:val="single"/>
              </w:rPr>
              <w:t>1.533</w:t>
            </w:r>
          </w:p>
        </w:tc>
        <w:tc>
          <w:tcPr>
            <w:tcW w:w="3676" w:type="dxa"/>
            <w:vMerge w:val="continue"/>
            <w:vAlign w:val="center"/>
          </w:tcPr>
          <w:p>
            <w:pPr>
              <w:spacing w:line="280" w:lineRule="exact"/>
              <w:jc w:val="center"/>
              <w:rPr>
                <w:b/>
                <w:bCs/>
                <w:snapToGrid w:val="0"/>
                <w:spacing w:val="-4"/>
                <w:szCs w:val="21"/>
                <w:u w:val="single"/>
              </w:rPr>
            </w:pPr>
          </w:p>
        </w:tc>
        <w:tc>
          <w:tcPr>
            <w:tcW w:w="1115" w:type="dxa"/>
            <w:vAlign w:val="bottom"/>
          </w:tcPr>
          <w:p>
            <w:pPr>
              <w:jc w:val="center"/>
              <w:rPr>
                <w:b/>
                <w:bCs/>
                <w:color w:val="000000"/>
                <w:szCs w:val="21"/>
                <w:u w:val="single"/>
              </w:rPr>
            </w:pPr>
            <w:r>
              <w:rPr>
                <w:b/>
                <w:bCs/>
                <w:color w:val="000000"/>
                <w:szCs w:val="21"/>
                <w:u w:val="single"/>
              </w:rPr>
              <w:t>0.4599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Align w:val="center"/>
          </w:tcPr>
          <w:p>
            <w:pPr>
              <w:spacing w:line="280" w:lineRule="exact"/>
              <w:jc w:val="center"/>
              <w:rPr>
                <w:b/>
                <w:bCs/>
                <w:snapToGrid w:val="0"/>
                <w:spacing w:val="-4"/>
                <w:szCs w:val="21"/>
                <w:u w:val="single"/>
              </w:rPr>
            </w:pPr>
            <w:r>
              <w:rPr>
                <w:b/>
                <w:bCs/>
                <w:snapToGrid w:val="0"/>
                <w:spacing w:val="-4"/>
                <w:szCs w:val="21"/>
                <w:u w:val="single"/>
              </w:rPr>
              <w:t>8</w:t>
            </w:r>
          </w:p>
        </w:tc>
        <w:tc>
          <w:tcPr>
            <w:tcW w:w="1121" w:type="dxa"/>
            <w:vAlign w:val="center"/>
          </w:tcPr>
          <w:p>
            <w:pPr>
              <w:spacing w:line="280" w:lineRule="exact"/>
              <w:jc w:val="center"/>
              <w:rPr>
                <w:b/>
                <w:bCs/>
                <w:snapToGrid w:val="0"/>
                <w:spacing w:val="-4"/>
                <w:szCs w:val="21"/>
                <w:u w:val="single"/>
              </w:rPr>
            </w:pPr>
            <w:r>
              <w:rPr>
                <w:b/>
                <w:bCs/>
                <w:snapToGrid w:val="0"/>
                <w:spacing w:val="-4"/>
                <w:szCs w:val="21"/>
                <w:u w:val="single"/>
              </w:rPr>
              <w:t>H</w:t>
            </w:r>
            <w:r>
              <w:rPr>
                <w:b/>
                <w:bCs/>
                <w:snapToGrid w:val="0"/>
                <w:spacing w:val="-4"/>
                <w:szCs w:val="21"/>
                <w:u w:val="single"/>
                <w:vertAlign w:val="subscript"/>
              </w:rPr>
              <w:t>2</w:t>
            </w:r>
            <w:r>
              <w:rPr>
                <w:b/>
                <w:bCs/>
                <w:snapToGrid w:val="0"/>
                <w:spacing w:val="-4"/>
                <w:szCs w:val="21"/>
                <w:u w:val="single"/>
              </w:rPr>
              <w:t>S</w:t>
            </w:r>
          </w:p>
        </w:tc>
        <w:tc>
          <w:tcPr>
            <w:tcW w:w="1571" w:type="dxa"/>
            <w:vMerge w:val="continue"/>
            <w:vAlign w:val="center"/>
          </w:tcPr>
          <w:p>
            <w:pPr>
              <w:spacing w:line="280" w:lineRule="exact"/>
              <w:jc w:val="center"/>
              <w:rPr>
                <w:b/>
                <w:bCs/>
                <w:snapToGrid w:val="0"/>
                <w:spacing w:val="-4"/>
                <w:szCs w:val="21"/>
                <w:u w:val="single"/>
              </w:rPr>
            </w:pPr>
          </w:p>
        </w:tc>
        <w:tc>
          <w:tcPr>
            <w:tcW w:w="821" w:type="dxa"/>
            <w:vAlign w:val="bottom"/>
          </w:tcPr>
          <w:p>
            <w:pPr>
              <w:jc w:val="center"/>
              <w:rPr>
                <w:b/>
                <w:bCs/>
                <w:color w:val="000000"/>
                <w:szCs w:val="21"/>
                <w:u w:val="single"/>
              </w:rPr>
            </w:pPr>
            <w:r>
              <w:rPr>
                <w:b/>
                <w:bCs/>
                <w:color w:val="000000"/>
                <w:szCs w:val="21"/>
                <w:u w:val="single"/>
              </w:rPr>
              <w:t>0.092</w:t>
            </w:r>
          </w:p>
        </w:tc>
        <w:tc>
          <w:tcPr>
            <w:tcW w:w="3676" w:type="dxa"/>
            <w:vMerge w:val="continue"/>
            <w:vAlign w:val="center"/>
          </w:tcPr>
          <w:p>
            <w:pPr>
              <w:spacing w:line="280" w:lineRule="exact"/>
              <w:jc w:val="center"/>
              <w:rPr>
                <w:b/>
                <w:bCs/>
                <w:snapToGrid w:val="0"/>
                <w:spacing w:val="-4"/>
                <w:szCs w:val="21"/>
                <w:u w:val="single"/>
              </w:rPr>
            </w:pPr>
          </w:p>
        </w:tc>
        <w:tc>
          <w:tcPr>
            <w:tcW w:w="1115" w:type="dxa"/>
            <w:vAlign w:val="bottom"/>
          </w:tcPr>
          <w:p>
            <w:pPr>
              <w:jc w:val="center"/>
              <w:rPr>
                <w:b/>
                <w:bCs/>
                <w:color w:val="000000"/>
                <w:szCs w:val="21"/>
                <w:u w:val="single"/>
              </w:rPr>
            </w:pPr>
            <w:r>
              <w:rPr>
                <w:b/>
                <w:bCs/>
                <w:color w:val="000000"/>
                <w:szCs w:val="21"/>
                <w:u w:val="single"/>
              </w:rPr>
              <w:t>0.0276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Merge w:val="restart"/>
            <w:vAlign w:val="center"/>
          </w:tcPr>
          <w:p>
            <w:pPr>
              <w:spacing w:line="280" w:lineRule="exact"/>
              <w:jc w:val="center"/>
              <w:rPr>
                <w:b/>
                <w:bCs/>
                <w:snapToGrid w:val="0"/>
                <w:spacing w:val="-4"/>
                <w:szCs w:val="21"/>
                <w:u w:val="single"/>
              </w:rPr>
            </w:pPr>
            <w:r>
              <w:rPr>
                <w:b/>
                <w:bCs/>
                <w:snapToGrid w:val="0"/>
                <w:spacing w:val="-4"/>
                <w:szCs w:val="21"/>
                <w:u w:val="single"/>
              </w:rPr>
              <w:t>合计</w:t>
            </w:r>
          </w:p>
        </w:tc>
        <w:tc>
          <w:tcPr>
            <w:tcW w:w="1121" w:type="dxa"/>
            <w:vAlign w:val="center"/>
          </w:tcPr>
          <w:p>
            <w:pPr>
              <w:spacing w:line="280" w:lineRule="exact"/>
              <w:jc w:val="center"/>
              <w:rPr>
                <w:b/>
                <w:bCs/>
                <w:snapToGrid w:val="0"/>
                <w:spacing w:val="-4"/>
                <w:szCs w:val="21"/>
                <w:u w:val="single"/>
              </w:rPr>
            </w:pPr>
            <w:r>
              <w:rPr>
                <w:b/>
                <w:bCs/>
                <w:snapToGrid w:val="0"/>
                <w:spacing w:val="-4"/>
                <w:szCs w:val="21"/>
                <w:u w:val="single"/>
              </w:rPr>
              <w:t>NH</w:t>
            </w:r>
            <w:r>
              <w:rPr>
                <w:b/>
                <w:bCs/>
                <w:snapToGrid w:val="0"/>
                <w:spacing w:val="-4"/>
                <w:szCs w:val="21"/>
                <w:u w:val="single"/>
                <w:vertAlign w:val="subscript"/>
              </w:rPr>
              <w:t>3</w:t>
            </w:r>
          </w:p>
        </w:tc>
        <w:tc>
          <w:tcPr>
            <w:tcW w:w="1571" w:type="dxa"/>
            <w:vMerge w:val="restart"/>
            <w:vAlign w:val="center"/>
          </w:tcPr>
          <w:p>
            <w:pPr>
              <w:spacing w:line="280" w:lineRule="exact"/>
              <w:jc w:val="center"/>
              <w:rPr>
                <w:b/>
                <w:bCs/>
                <w:snapToGrid w:val="0"/>
                <w:spacing w:val="-4"/>
                <w:szCs w:val="21"/>
                <w:u w:val="single"/>
              </w:rPr>
            </w:pPr>
            <w:r>
              <w:rPr>
                <w:b/>
                <w:bCs/>
                <w:snapToGrid w:val="0"/>
                <w:spacing w:val="-4"/>
                <w:szCs w:val="21"/>
                <w:u w:val="single"/>
              </w:rPr>
              <w:t>养殖区</w:t>
            </w:r>
          </w:p>
        </w:tc>
        <w:tc>
          <w:tcPr>
            <w:tcW w:w="821" w:type="dxa"/>
            <w:vAlign w:val="bottom"/>
          </w:tcPr>
          <w:p>
            <w:pPr>
              <w:jc w:val="center"/>
              <w:rPr>
                <w:rFonts w:ascii="Calibri" w:hAnsi="Calibri" w:cs="宋体"/>
                <w:b/>
                <w:bCs/>
                <w:sz w:val="22"/>
                <w:szCs w:val="22"/>
                <w:u w:val="single"/>
              </w:rPr>
            </w:pPr>
            <w:r>
              <w:rPr>
                <w:rFonts w:ascii="Calibri" w:hAnsi="Calibri"/>
                <w:b/>
                <w:bCs/>
                <w:sz w:val="22"/>
                <w:szCs w:val="22"/>
                <w:u w:val="single"/>
              </w:rPr>
              <w:t>4.776</w:t>
            </w:r>
          </w:p>
        </w:tc>
        <w:tc>
          <w:tcPr>
            <w:tcW w:w="3676" w:type="dxa"/>
            <w:vMerge w:val="restart"/>
            <w:vAlign w:val="center"/>
          </w:tcPr>
          <w:p>
            <w:pPr>
              <w:spacing w:line="280" w:lineRule="exact"/>
              <w:jc w:val="center"/>
              <w:rPr>
                <w:b/>
                <w:bCs/>
                <w:snapToGrid w:val="0"/>
                <w:spacing w:val="-4"/>
                <w:szCs w:val="21"/>
                <w:u w:val="single"/>
              </w:rPr>
            </w:pPr>
            <w:r>
              <w:rPr>
                <w:b/>
                <w:bCs/>
                <w:snapToGrid w:val="0"/>
                <w:spacing w:val="-4"/>
                <w:szCs w:val="21"/>
                <w:u w:val="single"/>
              </w:rPr>
              <w:t>/</w:t>
            </w:r>
          </w:p>
        </w:tc>
        <w:tc>
          <w:tcPr>
            <w:tcW w:w="1115" w:type="dxa"/>
            <w:vAlign w:val="bottom"/>
          </w:tcPr>
          <w:p>
            <w:pPr>
              <w:jc w:val="center"/>
              <w:rPr>
                <w:rFonts w:ascii="Calibri" w:hAnsi="Calibri" w:cs="宋体"/>
                <w:b/>
                <w:bCs/>
                <w:sz w:val="22"/>
                <w:szCs w:val="22"/>
                <w:u w:val="single"/>
              </w:rPr>
            </w:pPr>
            <w:r>
              <w:rPr>
                <w:rFonts w:ascii="Calibri" w:hAnsi="Calibri"/>
                <w:b/>
                <w:bCs/>
                <w:sz w:val="22"/>
                <w:szCs w:val="22"/>
                <w:u w:val="single"/>
              </w:rPr>
              <w:t>1.433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484" w:type="dxa"/>
            <w:vMerge w:val="continue"/>
            <w:vAlign w:val="center"/>
          </w:tcPr>
          <w:p>
            <w:pPr>
              <w:spacing w:line="280" w:lineRule="exact"/>
              <w:jc w:val="center"/>
              <w:rPr>
                <w:b/>
                <w:bCs/>
                <w:snapToGrid w:val="0"/>
                <w:color w:val="000000"/>
                <w:spacing w:val="-4"/>
                <w:szCs w:val="21"/>
                <w:u w:val="single"/>
              </w:rPr>
            </w:pPr>
          </w:p>
        </w:tc>
        <w:tc>
          <w:tcPr>
            <w:tcW w:w="1121" w:type="dxa"/>
            <w:vAlign w:val="center"/>
          </w:tcPr>
          <w:p>
            <w:pPr>
              <w:spacing w:line="280" w:lineRule="exact"/>
              <w:jc w:val="center"/>
              <w:rPr>
                <w:b/>
                <w:bCs/>
                <w:snapToGrid w:val="0"/>
                <w:color w:val="000000"/>
                <w:spacing w:val="-4"/>
                <w:szCs w:val="21"/>
                <w:u w:val="single"/>
              </w:rPr>
            </w:pPr>
            <w:r>
              <w:rPr>
                <w:b/>
                <w:bCs/>
                <w:snapToGrid w:val="0"/>
                <w:color w:val="000000"/>
                <w:spacing w:val="-4"/>
                <w:szCs w:val="21"/>
                <w:u w:val="single"/>
              </w:rPr>
              <w:t>H</w:t>
            </w:r>
            <w:r>
              <w:rPr>
                <w:b/>
                <w:bCs/>
                <w:snapToGrid w:val="0"/>
                <w:color w:val="000000"/>
                <w:spacing w:val="-4"/>
                <w:szCs w:val="21"/>
                <w:u w:val="single"/>
                <w:vertAlign w:val="subscript"/>
              </w:rPr>
              <w:t>2</w:t>
            </w:r>
            <w:r>
              <w:rPr>
                <w:b/>
                <w:bCs/>
                <w:snapToGrid w:val="0"/>
                <w:color w:val="000000"/>
                <w:spacing w:val="-4"/>
                <w:szCs w:val="21"/>
                <w:u w:val="single"/>
              </w:rPr>
              <w:t>S</w:t>
            </w:r>
          </w:p>
        </w:tc>
        <w:tc>
          <w:tcPr>
            <w:tcW w:w="1571" w:type="dxa"/>
            <w:vMerge w:val="continue"/>
            <w:vAlign w:val="center"/>
          </w:tcPr>
          <w:p>
            <w:pPr>
              <w:spacing w:line="280" w:lineRule="exact"/>
              <w:jc w:val="center"/>
              <w:rPr>
                <w:b/>
                <w:bCs/>
                <w:snapToGrid w:val="0"/>
                <w:color w:val="000000"/>
                <w:spacing w:val="-4"/>
                <w:szCs w:val="21"/>
                <w:u w:val="single"/>
              </w:rPr>
            </w:pPr>
          </w:p>
        </w:tc>
        <w:tc>
          <w:tcPr>
            <w:tcW w:w="821" w:type="dxa"/>
            <w:vAlign w:val="bottom"/>
          </w:tcPr>
          <w:p>
            <w:pPr>
              <w:jc w:val="center"/>
              <w:rPr>
                <w:rFonts w:ascii="Calibri" w:hAnsi="Calibri" w:cs="宋体"/>
                <w:b/>
                <w:bCs/>
                <w:sz w:val="22"/>
                <w:szCs w:val="22"/>
                <w:u w:val="single"/>
              </w:rPr>
            </w:pPr>
            <w:r>
              <w:rPr>
                <w:rFonts w:ascii="Calibri" w:hAnsi="Calibri"/>
                <w:b/>
                <w:bCs/>
                <w:sz w:val="22"/>
                <w:szCs w:val="22"/>
                <w:u w:val="single"/>
              </w:rPr>
              <w:t>0.3469</w:t>
            </w:r>
          </w:p>
        </w:tc>
        <w:tc>
          <w:tcPr>
            <w:tcW w:w="3676" w:type="dxa"/>
            <w:vMerge w:val="continue"/>
            <w:vAlign w:val="center"/>
          </w:tcPr>
          <w:p>
            <w:pPr>
              <w:spacing w:line="280" w:lineRule="exact"/>
              <w:jc w:val="center"/>
              <w:rPr>
                <w:b/>
                <w:bCs/>
                <w:snapToGrid w:val="0"/>
                <w:color w:val="000000"/>
                <w:spacing w:val="-4"/>
                <w:szCs w:val="21"/>
                <w:u w:val="single"/>
              </w:rPr>
            </w:pPr>
          </w:p>
        </w:tc>
        <w:tc>
          <w:tcPr>
            <w:tcW w:w="1115" w:type="dxa"/>
            <w:vAlign w:val="bottom"/>
          </w:tcPr>
          <w:p>
            <w:pPr>
              <w:jc w:val="center"/>
              <w:rPr>
                <w:rFonts w:ascii="Calibri" w:hAnsi="Calibri" w:cs="宋体"/>
                <w:b/>
                <w:bCs/>
                <w:sz w:val="22"/>
                <w:szCs w:val="22"/>
                <w:u w:val="single"/>
              </w:rPr>
            </w:pPr>
            <w:r>
              <w:rPr>
                <w:rFonts w:ascii="Calibri" w:hAnsi="Calibri"/>
                <w:b/>
                <w:bCs/>
                <w:sz w:val="22"/>
                <w:szCs w:val="22"/>
                <w:u w:val="single"/>
              </w:rPr>
              <w:t>0.10367</w:t>
            </w:r>
          </w:p>
        </w:tc>
      </w:tr>
    </w:tbl>
    <w:p>
      <w:pPr>
        <w:spacing w:line="360" w:lineRule="auto"/>
        <w:ind w:firstLine="480" w:firstLineChars="200"/>
        <w:jc w:val="left"/>
        <w:rPr>
          <w:color w:val="000000"/>
          <w:sz w:val="24"/>
        </w:rPr>
      </w:pPr>
      <w:r>
        <w:rPr>
          <w:color w:val="000000"/>
          <w:sz w:val="24"/>
        </w:rPr>
        <w:t>（2）沼气热水炉燃烧废气</w:t>
      </w:r>
    </w:p>
    <w:p>
      <w:pPr>
        <w:pStyle w:val="98"/>
        <w:spacing w:line="520" w:lineRule="exact"/>
        <w:ind w:firstLine="480"/>
        <w:rPr>
          <w:kern w:val="0"/>
          <w:szCs w:val="20"/>
        </w:rPr>
      </w:pPr>
      <w:r>
        <w:rPr>
          <w:kern w:val="0"/>
          <w:szCs w:val="20"/>
        </w:rPr>
        <w:t>沼气是清洁能源，燃烧后主要为CO</w:t>
      </w:r>
      <w:r>
        <w:rPr>
          <w:kern w:val="0"/>
          <w:szCs w:val="20"/>
          <w:vertAlign w:val="subscript"/>
        </w:rPr>
        <w:t>2</w:t>
      </w:r>
      <w:r>
        <w:rPr>
          <w:kern w:val="0"/>
          <w:szCs w:val="20"/>
        </w:rPr>
        <w:t>和H</w:t>
      </w:r>
      <w:r>
        <w:rPr>
          <w:kern w:val="0"/>
          <w:szCs w:val="20"/>
          <w:vertAlign w:val="subscript"/>
        </w:rPr>
        <w:t>2</w:t>
      </w:r>
      <w:r>
        <w:rPr>
          <w:kern w:val="0"/>
          <w:szCs w:val="20"/>
        </w:rPr>
        <w:t>O，但沼气中含有少量的H</w:t>
      </w:r>
      <w:r>
        <w:rPr>
          <w:kern w:val="0"/>
          <w:szCs w:val="20"/>
          <w:vertAlign w:val="subscript"/>
        </w:rPr>
        <w:t>2</w:t>
      </w:r>
      <w:r>
        <w:rPr>
          <w:kern w:val="0"/>
          <w:szCs w:val="20"/>
        </w:rPr>
        <w:t>S成分，H</w:t>
      </w:r>
      <w:r>
        <w:rPr>
          <w:kern w:val="0"/>
          <w:szCs w:val="20"/>
          <w:vertAlign w:val="subscript"/>
        </w:rPr>
        <w:t>2</w:t>
      </w:r>
      <w:r>
        <w:rPr>
          <w:kern w:val="0"/>
          <w:szCs w:val="20"/>
        </w:rPr>
        <w:t>S燃烧会产生一定量的SO</w:t>
      </w:r>
      <w:r>
        <w:rPr>
          <w:kern w:val="0"/>
          <w:szCs w:val="20"/>
          <w:vertAlign w:val="subscript"/>
        </w:rPr>
        <w:t>2</w:t>
      </w:r>
      <w:r>
        <w:rPr>
          <w:kern w:val="0"/>
          <w:szCs w:val="20"/>
        </w:rPr>
        <w:t>，同时沼气燃烧还会产生少量NO</w:t>
      </w:r>
      <w:r>
        <w:rPr>
          <w:kern w:val="0"/>
          <w:szCs w:val="20"/>
          <w:vertAlign w:val="subscript"/>
        </w:rPr>
        <w:t>X</w:t>
      </w:r>
      <w:r>
        <w:rPr>
          <w:kern w:val="0"/>
          <w:szCs w:val="20"/>
        </w:rPr>
        <w:t>。根据王钢主编的《沼气脱硫技术研究》文章（来自《化学工程师》杂志，文章编号：1002-1124（2008）01-0032-03），类比确定项目沼气中H</w:t>
      </w:r>
      <w:r>
        <w:rPr>
          <w:kern w:val="0"/>
          <w:szCs w:val="20"/>
          <w:vertAlign w:val="subscript"/>
        </w:rPr>
        <w:t>2</w:t>
      </w:r>
      <w:r>
        <w:rPr>
          <w:kern w:val="0"/>
          <w:szCs w:val="20"/>
        </w:rPr>
        <w:t>S质量浓度为2g/m</w:t>
      </w:r>
      <w:r>
        <w:rPr>
          <w:kern w:val="0"/>
          <w:szCs w:val="20"/>
          <w:vertAlign w:val="superscript"/>
        </w:rPr>
        <w:t>3</w:t>
      </w:r>
      <w:r>
        <w:rPr>
          <w:kern w:val="0"/>
          <w:szCs w:val="20"/>
        </w:rPr>
        <w:t>，经脱硫设备处理后（脱硫效率为99.2%），沼气中H</w:t>
      </w:r>
      <w:r>
        <w:rPr>
          <w:kern w:val="0"/>
          <w:szCs w:val="20"/>
          <w:vertAlign w:val="subscript"/>
        </w:rPr>
        <w:t>2</w:t>
      </w:r>
      <w:r>
        <w:rPr>
          <w:kern w:val="0"/>
          <w:szCs w:val="20"/>
        </w:rPr>
        <w:t>S含量为16mg/m</w:t>
      </w:r>
      <w:r>
        <w:rPr>
          <w:kern w:val="0"/>
          <w:szCs w:val="20"/>
          <w:vertAlign w:val="superscript"/>
        </w:rPr>
        <w:t>3</w:t>
      </w:r>
      <w:r>
        <w:rPr>
          <w:kern w:val="0"/>
          <w:szCs w:val="20"/>
        </w:rPr>
        <w:t>，能够满足《规模化畜禽养殖场沼气工程设计规范》（NYT1222-2006）中关于沼气净化系统处理后的硫化氢小于20mg/m</w:t>
      </w:r>
      <w:r>
        <w:rPr>
          <w:kern w:val="0"/>
          <w:szCs w:val="20"/>
          <w:vertAlign w:val="superscript"/>
        </w:rPr>
        <w:t>3</w:t>
      </w:r>
      <w:r>
        <w:rPr>
          <w:kern w:val="0"/>
          <w:szCs w:val="20"/>
        </w:rPr>
        <w:t>的要求。</w:t>
      </w:r>
    </w:p>
    <w:p>
      <w:pPr>
        <w:spacing w:line="520" w:lineRule="exact"/>
        <w:ind w:firstLine="480" w:firstLineChars="200"/>
        <w:rPr>
          <w:sz w:val="24"/>
        </w:rPr>
      </w:pPr>
      <w:r>
        <w:rPr>
          <w:sz w:val="24"/>
        </w:rPr>
        <w:t>根据《第一次全国污染源普查工业产排污系数手册》中的产生系数核算（即136259.17m</w:t>
      </w:r>
      <w:r>
        <w:rPr>
          <w:sz w:val="24"/>
          <w:vertAlign w:val="superscript"/>
        </w:rPr>
        <w:t>3</w:t>
      </w:r>
      <w:r>
        <w:rPr>
          <w:sz w:val="24"/>
        </w:rPr>
        <w:t>/万m</w:t>
      </w:r>
      <w:r>
        <w:rPr>
          <w:sz w:val="24"/>
          <w:vertAlign w:val="superscript"/>
        </w:rPr>
        <w:t>3</w:t>
      </w:r>
      <w:r>
        <w:rPr>
          <w:sz w:val="24"/>
        </w:rPr>
        <w:t>-原料），沼气锅炉燃烧产生的烟气量为</w:t>
      </w:r>
      <w:r>
        <w:rPr>
          <w:color w:val="000000"/>
          <w:sz w:val="24"/>
          <w:szCs w:val="22"/>
        </w:rPr>
        <w:t>79659</w:t>
      </w:r>
      <w:r>
        <w:rPr>
          <w:rFonts w:hint="eastAsia"/>
          <w:color w:val="000000"/>
          <w:sz w:val="24"/>
          <w:szCs w:val="22"/>
        </w:rPr>
        <w:t>5</w:t>
      </w:r>
      <w:r>
        <w:rPr>
          <w:sz w:val="24"/>
        </w:rPr>
        <w:t>m</w:t>
      </w:r>
      <w:r>
        <w:rPr>
          <w:sz w:val="24"/>
          <w:vertAlign w:val="superscript"/>
        </w:rPr>
        <w:t>3</w:t>
      </w:r>
      <w:r>
        <w:rPr>
          <w:sz w:val="24"/>
        </w:rPr>
        <w:t>/a。</w:t>
      </w:r>
    </w:p>
    <w:p>
      <w:pPr>
        <w:spacing w:line="500" w:lineRule="exact"/>
        <w:ind w:firstLine="480" w:firstLineChars="200"/>
        <w:rPr>
          <w:sz w:val="24"/>
        </w:rPr>
      </w:pPr>
      <w:r>
        <w:rPr>
          <w:sz w:val="24"/>
        </w:rPr>
        <w:t>沼气锅炉燃烧沼气产生SO</w:t>
      </w:r>
      <w:r>
        <w:rPr>
          <w:sz w:val="24"/>
          <w:vertAlign w:val="subscript"/>
        </w:rPr>
        <w:t>2</w:t>
      </w:r>
      <w:r>
        <w:rPr>
          <w:sz w:val="24"/>
        </w:rPr>
        <w:t>量为58461.75×16×10</w:t>
      </w:r>
      <w:r>
        <w:rPr>
          <w:sz w:val="24"/>
          <w:vertAlign w:val="superscript"/>
        </w:rPr>
        <w:t>-6</w:t>
      </w:r>
      <w:r>
        <w:rPr>
          <w:sz w:val="24"/>
        </w:rPr>
        <w:t>×64÷34=</w:t>
      </w:r>
      <w:r>
        <w:rPr>
          <w:rFonts w:hint="eastAsia"/>
          <w:sz w:val="24"/>
        </w:rPr>
        <w:t>1.76</w:t>
      </w:r>
      <w:r>
        <w:rPr>
          <w:sz w:val="24"/>
        </w:rPr>
        <w:t>kg/a，即0.0018t/a。</w:t>
      </w:r>
    </w:p>
    <w:p>
      <w:pPr>
        <w:spacing w:line="520" w:lineRule="exact"/>
        <w:ind w:firstLine="480" w:firstLineChars="200"/>
        <w:rPr>
          <w:iCs/>
          <w:sz w:val="24"/>
        </w:rPr>
      </w:pPr>
      <w:r>
        <w:rPr>
          <w:sz w:val="24"/>
        </w:rPr>
        <w:t>根据《2006年全国氮氧化物排放统计技术要求》，沼气燃烧过程NO</w:t>
      </w:r>
      <w:r>
        <w:rPr>
          <w:sz w:val="24"/>
          <w:vertAlign w:val="subscript"/>
        </w:rPr>
        <w:t>X</w:t>
      </w:r>
      <w:r>
        <w:rPr>
          <w:sz w:val="24"/>
        </w:rPr>
        <w:t>排放系数为5.0kg/10</w:t>
      </w:r>
      <w:r>
        <w:rPr>
          <w:sz w:val="24"/>
          <w:vertAlign w:val="superscript"/>
        </w:rPr>
        <w:t>8</w:t>
      </w:r>
      <w:r>
        <w:rPr>
          <w:sz w:val="24"/>
        </w:rPr>
        <w:t>kJ，沼气的发热值为21524kJ/m</w:t>
      </w:r>
      <w:r>
        <w:rPr>
          <w:sz w:val="24"/>
          <w:vertAlign w:val="superscript"/>
        </w:rPr>
        <w:t>3</w:t>
      </w:r>
      <w:r>
        <w:rPr>
          <w:sz w:val="24"/>
        </w:rPr>
        <w:t>，则本项目NO</w:t>
      </w:r>
      <w:r>
        <w:rPr>
          <w:sz w:val="24"/>
          <w:vertAlign w:val="subscript"/>
        </w:rPr>
        <w:t>X</w:t>
      </w:r>
      <w:r>
        <w:rPr>
          <w:sz w:val="24"/>
        </w:rPr>
        <w:t>产生量为0.06</w:t>
      </w:r>
      <w:r>
        <w:rPr>
          <w:rFonts w:hint="eastAsia"/>
          <w:sz w:val="24"/>
        </w:rPr>
        <w:t>3</w:t>
      </w:r>
      <w:r>
        <w:rPr>
          <w:sz w:val="24"/>
        </w:rPr>
        <w:t>t/a。</w:t>
      </w:r>
      <w:r>
        <w:rPr>
          <w:color w:val="000000"/>
          <w:sz w:val="24"/>
        </w:rPr>
        <w:t>本项目锅炉采用高效低氮燃烧器+烟气二次燃烧技术。高效低氮燃烧技术它是采用各种燃烧技术手段来控制燃烧过程中NOx的生成，又称低NOx燃烧技术。本项目采用低氮燃烧器进行炉内脱氮，其原理是使一部分燃料作过浓燃烧，另一部分燃料作过淡燃烧，但整体上空气量保持不变。由于两部分都在偏离化学当量比下燃烧，因而NOx都很低，这种燃烧又称为偏离燃烧或非化学当量燃烧。通过特殊设计的燃烧器结构以及通过改变燃烧器的风气比例，降低着火氧的浓度适当降低着火区的温度达到最大限度地抑制NOx生成的目的。该技术在北京地区应用广泛，对NOx减排效率可达到80%以上，本次评价NOx去除效率按80%计。</w:t>
      </w:r>
    </w:p>
    <w:p>
      <w:pPr>
        <w:spacing w:line="520" w:lineRule="exact"/>
        <w:jc w:val="center"/>
        <w:rPr>
          <w:b/>
          <w:sz w:val="24"/>
        </w:rPr>
      </w:pPr>
      <w:r>
        <w:rPr>
          <w:b/>
          <w:sz w:val="24"/>
        </w:rPr>
        <w:t>表2.3-6  沼气锅炉燃烧废气产排情况一览表</w:t>
      </w:r>
    </w:p>
    <w:tbl>
      <w:tblPr>
        <w:tblStyle w:val="44"/>
        <w:tblW w:w="894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64"/>
        <w:gridCol w:w="693"/>
        <w:gridCol w:w="1045"/>
        <w:gridCol w:w="1602"/>
        <w:gridCol w:w="1602"/>
        <w:gridCol w:w="1602"/>
        <w:gridCol w:w="9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39" w:type="dxa"/>
            <w:gridSpan w:val="2"/>
            <w:vAlign w:val="center"/>
          </w:tcPr>
          <w:p>
            <w:pPr>
              <w:jc w:val="center"/>
              <w:rPr>
                <w:b/>
                <w:szCs w:val="21"/>
              </w:rPr>
            </w:pPr>
            <w:r>
              <w:rPr>
                <w:b/>
                <w:szCs w:val="21"/>
              </w:rPr>
              <w:t>沼气用量</w:t>
            </w:r>
          </w:p>
          <w:p>
            <w:pPr>
              <w:jc w:val="center"/>
              <w:rPr>
                <w:b/>
                <w:szCs w:val="21"/>
              </w:rPr>
            </w:pPr>
            <w:r>
              <w:rPr>
                <w:b/>
                <w:szCs w:val="21"/>
              </w:rPr>
              <w:t>(m</w:t>
            </w:r>
            <w:r>
              <w:rPr>
                <w:b/>
                <w:szCs w:val="21"/>
                <w:vertAlign w:val="superscript"/>
              </w:rPr>
              <w:t>3</w:t>
            </w:r>
            <w:r>
              <w:rPr>
                <w:b/>
                <w:szCs w:val="21"/>
              </w:rPr>
              <w:t>/a)</w:t>
            </w:r>
          </w:p>
        </w:tc>
        <w:tc>
          <w:tcPr>
            <w:tcW w:w="693" w:type="dxa"/>
            <w:vAlign w:val="center"/>
          </w:tcPr>
          <w:p>
            <w:pPr>
              <w:jc w:val="center"/>
              <w:rPr>
                <w:b/>
                <w:szCs w:val="21"/>
              </w:rPr>
            </w:pPr>
            <w:r>
              <w:rPr>
                <w:b/>
                <w:szCs w:val="21"/>
              </w:rPr>
              <w:t>污染物名称</w:t>
            </w:r>
          </w:p>
        </w:tc>
        <w:tc>
          <w:tcPr>
            <w:tcW w:w="1045" w:type="dxa"/>
            <w:vAlign w:val="center"/>
          </w:tcPr>
          <w:p>
            <w:pPr>
              <w:jc w:val="center"/>
              <w:rPr>
                <w:b/>
                <w:szCs w:val="21"/>
              </w:rPr>
            </w:pPr>
            <w:r>
              <w:rPr>
                <w:b/>
                <w:szCs w:val="21"/>
              </w:rPr>
              <w:t>烟气量</w:t>
            </w:r>
          </w:p>
          <w:p>
            <w:pPr>
              <w:jc w:val="center"/>
              <w:rPr>
                <w:b/>
                <w:szCs w:val="21"/>
              </w:rPr>
            </w:pPr>
            <w:r>
              <w:rPr>
                <w:b/>
                <w:szCs w:val="21"/>
              </w:rPr>
              <w:t>（m</w:t>
            </w:r>
            <w:r>
              <w:rPr>
                <w:b/>
                <w:szCs w:val="21"/>
                <w:vertAlign w:val="superscript"/>
              </w:rPr>
              <w:t>3</w:t>
            </w:r>
            <w:r>
              <w:rPr>
                <w:b/>
                <w:szCs w:val="21"/>
              </w:rPr>
              <w:t>/a）</w:t>
            </w:r>
          </w:p>
        </w:tc>
        <w:tc>
          <w:tcPr>
            <w:tcW w:w="1602" w:type="dxa"/>
            <w:vAlign w:val="center"/>
          </w:tcPr>
          <w:p>
            <w:pPr>
              <w:jc w:val="center"/>
              <w:rPr>
                <w:b/>
                <w:szCs w:val="21"/>
              </w:rPr>
            </w:pPr>
            <w:r>
              <w:rPr>
                <w:b/>
                <w:szCs w:val="21"/>
              </w:rPr>
              <w:t>产生浓度</w:t>
            </w:r>
          </w:p>
          <w:p>
            <w:pPr>
              <w:jc w:val="center"/>
              <w:rPr>
                <w:b/>
                <w:szCs w:val="21"/>
              </w:rPr>
            </w:pPr>
            <w:r>
              <w:rPr>
                <w:b/>
                <w:szCs w:val="21"/>
              </w:rPr>
              <w:t>（mg/m</w:t>
            </w:r>
            <w:r>
              <w:rPr>
                <w:b/>
                <w:szCs w:val="21"/>
                <w:vertAlign w:val="superscript"/>
              </w:rPr>
              <w:t>3</w:t>
            </w:r>
            <w:r>
              <w:rPr>
                <w:b/>
                <w:szCs w:val="21"/>
              </w:rPr>
              <w:t>）</w:t>
            </w:r>
          </w:p>
        </w:tc>
        <w:tc>
          <w:tcPr>
            <w:tcW w:w="1602" w:type="dxa"/>
            <w:vAlign w:val="center"/>
          </w:tcPr>
          <w:p>
            <w:pPr>
              <w:jc w:val="center"/>
              <w:rPr>
                <w:b/>
                <w:szCs w:val="21"/>
              </w:rPr>
            </w:pPr>
            <w:r>
              <w:rPr>
                <w:b/>
                <w:szCs w:val="21"/>
              </w:rPr>
              <w:t>产生量（t/a）</w:t>
            </w:r>
          </w:p>
        </w:tc>
        <w:tc>
          <w:tcPr>
            <w:tcW w:w="1602" w:type="dxa"/>
            <w:vAlign w:val="center"/>
          </w:tcPr>
          <w:p>
            <w:pPr>
              <w:jc w:val="center"/>
              <w:rPr>
                <w:b/>
                <w:szCs w:val="21"/>
              </w:rPr>
            </w:pPr>
            <w:r>
              <w:rPr>
                <w:b/>
                <w:szCs w:val="21"/>
              </w:rPr>
              <w:t>排放浓度</w:t>
            </w:r>
          </w:p>
          <w:p>
            <w:pPr>
              <w:jc w:val="center"/>
              <w:rPr>
                <w:b/>
                <w:szCs w:val="21"/>
              </w:rPr>
            </w:pPr>
            <w:r>
              <w:rPr>
                <w:b/>
                <w:szCs w:val="21"/>
              </w:rPr>
              <w:t>（mg/m</w:t>
            </w:r>
            <w:r>
              <w:rPr>
                <w:b/>
                <w:szCs w:val="21"/>
                <w:vertAlign w:val="superscript"/>
              </w:rPr>
              <w:t>3</w:t>
            </w:r>
            <w:r>
              <w:rPr>
                <w:b/>
                <w:szCs w:val="21"/>
              </w:rPr>
              <w:t>）</w:t>
            </w:r>
          </w:p>
        </w:tc>
        <w:tc>
          <w:tcPr>
            <w:tcW w:w="965" w:type="dxa"/>
            <w:vAlign w:val="center"/>
          </w:tcPr>
          <w:p>
            <w:pPr>
              <w:jc w:val="center"/>
              <w:rPr>
                <w:b/>
                <w:szCs w:val="21"/>
              </w:rPr>
            </w:pPr>
            <w:r>
              <w:rPr>
                <w:b/>
                <w:szCs w:val="21"/>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restart"/>
            <w:vAlign w:val="center"/>
          </w:tcPr>
          <w:p>
            <w:pPr>
              <w:jc w:val="center"/>
              <w:rPr>
                <w:szCs w:val="21"/>
              </w:rPr>
            </w:pPr>
            <w:r>
              <w:rPr>
                <w:szCs w:val="21"/>
              </w:rPr>
              <w:t>沼气锅炉</w:t>
            </w:r>
          </w:p>
        </w:tc>
        <w:tc>
          <w:tcPr>
            <w:tcW w:w="764" w:type="dxa"/>
            <w:vMerge w:val="restart"/>
            <w:vAlign w:val="center"/>
          </w:tcPr>
          <w:p>
            <w:pPr>
              <w:jc w:val="center"/>
              <w:rPr>
                <w:color w:val="000000"/>
                <w:szCs w:val="21"/>
              </w:rPr>
            </w:pPr>
            <w:r>
              <w:rPr>
                <w:color w:val="000000"/>
                <w:szCs w:val="21"/>
              </w:rPr>
              <w:t>58461.75</w:t>
            </w:r>
          </w:p>
        </w:tc>
        <w:tc>
          <w:tcPr>
            <w:tcW w:w="693" w:type="dxa"/>
            <w:vAlign w:val="center"/>
          </w:tcPr>
          <w:p>
            <w:pPr>
              <w:jc w:val="center"/>
              <w:rPr>
                <w:szCs w:val="21"/>
              </w:rPr>
            </w:pPr>
            <w:r>
              <w:rPr>
                <w:szCs w:val="21"/>
              </w:rPr>
              <w:t>SO</w:t>
            </w:r>
            <w:r>
              <w:rPr>
                <w:szCs w:val="21"/>
                <w:vertAlign w:val="subscript"/>
              </w:rPr>
              <w:t>2</w:t>
            </w:r>
          </w:p>
        </w:tc>
        <w:tc>
          <w:tcPr>
            <w:tcW w:w="1045" w:type="dxa"/>
            <w:vMerge w:val="restart"/>
            <w:vAlign w:val="center"/>
          </w:tcPr>
          <w:p>
            <w:pPr>
              <w:jc w:val="center"/>
              <w:rPr>
                <w:color w:val="000000"/>
                <w:szCs w:val="21"/>
              </w:rPr>
            </w:pPr>
            <w:r>
              <w:rPr>
                <w:szCs w:val="21"/>
              </w:rPr>
              <w:t>796595</w:t>
            </w:r>
          </w:p>
        </w:tc>
        <w:tc>
          <w:tcPr>
            <w:tcW w:w="1602" w:type="dxa"/>
            <w:vAlign w:val="center"/>
          </w:tcPr>
          <w:p>
            <w:pPr>
              <w:jc w:val="center"/>
              <w:rPr>
                <w:szCs w:val="21"/>
              </w:rPr>
            </w:pPr>
            <w:r>
              <w:rPr>
                <w:szCs w:val="21"/>
              </w:rPr>
              <w:t>2.21</w:t>
            </w:r>
          </w:p>
        </w:tc>
        <w:tc>
          <w:tcPr>
            <w:tcW w:w="1602" w:type="dxa"/>
            <w:vAlign w:val="center"/>
          </w:tcPr>
          <w:p>
            <w:pPr>
              <w:jc w:val="center"/>
              <w:rPr>
                <w:szCs w:val="21"/>
              </w:rPr>
            </w:pPr>
            <w:r>
              <w:rPr>
                <w:szCs w:val="21"/>
              </w:rPr>
              <w:t>0.0018</w:t>
            </w:r>
          </w:p>
        </w:tc>
        <w:tc>
          <w:tcPr>
            <w:tcW w:w="1602" w:type="dxa"/>
            <w:vAlign w:val="center"/>
          </w:tcPr>
          <w:p>
            <w:pPr>
              <w:jc w:val="center"/>
              <w:rPr>
                <w:szCs w:val="21"/>
              </w:rPr>
            </w:pPr>
            <w:r>
              <w:rPr>
                <w:szCs w:val="21"/>
              </w:rPr>
              <w:t>2.21</w:t>
            </w:r>
          </w:p>
        </w:tc>
        <w:tc>
          <w:tcPr>
            <w:tcW w:w="965" w:type="dxa"/>
            <w:vAlign w:val="center"/>
          </w:tcPr>
          <w:p>
            <w:pPr>
              <w:jc w:val="center"/>
              <w:rPr>
                <w:szCs w:val="21"/>
              </w:rPr>
            </w:pPr>
            <w:r>
              <w:rPr>
                <w:szCs w:val="21"/>
              </w:rPr>
              <w:t>0.0018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Merge w:val="continue"/>
            <w:vAlign w:val="center"/>
          </w:tcPr>
          <w:p>
            <w:pPr>
              <w:jc w:val="center"/>
              <w:rPr>
                <w:szCs w:val="21"/>
              </w:rPr>
            </w:pPr>
          </w:p>
        </w:tc>
        <w:tc>
          <w:tcPr>
            <w:tcW w:w="764" w:type="dxa"/>
            <w:vMerge w:val="continue"/>
            <w:vAlign w:val="center"/>
          </w:tcPr>
          <w:p>
            <w:pPr>
              <w:jc w:val="center"/>
              <w:rPr>
                <w:szCs w:val="21"/>
              </w:rPr>
            </w:pPr>
          </w:p>
        </w:tc>
        <w:tc>
          <w:tcPr>
            <w:tcW w:w="693" w:type="dxa"/>
            <w:vAlign w:val="center"/>
          </w:tcPr>
          <w:p>
            <w:pPr>
              <w:jc w:val="center"/>
              <w:rPr>
                <w:szCs w:val="21"/>
              </w:rPr>
            </w:pPr>
            <w:r>
              <w:rPr>
                <w:szCs w:val="21"/>
              </w:rPr>
              <w:t>NO</w:t>
            </w:r>
            <w:r>
              <w:rPr>
                <w:szCs w:val="21"/>
                <w:vertAlign w:val="subscript"/>
              </w:rPr>
              <w:t>X</w:t>
            </w:r>
          </w:p>
        </w:tc>
        <w:tc>
          <w:tcPr>
            <w:tcW w:w="1045" w:type="dxa"/>
            <w:vMerge w:val="continue"/>
            <w:vAlign w:val="center"/>
          </w:tcPr>
          <w:p>
            <w:pPr>
              <w:jc w:val="center"/>
              <w:rPr>
                <w:szCs w:val="21"/>
              </w:rPr>
            </w:pPr>
          </w:p>
        </w:tc>
        <w:tc>
          <w:tcPr>
            <w:tcW w:w="1602" w:type="dxa"/>
            <w:vAlign w:val="center"/>
          </w:tcPr>
          <w:p>
            <w:pPr>
              <w:jc w:val="center"/>
              <w:rPr>
                <w:szCs w:val="21"/>
              </w:rPr>
            </w:pPr>
            <w:r>
              <w:rPr>
                <w:szCs w:val="21"/>
              </w:rPr>
              <w:t>78.9</w:t>
            </w:r>
          </w:p>
        </w:tc>
        <w:tc>
          <w:tcPr>
            <w:tcW w:w="1602" w:type="dxa"/>
            <w:vAlign w:val="center"/>
          </w:tcPr>
          <w:p>
            <w:pPr>
              <w:jc w:val="center"/>
              <w:rPr>
                <w:szCs w:val="21"/>
              </w:rPr>
            </w:pPr>
            <w:r>
              <w:rPr>
                <w:szCs w:val="21"/>
              </w:rPr>
              <w:t>0.06</w:t>
            </w:r>
            <w:r>
              <w:rPr>
                <w:rFonts w:hint="eastAsia"/>
                <w:szCs w:val="21"/>
              </w:rPr>
              <w:t>3</w:t>
            </w:r>
          </w:p>
        </w:tc>
        <w:tc>
          <w:tcPr>
            <w:tcW w:w="1602" w:type="dxa"/>
            <w:vAlign w:val="center"/>
          </w:tcPr>
          <w:p>
            <w:pPr>
              <w:jc w:val="center"/>
              <w:rPr>
                <w:szCs w:val="21"/>
              </w:rPr>
            </w:pPr>
            <w:r>
              <w:rPr>
                <w:szCs w:val="21"/>
              </w:rPr>
              <w:t>15.78</w:t>
            </w:r>
          </w:p>
        </w:tc>
        <w:tc>
          <w:tcPr>
            <w:tcW w:w="965" w:type="dxa"/>
            <w:vAlign w:val="center"/>
          </w:tcPr>
          <w:p>
            <w:pPr>
              <w:jc w:val="center"/>
              <w:rPr>
                <w:szCs w:val="21"/>
              </w:rPr>
            </w:pPr>
            <w:r>
              <w:rPr>
                <w:szCs w:val="21"/>
              </w:rPr>
              <w:t>0.013</w:t>
            </w:r>
          </w:p>
        </w:tc>
      </w:tr>
    </w:tbl>
    <w:p>
      <w:pPr>
        <w:spacing w:line="520" w:lineRule="exact"/>
        <w:ind w:firstLine="480" w:firstLineChars="200"/>
        <w:rPr>
          <w:sz w:val="24"/>
        </w:rPr>
      </w:pPr>
      <w:r>
        <w:rPr>
          <w:sz w:val="24"/>
        </w:rPr>
        <w:t>（5）食堂油烟废气源强分析</w:t>
      </w:r>
    </w:p>
    <w:p>
      <w:pPr>
        <w:spacing w:line="520" w:lineRule="exact"/>
        <w:ind w:firstLine="480" w:firstLineChars="200"/>
        <w:rPr>
          <w:color w:val="FF0000"/>
          <w:sz w:val="24"/>
        </w:rPr>
      </w:pPr>
      <w:r>
        <w:rPr>
          <w:sz w:val="24"/>
        </w:rPr>
        <w:t>该项目厨房设灶台1个，使用沼气作为日常餐饮烹饪的能源，厨房在烹饪炒作时将产生厨房油烟废气污染。该项目建成后劳动定员</w:t>
      </w:r>
      <w:r>
        <w:rPr>
          <w:rFonts w:hint="eastAsia"/>
          <w:sz w:val="24"/>
        </w:rPr>
        <w:t>49</w:t>
      </w:r>
      <w:r>
        <w:rPr>
          <w:sz w:val="24"/>
        </w:rPr>
        <w:t>人，食堂每天供应三餐，类比牧原食品股份有限公司其它猪场食堂食用油用量的一般情况，每人每日消耗动植物油以25g/d计，</w:t>
      </w:r>
      <w:r>
        <w:rPr>
          <w:color w:val="000000"/>
          <w:sz w:val="24"/>
        </w:rPr>
        <w:t>年消耗食用油</w:t>
      </w:r>
      <w:r>
        <w:rPr>
          <w:rFonts w:hint="eastAsia"/>
          <w:color w:val="000000"/>
          <w:sz w:val="24"/>
        </w:rPr>
        <w:t>1.23</w:t>
      </w:r>
      <w:r>
        <w:rPr>
          <w:color w:val="000000"/>
          <w:sz w:val="24"/>
        </w:rPr>
        <w:t>kg/d、0.</w:t>
      </w:r>
      <w:r>
        <w:rPr>
          <w:rFonts w:hint="eastAsia"/>
          <w:color w:val="000000"/>
          <w:sz w:val="24"/>
        </w:rPr>
        <w:t>447</w:t>
      </w:r>
      <w:r>
        <w:rPr>
          <w:color w:val="000000"/>
          <w:sz w:val="24"/>
        </w:rPr>
        <w:t>t/a，做饭时挥发损失约3%，则厨房油烟产生量约0.0</w:t>
      </w:r>
      <w:r>
        <w:rPr>
          <w:rFonts w:hint="eastAsia"/>
          <w:color w:val="000000"/>
          <w:sz w:val="24"/>
        </w:rPr>
        <w:t>37</w:t>
      </w:r>
      <w:r>
        <w:rPr>
          <w:color w:val="000000"/>
          <w:sz w:val="24"/>
        </w:rPr>
        <w:t>kg/d、0.01</w:t>
      </w:r>
      <w:r>
        <w:rPr>
          <w:rFonts w:hint="eastAsia"/>
          <w:color w:val="000000"/>
          <w:sz w:val="24"/>
        </w:rPr>
        <w:t>3</w:t>
      </w:r>
      <w:r>
        <w:rPr>
          <w:color w:val="000000"/>
          <w:sz w:val="24"/>
        </w:rPr>
        <w:t>t/a。项目废气量为4500m</w:t>
      </w:r>
      <w:r>
        <w:rPr>
          <w:color w:val="000000"/>
          <w:sz w:val="24"/>
          <w:vertAlign w:val="superscript"/>
        </w:rPr>
        <w:t>3</w:t>
      </w:r>
      <w:r>
        <w:rPr>
          <w:color w:val="000000"/>
          <w:sz w:val="24"/>
        </w:rPr>
        <w:t>/h，每天运行4h，则油烟产生浓度为</w:t>
      </w:r>
      <w:r>
        <w:rPr>
          <w:rFonts w:hint="eastAsia"/>
          <w:color w:val="000000"/>
          <w:sz w:val="24"/>
        </w:rPr>
        <w:t>2</w:t>
      </w:r>
      <w:r>
        <w:rPr>
          <w:color w:val="000000"/>
          <w:sz w:val="24"/>
        </w:rPr>
        <w:t>.0mg/m</w:t>
      </w:r>
      <w:r>
        <w:rPr>
          <w:color w:val="000000"/>
          <w:sz w:val="24"/>
          <w:vertAlign w:val="superscript"/>
        </w:rPr>
        <w:t>3</w:t>
      </w:r>
      <w:r>
        <w:rPr>
          <w:color w:val="000000"/>
          <w:sz w:val="24"/>
        </w:rPr>
        <w:t>，建设单位安装净化效率不低于90%的油烟净化装置，经处理后排放。经计算，处理后餐厅油烟年排放量为0.001</w:t>
      </w:r>
      <w:r>
        <w:rPr>
          <w:rFonts w:hint="eastAsia"/>
          <w:color w:val="000000"/>
          <w:sz w:val="24"/>
        </w:rPr>
        <w:t>3</w:t>
      </w:r>
      <w:r>
        <w:rPr>
          <w:color w:val="000000"/>
          <w:sz w:val="24"/>
        </w:rPr>
        <w:t>t/a，排放浓度为0.</w:t>
      </w:r>
      <w:r>
        <w:rPr>
          <w:rFonts w:hint="eastAsia"/>
          <w:color w:val="000000"/>
          <w:sz w:val="24"/>
        </w:rPr>
        <w:t>2</w:t>
      </w:r>
      <w:r>
        <w:rPr>
          <w:color w:val="000000"/>
          <w:sz w:val="24"/>
        </w:rPr>
        <w:t>mg/m</w:t>
      </w:r>
      <w:r>
        <w:rPr>
          <w:color w:val="000000"/>
          <w:sz w:val="24"/>
          <w:vertAlign w:val="superscript"/>
        </w:rPr>
        <w:t>3</w:t>
      </w:r>
      <w:r>
        <w:rPr>
          <w:color w:val="000000"/>
          <w:sz w:val="24"/>
        </w:rPr>
        <w:t>，能够满足《餐饮业油烟污染物排放标准》(DB41/1604—2018)规定限值油烟1.5 mg/m</w:t>
      </w:r>
      <w:r>
        <w:rPr>
          <w:color w:val="000000"/>
          <w:sz w:val="24"/>
          <w:vertAlign w:val="superscript"/>
        </w:rPr>
        <w:t>3</w:t>
      </w:r>
      <w:r>
        <w:rPr>
          <w:color w:val="000000"/>
          <w:sz w:val="24"/>
        </w:rPr>
        <w:t>要求，实现达标排放。</w:t>
      </w:r>
    </w:p>
    <w:p>
      <w:pPr>
        <w:adjustRightInd w:val="0"/>
        <w:snapToGrid w:val="0"/>
        <w:spacing w:line="360" w:lineRule="auto"/>
        <w:ind w:firstLine="1807" w:firstLineChars="750"/>
        <w:rPr>
          <w:b/>
          <w:color w:val="000000"/>
          <w:sz w:val="24"/>
        </w:rPr>
      </w:pPr>
      <w:r>
        <w:rPr>
          <w:b/>
          <w:color w:val="000000"/>
          <w:sz w:val="24"/>
        </w:rPr>
        <w:t>表</w:t>
      </w:r>
      <w:r>
        <w:rPr>
          <w:b/>
          <w:sz w:val="24"/>
        </w:rPr>
        <w:t>2.3-7</w:t>
      </w:r>
      <w:r>
        <w:rPr>
          <w:b/>
          <w:color w:val="000000"/>
          <w:sz w:val="24"/>
        </w:rPr>
        <w:t xml:space="preserve">          厨房油烟产生与排放情况</w:t>
      </w:r>
    </w:p>
    <w:tbl>
      <w:tblPr>
        <w:tblStyle w:val="44"/>
        <w:tblW w:w="89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911"/>
        <w:gridCol w:w="682"/>
        <w:gridCol w:w="1187"/>
        <w:gridCol w:w="1160"/>
        <w:gridCol w:w="1233"/>
        <w:gridCol w:w="1049"/>
        <w:gridCol w:w="1049"/>
        <w:gridCol w:w="9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81" w:type="dxa"/>
            <w:vAlign w:val="center"/>
          </w:tcPr>
          <w:p>
            <w:pPr>
              <w:snapToGrid w:val="0"/>
              <w:jc w:val="center"/>
              <w:rPr>
                <w:color w:val="000000"/>
                <w:szCs w:val="21"/>
              </w:rPr>
            </w:pPr>
            <w:r>
              <w:rPr>
                <w:color w:val="000000"/>
                <w:szCs w:val="21"/>
              </w:rPr>
              <w:t>污染源</w:t>
            </w:r>
          </w:p>
        </w:tc>
        <w:tc>
          <w:tcPr>
            <w:tcW w:w="911" w:type="dxa"/>
            <w:vAlign w:val="center"/>
          </w:tcPr>
          <w:p>
            <w:pPr>
              <w:snapToGrid w:val="0"/>
              <w:jc w:val="center"/>
              <w:rPr>
                <w:color w:val="000000"/>
                <w:szCs w:val="21"/>
              </w:rPr>
            </w:pPr>
            <w:r>
              <w:rPr>
                <w:color w:val="000000"/>
                <w:szCs w:val="21"/>
              </w:rPr>
              <w:t>用油指标</w:t>
            </w:r>
          </w:p>
          <w:p>
            <w:pPr>
              <w:snapToGrid w:val="0"/>
              <w:jc w:val="center"/>
              <w:rPr>
                <w:color w:val="000000"/>
                <w:szCs w:val="21"/>
              </w:rPr>
            </w:pPr>
            <w:r>
              <w:rPr>
                <w:color w:val="000000"/>
                <w:szCs w:val="21"/>
              </w:rPr>
              <w:t>(g/人·d)</w:t>
            </w:r>
          </w:p>
        </w:tc>
        <w:tc>
          <w:tcPr>
            <w:tcW w:w="682" w:type="dxa"/>
          </w:tcPr>
          <w:p>
            <w:pPr>
              <w:snapToGrid w:val="0"/>
              <w:jc w:val="center"/>
              <w:rPr>
                <w:color w:val="000000"/>
                <w:szCs w:val="21"/>
              </w:rPr>
            </w:pPr>
            <w:r>
              <w:rPr>
                <w:color w:val="000000"/>
                <w:szCs w:val="21"/>
              </w:rPr>
              <w:t>定员</w:t>
            </w:r>
          </w:p>
        </w:tc>
        <w:tc>
          <w:tcPr>
            <w:tcW w:w="1187" w:type="dxa"/>
            <w:vAlign w:val="center"/>
          </w:tcPr>
          <w:p>
            <w:pPr>
              <w:snapToGrid w:val="0"/>
              <w:jc w:val="center"/>
              <w:rPr>
                <w:color w:val="000000"/>
                <w:szCs w:val="21"/>
              </w:rPr>
            </w:pPr>
            <w:r>
              <w:rPr>
                <w:color w:val="000000"/>
                <w:szCs w:val="21"/>
              </w:rPr>
              <w:t>耗油量</w:t>
            </w:r>
          </w:p>
          <w:p>
            <w:pPr>
              <w:snapToGrid w:val="0"/>
              <w:jc w:val="center"/>
              <w:rPr>
                <w:color w:val="000000"/>
                <w:szCs w:val="21"/>
              </w:rPr>
            </w:pPr>
            <w:r>
              <w:rPr>
                <w:color w:val="000000"/>
                <w:szCs w:val="21"/>
              </w:rPr>
              <w:t>(t/a)</w:t>
            </w:r>
          </w:p>
        </w:tc>
        <w:tc>
          <w:tcPr>
            <w:tcW w:w="1160" w:type="dxa"/>
            <w:vAlign w:val="center"/>
          </w:tcPr>
          <w:p>
            <w:pPr>
              <w:snapToGrid w:val="0"/>
              <w:jc w:val="center"/>
              <w:rPr>
                <w:color w:val="000000"/>
                <w:szCs w:val="21"/>
              </w:rPr>
            </w:pPr>
            <w:r>
              <w:rPr>
                <w:color w:val="000000"/>
                <w:szCs w:val="21"/>
              </w:rPr>
              <w:t>油烟挥</w:t>
            </w:r>
          </w:p>
          <w:p>
            <w:pPr>
              <w:snapToGrid w:val="0"/>
              <w:jc w:val="center"/>
              <w:rPr>
                <w:color w:val="000000"/>
                <w:szCs w:val="21"/>
              </w:rPr>
            </w:pPr>
            <w:r>
              <w:rPr>
                <w:color w:val="000000"/>
                <w:szCs w:val="21"/>
              </w:rPr>
              <w:t>发系数</w:t>
            </w:r>
          </w:p>
        </w:tc>
        <w:tc>
          <w:tcPr>
            <w:tcW w:w="1233" w:type="dxa"/>
            <w:vAlign w:val="center"/>
          </w:tcPr>
          <w:p>
            <w:pPr>
              <w:snapToGrid w:val="0"/>
              <w:jc w:val="center"/>
              <w:rPr>
                <w:color w:val="000000"/>
                <w:szCs w:val="21"/>
              </w:rPr>
            </w:pPr>
            <w:r>
              <w:rPr>
                <w:color w:val="000000"/>
                <w:szCs w:val="21"/>
              </w:rPr>
              <w:t>油烟产生量</w:t>
            </w:r>
          </w:p>
          <w:p>
            <w:pPr>
              <w:snapToGrid w:val="0"/>
              <w:jc w:val="center"/>
              <w:rPr>
                <w:color w:val="000000"/>
                <w:szCs w:val="21"/>
              </w:rPr>
            </w:pPr>
            <w:r>
              <w:rPr>
                <w:color w:val="000000"/>
                <w:szCs w:val="21"/>
              </w:rPr>
              <w:t>(t/a)</w:t>
            </w:r>
          </w:p>
        </w:tc>
        <w:tc>
          <w:tcPr>
            <w:tcW w:w="1049" w:type="dxa"/>
          </w:tcPr>
          <w:p>
            <w:pPr>
              <w:snapToGrid w:val="0"/>
              <w:jc w:val="center"/>
              <w:rPr>
                <w:color w:val="000000"/>
                <w:szCs w:val="21"/>
              </w:rPr>
            </w:pPr>
            <w:r>
              <w:rPr>
                <w:color w:val="000000"/>
                <w:szCs w:val="21"/>
              </w:rPr>
              <w:t>产生浓度</w:t>
            </w:r>
          </w:p>
          <w:p>
            <w:pPr>
              <w:snapToGrid w:val="0"/>
              <w:jc w:val="center"/>
              <w:rPr>
                <w:color w:val="000000"/>
                <w:szCs w:val="21"/>
              </w:rPr>
            </w:pPr>
            <w:r>
              <w:rPr>
                <w:color w:val="000000"/>
                <w:szCs w:val="21"/>
              </w:rPr>
              <w:t>(</w:t>
            </w:r>
            <w:r>
              <w:rPr>
                <w:szCs w:val="21"/>
              </w:rPr>
              <w:t>mg/m</w:t>
            </w:r>
            <w:r>
              <w:rPr>
                <w:szCs w:val="21"/>
                <w:vertAlign w:val="superscript"/>
              </w:rPr>
              <w:t>3</w:t>
            </w:r>
            <w:r>
              <w:rPr>
                <w:color w:val="000000"/>
                <w:szCs w:val="21"/>
              </w:rPr>
              <w:t>)</w:t>
            </w:r>
          </w:p>
        </w:tc>
        <w:tc>
          <w:tcPr>
            <w:tcW w:w="1049" w:type="dxa"/>
            <w:vAlign w:val="center"/>
          </w:tcPr>
          <w:p>
            <w:pPr>
              <w:snapToGrid w:val="0"/>
              <w:jc w:val="center"/>
              <w:rPr>
                <w:color w:val="000000"/>
                <w:szCs w:val="21"/>
              </w:rPr>
            </w:pPr>
            <w:r>
              <w:rPr>
                <w:color w:val="000000"/>
                <w:szCs w:val="21"/>
              </w:rPr>
              <w:t>油烟排放量</w:t>
            </w:r>
          </w:p>
          <w:p>
            <w:pPr>
              <w:snapToGrid w:val="0"/>
              <w:jc w:val="center"/>
              <w:rPr>
                <w:color w:val="000000"/>
                <w:szCs w:val="21"/>
              </w:rPr>
            </w:pPr>
            <w:r>
              <w:rPr>
                <w:color w:val="000000"/>
                <w:szCs w:val="21"/>
              </w:rPr>
              <w:t>(t/a)</w:t>
            </w:r>
          </w:p>
        </w:tc>
        <w:tc>
          <w:tcPr>
            <w:tcW w:w="996" w:type="dxa"/>
            <w:vAlign w:val="center"/>
          </w:tcPr>
          <w:p>
            <w:pPr>
              <w:snapToGrid w:val="0"/>
              <w:jc w:val="center"/>
              <w:rPr>
                <w:color w:val="000000"/>
                <w:szCs w:val="21"/>
              </w:rPr>
            </w:pPr>
            <w:r>
              <w:rPr>
                <w:color w:val="000000"/>
                <w:szCs w:val="21"/>
              </w:rPr>
              <w:t>排放浓度</w:t>
            </w:r>
          </w:p>
          <w:p>
            <w:pPr>
              <w:snapToGrid w:val="0"/>
              <w:jc w:val="center"/>
              <w:rPr>
                <w:color w:val="000000"/>
                <w:szCs w:val="21"/>
              </w:rPr>
            </w:pPr>
            <w:r>
              <w:rPr>
                <w:color w:val="000000"/>
                <w:szCs w:val="21"/>
              </w:rPr>
              <w:t>(</w:t>
            </w:r>
            <w:r>
              <w:rPr>
                <w:szCs w:val="21"/>
              </w:rPr>
              <w:t>mg/m</w:t>
            </w:r>
            <w:r>
              <w:rPr>
                <w:szCs w:val="21"/>
                <w:vertAlign w:val="superscript"/>
              </w:rPr>
              <w:t>3</w:t>
            </w:r>
            <w:r>
              <w:rPr>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681" w:type="dxa"/>
            <w:vAlign w:val="center"/>
          </w:tcPr>
          <w:p>
            <w:pPr>
              <w:snapToGrid w:val="0"/>
              <w:jc w:val="center"/>
              <w:rPr>
                <w:color w:val="000000"/>
                <w:szCs w:val="21"/>
              </w:rPr>
            </w:pPr>
            <w:r>
              <w:rPr>
                <w:color w:val="000000"/>
                <w:szCs w:val="21"/>
              </w:rPr>
              <w:t>餐厅</w:t>
            </w:r>
          </w:p>
        </w:tc>
        <w:tc>
          <w:tcPr>
            <w:tcW w:w="911" w:type="dxa"/>
            <w:vAlign w:val="center"/>
          </w:tcPr>
          <w:p>
            <w:pPr>
              <w:snapToGrid w:val="0"/>
              <w:jc w:val="center"/>
              <w:rPr>
                <w:color w:val="000000"/>
                <w:szCs w:val="21"/>
              </w:rPr>
            </w:pPr>
            <w:r>
              <w:rPr>
                <w:color w:val="000000"/>
                <w:szCs w:val="21"/>
              </w:rPr>
              <w:t>25</w:t>
            </w:r>
          </w:p>
        </w:tc>
        <w:tc>
          <w:tcPr>
            <w:tcW w:w="682" w:type="dxa"/>
          </w:tcPr>
          <w:p>
            <w:pPr>
              <w:snapToGrid w:val="0"/>
              <w:jc w:val="center"/>
              <w:rPr>
                <w:color w:val="000000"/>
                <w:szCs w:val="21"/>
              </w:rPr>
            </w:pPr>
            <w:r>
              <w:rPr>
                <w:rFonts w:hint="eastAsia"/>
                <w:color w:val="000000"/>
                <w:szCs w:val="21"/>
              </w:rPr>
              <w:t>49</w:t>
            </w:r>
          </w:p>
        </w:tc>
        <w:tc>
          <w:tcPr>
            <w:tcW w:w="1187" w:type="dxa"/>
            <w:vAlign w:val="center"/>
          </w:tcPr>
          <w:p>
            <w:pPr>
              <w:snapToGrid w:val="0"/>
              <w:jc w:val="center"/>
              <w:rPr>
                <w:color w:val="000000"/>
                <w:szCs w:val="21"/>
              </w:rPr>
            </w:pPr>
            <w:r>
              <w:rPr>
                <w:color w:val="000000"/>
                <w:szCs w:val="21"/>
              </w:rPr>
              <w:t>0.</w:t>
            </w:r>
            <w:r>
              <w:rPr>
                <w:rFonts w:hint="eastAsia"/>
                <w:color w:val="000000"/>
                <w:szCs w:val="21"/>
              </w:rPr>
              <w:t>447</w:t>
            </w:r>
          </w:p>
        </w:tc>
        <w:tc>
          <w:tcPr>
            <w:tcW w:w="1160" w:type="dxa"/>
            <w:vAlign w:val="center"/>
          </w:tcPr>
          <w:p>
            <w:pPr>
              <w:snapToGrid w:val="0"/>
              <w:jc w:val="center"/>
              <w:rPr>
                <w:color w:val="000000"/>
                <w:szCs w:val="21"/>
              </w:rPr>
            </w:pPr>
            <w:r>
              <w:rPr>
                <w:color w:val="000000"/>
                <w:szCs w:val="21"/>
              </w:rPr>
              <w:t>3%</w:t>
            </w:r>
          </w:p>
        </w:tc>
        <w:tc>
          <w:tcPr>
            <w:tcW w:w="1233" w:type="dxa"/>
            <w:vAlign w:val="center"/>
          </w:tcPr>
          <w:p>
            <w:pPr>
              <w:snapToGrid w:val="0"/>
              <w:jc w:val="center"/>
              <w:rPr>
                <w:color w:val="000000"/>
                <w:szCs w:val="21"/>
              </w:rPr>
            </w:pPr>
            <w:r>
              <w:rPr>
                <w:color w:val="000000"/>
                <w:szCs w:val="21"/>
              </w:rPr>
              <w:t>0.0</w:t>
            </w:r>
            <w:r>
              <w:rPr>
                <w:rFonts w:hint="eastAsia"/>
                <w:color w:val="000000"/>
                <w:szCs w:val="21"/>
              </w:rPr>
              <w:t>13</w:t>
            </w:r>
          </w:p>
        </w:tc>
        <w:tc>
          <w:tcPr>
            <w:tcW w:w="1049" w:type="dxa"/>
          </w:tcPr>
          <w:p>
            <w:pPr>
              <w:snapToGrid w:val="0"/>
              <w:jc w:val="center"/>
              <w:rPr>
                <w:color w:val="000000"/>
                <w:szCs w:val="21"/>
              </w:rPr>
            </w:pPr>
            <w:r>
              <w:rPr>
                <w:rFonts w:hint="eastAsia"/>
                <w:szCs w:val="21"/>
              </w:rPr>
              <w:t>2</w:t>
            </w:r>
            <w:r>
              <w:rPr>
                <w:szCs w:val="21"/>
              </w:rPr>
              <w:t>.0</w:t>
            </w:r>
          </w:p>
        </w:tc>
        <w:tc>
          <w:tcPr>
            <w:tcW w:w="1049" w:type="dxa"/>
            <w:vAlign w:val="center"/>
          </w:tcPr>
          <w:p>
            <w:pPr>
              <w:snapToGrid w:val="0"/>
              <w:jc w:val="center"/>
              <w:rPr>
                <w:color w:val="000000"/>
                <w:szCs w:val="21"/>
              </w:rPr>
            </w:pPr>
            <w:r>
              <w:rPr>
                <w:color w:val="000000"/>
                <w:szCs w:val="21"/>
              </w:rPr>
              <w:t>0.001</w:t>
            </w:r>
            <w:r>
              <w:rPr>
                <w:rFonts w:hint="eastAsia"/>
                <w:color w:val="000000"/>
                <w:szCs w:val="21"/>
              </w:rPr>
              <w:t>3</w:t>
            </w:r>
          </w:p>
        </w:tc>
        <w:tc>
          <w:tcPr>
            <w:tcW w:w="996" w:type="dxa"/>
            <w:vAlign w:val="center"/>
          </w:tcPr>
          <w:p>
            <w:pPr>
              <w:snapToGrid w:val="0"/>
              <w:jc w:val="center"/>
              <w:rPr>
                <w:color w:val="000000"/>
                <w:szCs w:val="21"/>
              </w:rPr>
            </w:pPr>
            <w:r>
              <w:rPr>
                <w:color w:val="000000"/>
                <w:szCs w:val="21"/>
              </w:rPr>
              <w:t>0.</w:t>
            </w:r>
            <w:r>
              <w:rPr>
                <w:rFonts w:hint="eastAsia"/>
                <w:color w:val="000000"/>
                <w:szCs w:val="21"/>
              </w:rPr>
              <w:t>2</w:t>
            </w:r>
          </w:p>
        </w:tc>
      </w:tr>
      <w:bookmarkEnd w:id="150"/>
      <w:bookmarkEnd w:id="151"/>
      <w:bookmarkEnd w:id="152"/>
      <w:bookmarkEnd w:id="153"/>
      <w:bookmarkEnd w:id="154"/>
      <w:bookmarkEnd w:id="155"/>
      <w:bookmarkEnd w:id="156"/>
      <w:bookmarkEnd w:id="157"/>
    </w:tbl>
    <w:p>
      <w:pPr>
        <w:snapToGrid w:val="0"/>
        <w:spacing w:line="360" w:lineRule="auto"/>
        <w:ind w:firstLine="480" w:firstLineChars="200"/>
        <w:rPr>
          <w:color w:val="000000"/>
          <w:sz w:val="24"/>
        </w:rPr>
      </w:pPr>
      <w:r>
        <w:rPr>
          <w:color w:val="000000"/>
          <w:sz w:val="24"/>
        </w:rPr>
        <w:t>项目建成后全厂废气污染物产排情况见表2.3-8。</w:t>
      </w:r>
    </w:p>
    <w:p>
      <w:pPr>
        <w:snapToGrid w:val="0"/>
        <w:spacing w:line="360" w:lineRule="auto"/>
        <w:ind w:firstLine="1084" w:firstLineChars="450"/>
        <w:rPr>
          <w:b/>
          <w:color w:val="000000"/>
          <w:sz w:val="24"/>
        </w:rPr>
      </w:pPr>
      <w:r>
        <w:rPr>
          <w:b/>
          <w:color w:val="000000"/>
          <w:sz w:val="24"/>
        </w:rPr>
        <w:t>表</w:t>
      </w:r>
      <w:r>
        <w:rPr>
          <w:b/>
          <w:sz w:val="24"/>
        </w:rPr>
        <w:t>2.3-8</w:t>
      </w:r>
      <w:r>
        <w:rPr>
          <w:b/>
          <w:color w:val="000000"/>
          <w:sz w:val="24"/>
        </w:rPr>
        <w:t xml:space="preserve">        项目建成后全厂废气污染物产排情况一览表</w:t>
      </w:r>
    </w:p>
    <w:tbl>
      <w:tblPr>
        <w:tblStyle w:val="44"/>
        <w:tblW w:w="91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475"/>
        <w:gridCol w:w="1954"/>
        <w:gridCol w:w="1939"/>
        <w:gridCol w:w="2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24" w:type="dxa"/>
            <w:vAlign w:val="center"/>
          </w:tcPr>
          <w:p>
            <w:pPr>
              <w:adjustRightInd w:val="0"/>
              <w:snapToGrid w:val="0"/>
              <w:ind w:left="-53" w:leftChars="-25" w:right="-94" w:rightChars="-45"/>
              <w:jc w:val="center"/>
              <w:rPr>
                <w:rFonts w:ascii="宋体" w:hAnsi="宋体" w:cs="宋体"/>
                <w:color w:val="000000"/>
                <w:szCs w:val="21"/>
              </w:rPr>
            </w:pPr>
            <w:r>
              <w:rPr>
                <w:rFonts w:hint="eastAsia" w:ascii="宋体" w:hAnsi="宋体" w:cs="宋体"/>
                <w:color w:val="000000"/>
                <w:szCs w:val="21"/>
              </w:rPr>
              <w:t>产生部位</w:t>
            </w:r>
          </w:p>
        </w:tc>
        <w:tc>
          <w:tcPr>
            <w:tcW w:w="1475" w:type="dxa"/>
            <w:vAlign w:val="center"/>
          </w:tcPr>
          <w:p>
            <w:pPr>
              <w:adjustRightInd w:val="0"/>
              <w:snapToGrid w:val="0"/>
              <w:ind w:left="-53" w:leftChars="-25" w:right="-94" w:rightChars="-45"/>
              <w:jc w:val="center"/>
              <w:rPr>
                <w:rFonts w:ascii="宋体" w:hAnsi="宋体" w:cs="宋体"/>
                <w:color w:val="000000"/>
                <w:szCs w:val="21"/>
              </w:rPr>
            </w:pPr>
            <w:r>
              <w:rPr>
                <w:rFonts w:hint="eastAsia" w:ascii="宋体" w:hAnsi="宋体" w:cs="宋体"/>
                <w:color w:val="000000"/>
                <w:szCs w:val="21"/>
              </w:rPr>
              <w:t>主要污染物</w:t>
            </w:r>
          </w:p>
        </w:tc>
        <w:tc>
          <w:tcPr>
            <w:tcW w:w="1954" w:type="dxa"/>
            <w:vAlign w:val="center"/>
          </w:tcPr>
          <w:p>
            <w:pPr>
              <w:adjustRightInd w:val="0"/>
              <w:snapToGrid w:val="0"/>
              <w:ind w:left="-53" w:leftChars="-25" w:right="-94" w:rightChars="-45"/>
              <w:jc w:val="center"/>
              <w:rPr>
                <w:rFonts w:ascii="宋体" w:hAnsi="宋体" w:cs="宋体"/>
                <w:color w:val="000000"/>
                <w:szCs w:val="21"/>
              </w:rPr>
            </w:pPr>
            <w:r>
              <w:rPr>
                <w:rFonts w:hint="eastAsia" w:ascii="宋体" w:hAnsi="宋体" w:cs="宋体"/>
                <w:color w:val="000000"/>
                <w:szCs w:val="21"/>
              </w:rPr>
              <w:t>产生量</w:t>
            </w:r>
          </w:p>
        </w:tc>
        <w:tc>
          <w:tcPr>
            <w:tcW w:w="1939" w:type="dxa"/>
            <w:vAlign w:val="center"/>
          </w:tcPr>
          <w:p>
            <w:pPr>
              <w:adjustRightInd w:val="0"/>
              <w:snapToGrid w:val="0"/>
              <w:ind w:left="-53" w:leftChars="-25" w:right="-94" w:rightChars="-45"/>
              <w:jc w:val="center"/>
              <w:rPr>
                <w:rFonts w:ascii="宋体" w:hAnsi="宋体" w:cs="宋体"/>
                <w:color w:val="000000"/>
                <w:szCs w:val="21"/>
              </w:rPr>
            </w:pPr>
            <w:r>
              <w:rPr>
                <w:rFonts w:hint="eastAsia" w:ascii="宋体" w:hAnsi="宋体" w:cs="宋体"/>
                <w:color w:val="000000"/>
                <w:szCs w:val="21"/>
              </w:rPr>
              <w:t>削减量</w:t>
            </w:r>
          </w:p>
        </w:tc>
        <w:tc>
          <w:tcPr>
            <w:tcW w:w="2339" w:type="dxa"/>
            <w:vAlign w:val="center"/>
          </w:tcPr>
          <w:p>
            <w:pPr>
              <w:adjustRightInd w:val="0"/>
              <w:snapToGrid w:val="0"/>
              <w:ind w:left="-53" w:leftChars="-25" w:right="-94" w:rightChars="-45"/>
              <w:jc w:val="center"/>
              <w:rPr>
                <w:rFonts w:ascii="宋体" w:hAnsi="宋体" w:cs="宋体"/>
                <w:color w:val="000000"/>
                <w:szCs w:val="21"/>
              </w:rPr>
            </w:pPr>
            <w:r>
              <w:rPr>
                <w:rFonts w:hint="eastAsia" w:ascii="宋体" w:hAnsi="宋体" w:cs="宋体"/>
                <w:color w:val="000000"/>
                <w:szCs w:val="21"/>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24" w:type="dxa"/>
            <w:vMerge w:val="restart"/>
            <w:vAlign w:val="center"/>
          </w:tcPr>
          <w:p>
            <w:pPr>
              <w:adjustRightInd w:val="0"/>
              <w:snapToGrid w:val="0"/>
              <w:ind w:left="-53" w:leftChars="-25" w:right="-94" w:rightChars="-45"/>
              <w:jc w:val="center"/>
              <w:rPr>
                <w:rFonts w:ascii="宋体" w:hAnsi="宋体" w:cs="宋体"/>
                <w:color w:val="000000"/>
                <w:szCs w:val="21"/>
              </w:rPr>
            </w:pPr>
            <w:r>
              <w:rPr>
                <w:rFonts w:hint="eastAsia" w:ascii="宋体" w:hAnsi="宋体" w:cs="宋体"/>
                <w:color w:val="000000"/>
                <w:szCs w:val="21"/>
              </w:rPr>
              <w:t>养殖区无组织废气</w:t>
            </w:r>
          </w:p>
        </w:tc>
        <w:tc>
          <w:tcPr>
            <w:tcW w:w="1475" w:type="dxa"/>
            <w:vAlign w:val="center"/>
          </w:tcPr>
          <w:p>
            <w:pPr>
              <w:snapToGrid w:val="0"/>
              <w:ind w:left="-53" w:leftChars="-25" w:right="-94" w:rightChars="-45"/>
              <w:jc w:val="center"/>
              <w:rPr>
                <w:rFonts w:ascii="宋体" w:hAnsi="宋体" w:cs="宋体"/>
                <w:color w:val="000000"/>
                <w:szCs w:val="21"/>
              </w:rPr>
            </w:pPr>
            <w:r>
              <w:rPr>
                <w:rFonts w:hint="eastAsia" w:ascii="宋体" w:hAnsi="宋体" w:cs="宋体"/>
                <w:snapToGrid w:val="0"/>
                <w:spacing w:val="-4"/>
                <w:szCs w:val="21"/>
              </w:rPr>
              <w:t>NH</w:t>
            </w:r>
            <w:r>
              <w:rPr>
                <w:rFonts w:hint="eastAsia" w:ascii="宋体" w:hAnsi="宋体" w:cs="宋体"/>
                <w:snapToGrid w:val="0"/>
                <w:spacing w:val="-4"/>
                <w:szCs w:val="21"/>
                <w:vertAlign w:val="subscript"/>
              </w:rPr>
              <w:t>3</w:t>
            </w:r>
            <w:r>
              <w:rPr>
                <w:rFonts w:hint="eastAsia" w:ascii="宋体" w:hAnsi="宋体" w:cs="宋体"/>
                <w:color w:val="000000"/>
                <w:szCs w:val="21"/>
              </w:rPr>
              <w:t xml:space="preserve"> (t/a)</w:t>
            </w:r>
          </w:p>
        </w:tc>
        <w:tc>
          <w:tcPr>
            <w:tcW w:w="1954" w:type="dxa"/>
            <w:vAlign w:val="bottom"/>
          </w:tcPr>
          <w:p>
            <w:pPr>
              <w:jc w:val="center"/>
              <w:rPr>
                <w:rFonts w:ascii="宋体" w:hAnsi="宋体" w:cs="宋体"/>
                <w:szCs w:val="21"/>
              </w:rPr>
            </w:pPr>
            <w:r>
              <w:rPr>
                <w:rFonts w:hint="eastAsia" w:ascii="宋体" w:hAnsi="宋体" w:cs="宋体"/>
                <w:szCs w:val="21"/>
              </w:rPr>
              <w:t>4.776</w:t>
            </w:r>
          </w:p>
        </w:tc>
        <w:tc>
          <w:tcPr>
            <w:tcW w:w="1939" w:type="dxa"/>
            <w:vAlign w:val="bottom"/>
          </w:tcPr>
          <w:p>
            <w:pPr>
              <w:jc w:val="center"/>
              <w:rPr>
                <w:rFonts w:ascii="宋体" w:hAnsi="宋体" w:cs="宋体"/>
                <w:szCs w:val="21"/>
              </w:rPr>
            </w:pPr>
            <w:r>
              <w:rPr>
                <w:rFonts w:hint="eastAsia" w:ascii="宋体" w:hAnsi="宋体" w:cs="宋体"/>
                <w:szCs w:val="21"/>
              </w:rPr>
              <w:t>3.343</w:t>
            </w:r>
          </w:p>
        </w:tc>
        <w:tc>
          <w:tcPr>
            <w:tcW w:w="2339" w:type="dxa"/>
            <w:vAlign w:val="bottom"/>
          </w:tcPr>
          <w:p>
            <w:pPr>
              <w:jc w:val="center"/>
              <w:rPr>
                <w:rFonts w:ascii="宋体" w:hAnsi="宋体" w:cs="宋体"/>
                <w:szCs w:val="21"/>
              </w:rPr>
            </w:pPr>
            <w:r>
              <w:rPr>
                <w:rFonts w:hint="eastAsia" w:ascii="宋体" w:hAnsi="宋体" w:cs="宋体"/>
                <w:szCs w:val="21"/>
              </w:rPr>
              <w:t>1.433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424" w:type="dxa"/>
            <w:vMerge w:val="continue"/>
            <w:vAlign w:val="center"/>
          </w:tcPr>
          <w:p>
            <w:pPr>
              <w:jc w:val="center"/>
              <w:rPr>
                <w:rFonts w:ascii="宋体" w:hAnsi="宋体" w:cs="宋体"/>
                <w:color w:val="000000"/>
                <w:szCs w:val="21"/>
              </w:rPr>
            </w:pPr>
          </w:p>
        </w:tc>
        <w:tc>
          <w:tcPr>
            <w:tcW w:w="1475" w:type="dxa"/>
            <w:vAlign w:val="center"/>
          </w:tcPr>
          <w:p>
            <w:pPr>
              <w:snapToGrid w:val="0"/>
              <w:ind w:left="-53" w:leftChars="-25" w:right="-94" w:rightChars="-45"/>
              <w:jc w:val="center"/>
              <w:rPr>
                <w:rFonts w:ascii="宋体" w:hAnsi="宋体" w:cs="宋体"/>
                <w:color w:val="000000"/>
                <w:szCs w:val="21"/>
              </w:rPr>
            </w:pPr>
            <w:r>
              <w:rPr>
                <w:rFonts w:hint="eastAsia" w:ascii="宋体" w:hAnsi="宋体" w:cs="宋体"/>
                <w:snapToGrid w:val="0"/>
                <w:spacing w:val="-4"/>
                <w:szCs w:val="21"/>
              </w:rPr>
              <w:t>H</w:t>
            </w:r>
            <w:r>
              <w:rPr>
                <w:rFonts w:hint="eastAsia" w:ascii="宋体" w:hAnsi="宋体" w:cs="宋体"/>
                <w:snapToGrid w:val="0"/>
                <w:spacing w:val="-4"/>
                <w:szCs w:val="21"/>
                <w:vertAlign w:val="subscript"/>
              </w:rPr>
              <w:t>2</w:t>
            </w:r>
            <w:r>
              <w:rPr>
                <w:rFonts w:hint="eastAsia" w:ascii="宋体" w:hAnsi="宋体" w:cs="宋体"/>
                <w:snapToGrid w:val="0"/>
                <w:spacing w:val="-4"/>
                <w:szCs w:val="21"/>
              </w:rPr>
              <w:t>S</w:t>
            </w:r>
            <w:r>
              <w:rPr>
                <w:rFonts w:hint="eastAsia" w:ascii="宋体" w:hAnsi="宋体" w:cs="宋体"/>
                <w:color w:val="000000"/>
                <w:szCs w:val="21"/>
              </w:rPr>
              <w:t xml:space="preserve"> (t/a)</w:t>
            </w:r>
          </w:p>
        </w:tc>
        <w:tc>
          <w:tcPr>
            <w:tcW w:w="1954" w:type="dxa"/>
            <w:vAlign w:val="bottom"/>
          </w:tcPr>
          <w:p>
            <w:pPr>
              <w:jc w:val="center"/>
              <w:rPr>
                <w:rFonts w:ascii="宋体" w:hAnsi="宋体" w:cs="宋体"/>
                <w:szCs w:val="21"/>
              </w:rPr>
            </w:pPr>
            <w:r>
              <w:rPr>
                <w:rFonts w:hint="eastAsia" w:ascii="宋体" w:hAnsi="宋体" w:cs="宋体"/>
                <w:szCs w:val="21"/>
              </w:rPr>
              <w:t>0.3469</w:t>
            </w:r>
          </w:p>
        </w:tc>
        <w:tc>
          <w:tcPr>
            <w:tcW w:w="1939" w:type="dxa"/>
            <w:vAlign w:val="bottom"/>
          </w:tcPr>
          <w:p>
            <w:pPr>
              <w:jc w:val="center"/>
              <w:rPr>
                <w:rFonts w:ascii="宋体" w:hAnsi="宋体" w:cs="宋体"/>
                <w:szCs w:val="21"/>
              </w:rPr>
            </w:pPr>
            <w:r>
              <w:rPr>
                <w:rFonts w:hint="eastAsia" w:ascii="宋体" w:hAnsi="宋体" w:cs="宋体"/>
                <w:szCs w:val="21"/>
              </w:rPr>
              <w:t>0.24323</w:t>
            </w:r>
          </w:p>
        </w:tc>
        <w:tc>
          <w:tcPr>
            <w:tcW w:w="2339" w:type="dxa"/>
            <w:vAlign w:val="bottom"/>
          </w:tcPr>
          <w:p>
            <w:pPr>
              <w:jc w:val="center"/>
              <w:rPr>
                <w:rFonts w:ascii="宋体" w:hAnsi="宋体" w:cs="宋体"/>
                <w:szCs w:val="21"/>
              </w:rPr>
            </w:pPr>
            <w:r>
              <w:rPr>
                <w:rFonts w:hint="eastAsia" w:ascii="宋体" w:hAnsi="宋体" w:cs="宋体"/>
                <w:szCs w:val="21"/>
              </w:rPr>
              <w:t>0.10367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24" w:type="dxa"/>
            <w:vMerge w:val="restart"/>
            <w:vAlign w:val="center"/>
          </w:tcPr>
          <w:p>
            <w:pPr>
              <w:jc w:val="center"/>
              <w:rPr>
                <w:rFonts w:ascii="宋体" w:hAnsi="宋体" w:cs="宋体"/>
                <w:color w:val="000000"/>
                <w:szCs w:val="21"/>
              </w:rPr>
            </w:pPr>
            <w:r>
              <w:rPr>
                <w:rFonts w:hint="eastAsia" w:ascii="宋体" w:hAnsi="宋体" w:cs="宋体"/>
                <w:color w:val="000000"/>
                <w:szCs w:val="21"/>
              </w:rPr>
              <w:t>沼气燃烧</w:t>
            </w:r>
          </w:p>
        </w:tc>
        <w:tc>
          <w:tcPr>
            <w:tcW w:w="1475" w:type="dxa"/>
            <w:vAlign w:val="center"/>
          </w:tcPr>
          <w:p>
            <w:pPr>
              <w:snapToGrid w:val="0"/>
              <w:ind w:left="-53" w:leftChars="-25" w:right="-94" w:rightChars="-45"/>
              <w:jc w:val="center"/>
              <w:rPr>
                <w:rFonts w:ascii="宋体" w:hAnsi="宋体" w:cs="宋体"/>
                <w:color w:val="000000"/>
                <w:szCs w:val="21"/>
              </w:rPr>
            </w:pPr>
            <w:r>
              <w:rPr>
                <w:rFonts w:hint="eastAsia" w:ascii="宋体" w:hAnsi="宋体" w:cs="宋体"/>
                <w:color w:val="000000"/>
                <w:szCs w:val="21"/>
              </w:rPr>
              <w:t>废气量(</w:t>
            </w:r>
            <w:r>
              <w:rPr>
                <w:rFonts w:hint="eastAsia" w:ascii="宋体" w:hAnsi="宋体" w:cs="宋体"/>
                <w:color w:val="000000"/>
                <w:kern w:val="0"/>
                <w:szCs w:val="21"/>
              </w:rPr>
              <w:t>m</w:t>
            </w:r>
            <w:r>
              <w:rPr>
                <w:rFonts w:hint="eastAsia" w:ascii="宋体" w:hAnsi="宋体" w:cs="宋体"/>
                <w:color w:val="000000"/>
                <w:kern w:val="0"/>
                <w:szCs w:val="21"/>
                <w:vertAlign w:val="superscript"/>
              </w:rPr>
              <w:t>3</w:t>
            </w:r>
            <w:r>
              <w:rPr>
                <w:rFonts w:hint="eastAsia" w:ascii="宋体" w:hAnsi="宋体" w:cs="宋体"/>
                <w:color w:val="000000"/>
                <w:kern w:val="0"/>
                <w:szCs w:val="21"/>
              </w:rPr>
              <w:t>/a</w:t>
            </w:r>
            <w:r>
              <w:rPr>
                <w:rFonts w:hint="eastAsia" w:ascii="宋体" w:hAnsi="宋体" w:cs="宋体"/>
                <w:color w:val="000000"/>
                <w:szCs w:val="21"/>
              </w:rPr>
              <w:t>)</w:t>
            </w:r>
          </w:p>
        </w:tc>
        <w:tc>
          <w:tcPr>
            <w:tcW w:w="1954" w:type="dxa"/>
            <w:vAlign w:val="center"/>
          </w:tcPr>
          <w:p>
            <w:pPr>
              <w:jc w:val="center"/>
              <w:rPr>
                <w:rFonts w:ascii="宋体" w:hAnsi="宋体" w:cs="宋体"/>
                <w:color w:val="000000"/>
                <w:szCs w:val="21"/>
              </w:rPr>
            </w:pPr>
            <w:r>
              <w:rPr>
                <w:rFonts w:hint="eastAsia" w:ascii="宋体" w:hAnsi="宋体" w:cs="宋体"/>
                <w:szCs w:val="21"/>
              </w:rPr>
              <w:t>796595</w:t>
            </w:r>
          </w:p>
        </w:tc>
        <w:tc>
          <w:tcPr>
            <w:tcW w:w="1939" w:type="dxa"/>
            <w:vAlign w:val="center"/>
          </w:tcPr>
          <w:p>
            <w:pPr>
              <w:jc w:val="center"/>
              <w:rPr>
                <w:rFonts w:ascii="宋体" w:hAnsi="宋体" w:cs="宋体"/>
                <w:color w:val="000000"/>
                <w:szCs w:val="21"/>
              </w:rPr>
            </w:pPr>
            <w:r>
              <w:rPr>
                <w:rFonts w:hint="eastAsia" w:ascii="宋体" w:hAnsi="宋体" w:cs="宋体"/>
                <w:color w:val="000000"/>
                <w:szCs w:val="21"/>
              </w:rPr>
              <w:t>/</w:t>
            </w:r>
          </w:p>
        </w:tc>
        <w:tc>
          <w:tcPr>
            <w:tcW w:w="2339" w:type="dxa"/>
            <w:vAlign w:val="center"/>
          </w:tcPr>
          <w:p>
            <w:pPr>
              <w:jc w:val="center"/>
              <w:rPr>
                <w:rFonts w:ascii="宋体" w:hAnsi="宋体" w:cs="宋体"/>
                <w:color w:val="000000"/>
                <w:szCs w:val="21"/>
              </w:rPr>
            </w:pPr>
            <w:r>
              <w:rPr>
                <w:rFonts w:hint="eastAsia" w:ascii="宋体" w:hAnsi="宋体" w:cs="宋体"/>
                <w:color w:val="000000"/>
                <w:szCs w:val="21"/>
              </w:rPr>
              <w:t>796595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424" w:type="dxa"/>
            <w:vMerge w:val="continue"/>
            <w:vAlign w:val="center"/>
          </w:tcPr>
          <w:p>
            <w:pPr>
              <w:jc w:val="center"/>
              <w:rPr>
                <w:rFonts w:ascii="宋体" w:hAnsi="宋体" w:cs="宋体"/>
                <w:color w:val="000000"/>
                <w:szCs w:val="21"/>
              </w:rPr>
            </w:pPr>
          </w:p>
        </w:tc>
        <w:tc>
          <w:tcPr>
            <w:tcW w:w="1475" w:type="dxa"/>
            <w:vAlign w:val="center"/>
          </w:tcPr>
          <w:p>
            <w:pPr>
              <w:snapToGrid w:val="0"/>
              <w:ind w:left="-53" w:leftChars="-25" w:right="-94" w:rightChars="-45"/>
              <w:jc w:val="center"/>
              <w:rPr>
                <w:rFonts w:ascii="宋体" w:hAnsi="宋体" w:cs="宋体"/>
                <w:color w:val="000000"/>
                <w:szCs w:val="21"/>
              </w:rPr>
            </w:pPr>
            <w:r>
              <w:rPr>
                <w:rFonts w:hint="eastAsia" w:ascii="宋体" w:hAnsi="宋体" w:cs="宋体"/>
                <w:color w:val="000000"/>
                <w:szCs w:val="21"/>
              </w:rPr>
              <w:t>SO</w:t>
            </w:r>
            <w:r>
              <w:rPr>
                <w:rFonts w:hint="eastAsia" w:ascii="宋体" w:hAnsi="宋体" w:cs="宋体"/>
                <w:color w:val="000000"/>
                <w:szCs w:val="21"/>
                <w:vertAlign w:val="subscript"/>
              </w:rPr>
              <w:t>2</w:t>
            </w:r>
            <w:r>
              <w:rPr>
                <w:rFonts w:hint="eastAsia" w:ascii="宋体" w:hAnsi="宋体" w:cs="宋体"/>
                <w:color w:val="000000"/>
                <w:szCs w:val="21"/>
              </w:rPr>
              <w:t>(</w:t>
            </w:r>
            <w:r>
              <w:rPr>
                <w:rFonts w:hint="eastAsia" w:ascii="宋体" w:hAnsi="宋体" w:cs="宋体"/>
                <w:bCs/>
                <w:color w:val="000000"/>
                <w:szCs w:val="21"/>
              </w:rPr>
              <w:t>kg</w:t>
            </w:r>
            <w:r>
              <w:rPr>
                <w:rFonts w:hint="eastAsia" w:ascii="宋体" w:hAnsi="宋体" w:cs="宋体"/>
                <w:color w:val="000000"/>
                <w:szCs w:val="21"/>
              </w:rPr>
              <w:t>/a)</w:t>
            </w:r>
          </w:p>
        </w:tc>
        <w:tc>
          <w:tcPr>
            <w:tcW w:w="1954" w:type="dxa"/>
            <w:vAlign w:val="center"/>
          </w:tcPr>
          <w:p>
            <w:pPr>
              <w:jc w:val="center"/>
              <w:rPr>
                <w:rFonts w:ascii="宋体" w:hAnsi="宋体" w:cs="宋体"/>
                <w:color w:val="000000"/>
                <w:szCs w:val="21"/>
              </w:rPr>
            </w:pPr>
            <w:r>
              <w:rPr>
                <w:rFonts w:hint="eastAsia" w:ascii="宋体" w:hAnsi="宋体" w:cs="宋体"/>
                <w:color w:val="000000"/>
                <w:szCs w:val="21"/>
              </w:rPr>
              <w:t>1.8</w:t>
            </w:r>
          </w:p>
        </w:tc>
        <w:tc>
          <w:tcPr>
            <w:tcW w:w="1939" w:type="dxa"/>
            <w:vAlign w:val="center"/>
          </w:tcPr>
          <w:p>
            <w:pPr>
              <w:jc w:val="center"/>
              <w:rPr>
                <w:rFonts w:ascii="宋体" w:hAnsi="宋体" w:cs="宋体"/>
                <w:color w:val="000000"/>
                <w:szCs w:val="21"/>
              </w:rPr>
            </w:pPr>
            <w:r>
              <w:rPr>
                <w:rFonts w:hint="eastAsia" w:ascii="宋体" w:hAnsi="宋体" w:cs="宋体"/>
                <w:color w:val="000000"/>
                <w:szCs w:val="21"/>
              </w:rPr>
              <w:t>/</w:t>
            </w:r>
          </w:p>
        </w:tc>
        <w:tc>
          <w:tcPr>
            <w:tcW w:w="2339" w:type="dxa"/>
            <w:vAlign w:val="center"/>
          </w:tcPr>
          <w:p>
            <w:pPr>
              <w:jc w:val="center"/>
              <w:rPr>
                <w:rFonts w:ascii="宋体" w:hAnsi="宋体" w:cs="宋体"/>
                <w:color w:val="000000"/>
                <w:szCs w:val="21"/>
              </w:rPr>
            </w:pPr>
            <w:r>
              <w:rPr>
                <w:rFonts w:hint="eastAsia" w:ascii="宋体" w:hAnsi="宋体" w:cs="宋体"/>
                <w:color w:val="000000"/>
                <w:szCs w:val="21"/>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424" w:type="dxa"/>
            <w:vMerge w:val="continue"/>
            <w:vAlign w:val="center"/>
          </w:tcPr>
          <w:p>
            <w:pPr>
              <w:jc w:val="center"/>
              <w:rPr>
                <w:rFonts w:ascii="宋体" w:hAnsi="宋体" w:cs="宋体"/>
                <w:color w:val="000000"/>
                <w:szCs w:val="21"/>
              </w:rPr>
            </w:pPr>
          </w:p>
        </w:tc>
        <w:tc>
          <w:tcPr>
            <w:tcW w:w="1475" w:type="dxa"/>
            <w:vAlign w:val="center"/>
          </w:tcPr>
          <w:p>
            <w:pPr>
              <w:snapToGrid w:val="0"/>
              <w:ind w:left="-53" w:leftChars="-25" w:right="-94" w:rightChars="-45"/>
              <w:jc w:val="center"/>
              <w:rPr>
                <w:rFonts w:ascii="宋体" w:hAnsi="宋体" w:cs="宋体"/>
                <w:color w:val="000000"/>
                <w:szCs w:val="21"/>
              </w:rPr>
            </w:pPr>
            <w:r>
              <w:rPr>
                <w:rFonts w:hint="eastAsia" w:ascii="宋体" w:hAnsi="宋体" w:cs="宋体"/>
                <w:color w:val="000000"/>
                <w:szCs w:val="21"/>
              </w:rPr>
              <w:t>NO</w:t>
            </w:r>
            <w:r>
              <w:rPr>
                <w:rFonts w:hint="eastAsia" w:ascii="宋体" w:hAnsi="宋体" w:cs="宋体"/>
                <w:color w:val="000000"/>
                <w:szCs w:val="21"/>
                <w:vertAlign w:val="subscript"/>
              </w:rPr>
              <w:t>X</w:t>
            </w:r>
            <w:r>
              <w:rPr>
                <w:rFonts w:hint="eastAsia" w:ascii="宋体" w:hAnsi="宋体" w:cs="宋体"/>
                <w:color w:val="000000"/>
                <w:szCs w:val="21"/>
              </w:rPr>
              <w:t>(</w:t>
            </w:r>
            <w:r>
              <w:rPr>
                <w:rFonts w:hint="eastAsia" w:ascii="宋体" w:hAnsi="宋体" w:cs="宋体"/>
                <w:bCs/>
                <w:color w:val="000000"/>
                <w:szCs w:val="21"/>
              </w:rPr>
              <w:t>kg</w:t>
            </w:r>
            <w:r>
              <w:rPr>
                <w:rFonts w:hint="eastAsia" w:ascii="宋体" w:hAnsi="宋体" w:cs="宋体"/>
                <w:color w:val="000000"/>
                <w:szCs w:val="21"/>
              </w:rPr>
              <w:t>/a)</w:t>
            </w:r>
          </w:p>
        </w:tc>
        <w:tc>
          <w:tcPr>
            <w:tcW w:w="1954" w:type="dxa"/>
            <w:vAlign w:val="center"/>
          </w:tcPr>
          <w:p>
            <w:pPr>
              <w:jc w:val="center"/>
              <w:rPr>
                <w:rFonts w:ascii="宋体" w:hAnsi="宋体" w:cs="宋体"/>
                <w:color w:val="000000"/>
                <w:szCs w:val="21"/>
              </w:rPr>
            </w:pPr>
            <w:r>
              <w:rPr>
                <w:rFonts w:hint="eastAsia" w:ascii="宋体" w:hAnsi="宋体" w:cs="宋体"/>
                <w:color w:val="000000"/>
                <w:szCs w:val="21"/>
              </w:rPr>
              <w:t>63</w:t>
            </w:r>
          </w:p>
        </w:tc>
        <w:tc>
          <w:tcPr>
            <w:tcW w:w="1939" w:type="dxa"/>
            <w:vAlign w:val="center"/>
          </w:tcPr>
          <w:p>
            <w:pPr>
              <w:jc w:val="center"/>
              <w:rPr>
                <w:rFonts w:ascii="宋体" w:hAnsi="宋体" w:cs="宋体"/>
                <w:color w:val="000000"/>
                <w:szCs w:val="21"/>
              </w:rPr>
            </w:pPr>
            <w:r>
              <w:rPr>
                <w:rFonts w:hint="eastAsia" w:ascii="宋体" w:hAnsi="宋体" w:cs="宋体"/>
                <w:color w:val="000000"/>
                <w:szCs w:val="21"/>
              </w:rPr>
              <w:t>50</w:t>
            </w:r>
          </w:p>
        </w:tc>
        <w:tc>
          <w:tcPr>
            <w:tcW w:w="2339" w:type="dxa"/>
            <w:vAlign w:val="center"/>
          </w:tcPr>
          <w:p>
            <w:pPr>
              <w:jc w:val="center"/>
              <w:rPr>
                <w:rFonts w:ascii="宋体" w:hAnsi="宋体" w:cs="宋体"/>
                <w:color w:val="000000"/>
                <w:szCs w:val="21"/>
              </w:rPr>
            </w:pPr>
            <w:r>
              <w:rPr>
                <w:rFonts w:hint="eastAsia" w:ascii="宋体" w:hAnsi="宋体" w:cs="宋体"/>
                <w:color w:val="000000"/>
                <w:szCs w:val="21"/>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424" w:type="dxa"/>
            <w:vAlign w:val="center"/>
          </w:tcPr>
          <w:p>
            <w:pPr>
              <w:jc w:val="center"/>
              <w:rPr>
                <w:rFonts w:ascii="宋体" w:hAnsi="宋体" w:cs="宋体"/>
                <w:color w:val="000000"/>
                <w:szCs w:val="21"/>
              </w:rPr>
            </w:pPr>
            <w:r>
              <w:rPr>
                <w:rFonts w:hint="eastAsia" w:ascii="宋体" w:hAnsi="宋体" w:cs="宋体"/>
                <w:color w:val="000000"/>
                <w:szCs w:val="21"/>
              </w:rPr>
              <w:t>食堂油烟</w:t>
            </w:r>
          </w:p>
        </w:tc>
        <w:tc>
          <w:tcPr>
            <w:tcW w:w="1475" w:type="dxa"/>
            <w:vAlign w:val="center"/>
          </w:tcPr>
          <w:p>
            <w:pPr>
              <w:snapToGrid w:val="0"/>
              <w:ind w:left="-53" w:leftChars="-25" w:right="-94" w:rightChars="-45"/>
              <w:jc w:val="center"/>
              <w:rPr>
                <w:rFonts w:ascii="宋体" w:hAnsi="宋体" w:cs="宋体"/>
                <w:color w:val="000000"/>
                <w:szCs w:val="21"/>
              </w:rPr>
            </w:pPr>
            <w:r>
              <w:rPr>
                <w:rFonts w:hint="eastAsia" w:ascii="宋体" w:hAnsi="宋体" w:cs="宋体"/>
                <w:color w:val="000000"/>
                <w:szCs w:val="21"/>
              </w:rPr>
              <w:t>油烟(t/a)</w:t>
            </w:r>
          </w:p>
        </w:tc>
        <w:tc>
          <w:tcPr>
            <w:tcW w:w="1954" w:type="dxa"/>
            <w:vAlign w:val="center"/>
          </w:tcPr>
          <w:p>
            <w:pPr>
              <w:snapToGrid w:val="0"/>
              <w:ind w:left="-53" w:leftChars="-25" w:right="-94" w:rightChars="-45"/>
              <w:jc w:val="center"/>
              <w:rPr>
                <w:rFonts w:ascii="宋体" w:hAnsi="宋体" w:cs="宋体"/>
                <w:color w:val="000000"/>
                <w:szCs w:val="21"/>
              </w:rPr>
            </w:pPr>
            <w:r>
              <w:rPr>
                <w:rFonts w:hint="eastAsia" w:ascii="宋体" w:hAnsi="宋体" w:cs="宋体"/>
                <w:color w:val="000000"/>
                <w:szCs w:val="21"/>
              </w:rPr>
              <w:t>0.013</w:t>
            </w:r>
          </w:p>
        </w:tc>
        <w:tc>
          <w:tcPr>
            <w:tcW w:w="1939" w:type="dxa"/>
            <w:vAlign w:val="center"/>
          </w:tcPr>
          <w:p>
            <w:pPr>
              <w:adjustRightInd w:val="0"/>
              <w:snapToGrid w:val="0"/>
              <w:ind w:left="-53" w:leftChars="-25" w:right="-94" w:rightChars="-45"/>
              <w:jc w:val="center"/>
              <w:rPr>
                <w:rFonts w:ascii="宋体" w:hAnsi="宋体" w:cs="宋体"/>
                <w:color w:val="000000"/>
                <w:szCs w:val="21"/>
              </w:rPr>
            </w:pPr>
            <w:r>
              <w:rPr>
                <w:rFonts w:hint="eastAsia" w:ascii="宋体" w:hAnsi="宋体" w:cs="宋体"/>
                <w:color w:val="000000"/>
                <w:szCs w:val="21"/>
              </w:rPr>
              <w:t>0.0117</w:t>
            </w:r>
          </w:p>
        </w:tc>
        <w:tc>
          <w:tcPr>
            <w:tcW w:w="2339" w:type="dxa"/>
            <w:vAlign w:val="center"/>
          </w:tcPr>
          <w:p>
            <w:pPr>
              <w:snapToGrid w:val="0"/>
              <w:ind w:left="-53" w:leftChars="-25" w:right="-94" w:rightChars="-45"/>
              <w:jc w:val="center"/>
              <w:rPr>
                <w:rFonts w:ascii="宋体" w:hAnsi="宋体" w:cs="宋体"/>
                <w:color w:val="000000"/>
                <w:szCs w:val="21"/>
              </w:rPr>
            </w:pPr>
            <w:r>
              <w:rPr>
                <w:rFonts w:hint="eastAsia" w:ascii="宋体" w:hAnsi="宋体" w:cs="宋体"/>
                <w:color w:val="000000"/>
                <w:szCs w:val="21"/>
              </w:rPr>
              <w:t>0.0013</w:t>
            </w:r>
          </w:p>
        </w:tc>
      </w:tr>
    </w:tbl>
    <w:p>
      <w:pPr>
        <w:pStyle w:val="7"/>
        <w:spacing w:before="0" w:after="0" w:line="520" w:lineRule="exact"/>
        <w:rPr>
          <w:b w:val="0"/>
          <w:sz w:val="24"/>
          <w:szCs w:val="24"/>
        </w:rPr>
      </w:pPr>
      <w:r>
        <w:rPr>
          <w:b w:val="0"/>
          <w:sz w:val="24"/>
          <w:szCs w:val="24"/>
        </w:rPr>
        <w:t>2.3.2.2废水污染物</w:t>
      </w:r>
    </w:p>
    <w:p>
      <w:pPr>
        <w:spacing w:line="520" w:lineRule="exact"/>
        <w:ind w:firstLine="480" w:firstLineChars="200"/>
        <w:rPr>
          <w:sz w:val="24"/>
        </w:rPr>
      </w:pPr>
      <w:r>
        <w:rPr>
          <w:sz w:val="24"/>
        </w:rPr>
        <w:t>（1）污染因素分析</w:t>
      </w:r>
    </w:p>
    <w:p>
      <w:pPr>
        <w:pStyle w:val="98"/>
        <w:spacing w:line="520" w:lineRule="exact"/>
        <w:ind w:firstLine="480"/>
      </w:pPr>
      <w:r>
        <w:t>废水是养猪场产生的重要污染物，包括猪尿、猪舍冲洗废水、刮板冲洗废水及员工生活污水等，废水中含有高浓度有机物和N、P等，如若处理不当，如不经处理直接排入附近的水体，将对周边水体和人群健康存在巨大的潜在风险。</w:t>
      </w:r>
    </w:p>
    <w:p>
      <w:pPr>
        <w:pStyle w:val="98"/>
        <w:spacing w:line="520" w:lineRule="exact"/>
        <w:ind w:firstLine="480"/>
      </w:pPr>
      <w:r>
        <w:t>A、猪尿</w:t>
      </w:r>
    </w:p>
    <w:p>
      <w:pPr>
        <w:pStyle w:val="98"/>
        <w:spacing w:line="520" w:lineRule="exact"/>
        <w:ind w:firstLine="480"/>
        <w:rPr>
          <w:snapToGrid w:val="0"/>
        </w:rPr>
      </w:pPr>
      <w:r>
        <w:rPr>
          <w:snapToGrid w:val="0"/>
        </w:rPr>
        <w:t>本项目投入运营后年存栏保育猪16667头、育肥猪33333头，猪的尿液产生量根据《畜禽养殖污染防治最佳可行技术指南》（征求意见稿），猪尿排泄量计算公式为：Yu=0.205+0.438W（kg），式中，Yu为猪尿排泄量，W为猪的饮水量。经计算夏季猪尿产生量为</w:t>
      </w:r>
      <w:r>
        <w:rPr>
          <w:rFonts w:hint="eastAsia"/>
          <w:snapToGrid w:val="0"/>
        </w:rPr>
        <w:t>211</w:t>
      </w:r>
      <w:r>
        <w:rPr>
          <w:iCs/>
          <w:snapToGrid w:val="0"/>
          <w:kern w:val="0"/>
        </w:rPr>
        <w:t>m</w:t>
      </w:r>
      <w:r>
        <w:rPr>
          <w:iCs/>
          <w:snapToGrid w:val="0"/>
          <w:kern w:val="0"/>
          <w:vertAlign w:val="superscript"/>
        </w:rPr>
        <w:t>3</w:t>
      </w:r>
      <w:r>
        <w:rPr>
          <w:iCs/>
          <w:snapToGrid w:val="0"/>
          <w:kern w:val="0"/>
        </w:rPr>
        <w:t>/d</w:t>
      </w:r>
      <w:r>
        <w:rPr>
          <w:snapToGrid w:val="0"/>
        </w:rPr>
        <w:t>，</w:t>
      </w:r>
      <w:r>
        <w:rPr>
          <w:bCs/>
          <w:snapToGrid w:val="0"/>
        </w:rPr>
        <w:t>非夏季猪尿产生量</w:t>
      </w:r>
      <w:r>
        <w:rPr>
          <w:rFonts w:hint="eastAsia"/>
          <w:bCs/>
          <w:snapToGrid w:val="0"/>
        </w:rPr>
        <w:t>127.05</w:t>
      </w:r>
      <w:r>
        <w:rPr>
          <w:iCs/>
          <w:snapToGrid w:val="0"/>
          <w:kern w:val="0"/>
        </w:rPr>
        <w:t>m</w:t>
      </w:r>
      <w:r>
        <w:rPr>
          <w:iCs/>
          <w:snapToGrid w:val="0"/>
          <w:kern w:val="0"/>
          <w:vertAlign w:val="superscript"/>
        </w:rPr>
        <w:t>3</w:t>
      </w:r>
      <w:r>
        <w:rPr>
          <w:iCs/>
          <w:snapToGrid w:val="0"/>
          <w:kern w:val="0"/>
        </w:rPr>
        <w:t>/d</w:t>
      </w:r>
      <w:r>
        <w:rPr>
          <w:bCs/>
          <w:snapToGrid w:val="0"/>
        </w:rPr>
        <w:t>，全年猪尿产生量为56615.15m</w:t>
      </w:r>
      <w:r>
        <w:rPr>
          <w:bCs/>
          <w:snapToGrid w:val="0"/>
          <w:vertAlign w:val="superscript"/>
        </w:rPr>
        <w:t>3</w:t>
      </w:r>
      <w:r>
        <w:rPr>
          <w:bCs/>
          <w:snapToGrid w:val="0"/>
        </w:rPr>
        <w:t>/a。</w:t>
      </w:r>
    </w:p>
    <w:p>
      <w:pPr>
        <w:spacing w:line="520" w:lineRule="exact"/>
        <w:ind w:firstLine="480" w:firstLineChars="200"/>
        <w:rPr>
          <w:sz w:val="24"/>
        </w:rPr>
      </w:pPr>
      <w:r>
        <w:rPr>
          <w:sz w:val="24"/>
        </w:rPr>
        <w:t>B、猪舍冲洗废水</w:t>
      </w:r>
    </w:p>
    <w:p>
      <w:pPr>
        <w:spacing w:line="520" w:lineRule="exact"/>
        <w:ind w:firstLine="480" w:firstLineChars="200"/>
        <w:rPr>
          <w:bCs/>
          <w:color w:val="000000"/>
          <w:sz w:val="24"/>
        </w:rPr>
      </w:pPr>
      <w:r>
        <w:rPr>
          <w:color w:val="000000"/>
          <w:sz w:val="24"/>
        </w:rPr>
        <w:t>依据牧原公司已建养殖场运行中的干清粪工艺的冲洗规律，利用高压水枪在猪转栏时对各猪舍进行冲洗、消毒。保育育肥舍冲洗频率为每年2次，猪舍每次冲洗水用量为33m</w:t>
      </w:r>
      <w:r>
        <w:rPr>
          <w:color w:val="000000"/>
          <w:sz w:val="24"/>
          <w:vertAlign w:val="superscript"/>
        </w:rPr>
        <w:t>3</w:t>
      </w:r>
      <w:r>
        <w:rPr>
          <w:color w:val="000000"/>
          <w:sz w:val="24"/>
        </w:rPr>
        <w:t>（其中新鲜水18m</w:t>
      </w:r>
      <w:r>
        <w:rPr>
          <w:color w:val="000000"/>
          <w:sz w:val="24"/>
          <w:vertAlign w:val="superscript"/>
        </w:rPr>
        <w:t>3</w:t>
      </w:r>
      <w:r>
        <w:rPr>
          <w:color w:val="000000"/>
          <w:sz w:val="24"/>
        </w:rPr>
        <w:t>，回用沼液15m</w:t>
      </w:r>
      <w:r>
        <w:rPr>
          <w:color w:val="000000"/>
          <w:sz w:val="24"/>
          <w:vertAlign w:val="superscript"/>
        </w:rPr>
        <w:t>3</w:t>
      </w:r>
      <w:r>
        <w:rPr>
          <w:color w:val="000000"/>
          <w:sz w:val="24"/>
        </w:rPr>
        <w:t>），则</w:t>
      </w:r>
      <w:r>
        <w:rPr>
          <w:bCs/>
          <w:color w:val="000000"/>
          <w:sz w:val="24"/>
        </w:rPr>
        <w:t>项目猪舍冲洗水量总计为</w:t>
      </w:r>
      <w:r>
        <w:rPr>
          <w:rFonts w:hint="eastAsia"/>
          <w:bCs/>
          <w:color w:val="000000"/>
          <w:sz w:val="24"/>
        </w:rPr>
        <w:t>6600</w:t>
      </w:r>
      <w:r>
        <w:rPr>
          <w:bCs/>
          <w:color w:val="000000"/>
          <w:sz w:val="24"/>
        </w:rPr>
        <w:t>m</w:t>
      </w:r>
      <w:r>
        <w:rPr>
          <w:bCs/>
          <w:color w:val="000000"/>
          <w:sz w:val="24"/>
          <w:vertAlign w:val="superscript"/>
        </w:rPr>
        <w:t>3</w:t>
      </w:r>
      <w:r>
        <w:rPr>
          <w:bCs/>
          <w:color w:val="000000"/>
          <w:sz w:val="24"/>
        </w:rPr>
        <w:t>/a，冲洗过程损耗量按20%计，则猪舍冲洗废水产生量为</w:t>
      </w:r>
      <w:r>
        <w:rPr>
          <w:rFonts w:hint="eastAsia"/>
          <w:bCs/>
          <w:color w:val="000000"/>
          <w:sz w:val="24"/>
        </w:rPr>
        <w:t>5280</w:t>
      </w:r>
      <w:r>
        <w:rPr>
          <w:bCs/>
          <w:color w:val="000000"/>
          <w:sz w:val="24"/>
        </w:rPr>
        <w:t>m</w:t>
      </w:r>
      <w:r>
        <w:rPr>
          <w:bCs/>
          <w:color w:val="000000"/>
          <w:sz w:val="24"/>
          <w:vertAlign w:val="superscript"/>
        </w:rPr>
        <w:t>3</w:t>
      </w:r>
      <w:r>
        <w:rPr>
          <w:bCs/>
          <w:color w:val="000000"/>
          <w:sz w:val="24"/>
        </w:rPr>
        <w:t>/a</w:t>
      </w:r>
      <w:r>
        <w:rPr>
          <w:rFonts w:hint="eastAsia"/>
          <w:bCs/>
          <w:color w:val="000000"/>
          <w:sz w:val="24"/>
        </w:rPr>
        <w:t>（14.74</w:t>
      </w:r>
      <w:r>
        <w:rPr>
          <w:bCs/>
          <w:color w:val="000000"/>
          <w:sz w:val="24"/>
        </w:rPr>
        <w:t xml:space="preserve"> m</w:t>
      </w:r>
      <w:r>
        <w:rPr>
          <w:bCs/>
          <w:color w:val="000000"/>
          <w:sz w:val="24"/>
          <w:vertAlign w:val="superscript"/>
        </w:rPr>
        <w:t>3</w:t>
      </w:r>
      <w:r>
        <w:rPr>
          <w:bCs/>
          <w:color w:val="000000"/>
          <w:sz w:val="24"/>
        </w:rPr>
        <w:t>/</w:t>
      </w:r>
      <w:r>
        <w:rPr>
          <w:rFonts w:hint="eastAsia"/>
          <w:bCs/>
          <w:color w:val="000000"/>
          <w:sz w:val="24"/>
        </w:rPr>
        <w:t>d）</w:t>
      </w:r>
      <w:r>
        <w:rPr>
          <w:bCs/>
          <w:color w:val="000000"/>
          <w:sz w:val="24"/>
        </w:rPr>
        <w:t>。</w:t>
      </w:r>
    </w:p>
    <w:p>
      <w:pPr>
        <w:spacing w:line="520" w:lineRule="exact"/>
        <w:ind w:firstLine="480" w:firstLineChars="200"/>
        <w:rPr>
          <w:sz w:val="24"/>
        </w:rPr>
      </w:pPr>
      <w:r>
        <w:rPr>
          <w:sz w:val="24"/>
        </w:rPr>
        <w:t>C、员工生活及办公废水</w:t>
      </w:r>
    </w:p>
    <w:p>
      <w:pPr>
        <w:spacing w:line="520" w:lineRule="exact"/>
        <w:ind w:firstLine="480" w:firstLineChars="200"/>
        <w:rPr>
          <w:sz w:val="24"/>
        </w:rPr>
      </w:pPr>
      <w:r>
        <w:rPr>
          <w:sz w:val="24"/>
        </w:rPr>
        <w:t>项目设有员工食堂和宿舍，食堂污水经隔油池预处理后，与其他生活污水一同经内部管道引至盖泻湖沼气池进行处理。</w:t>
      </w:r>
    </w:p>
    <w:p>
      <w:pPr>
        <w:pStyle w:val="98"/>
        <w:spacing w:line="520" w:lineRule="exact"/>
        <w:ind w:firstLine="480"/>
        <w:rPr>
          <w:color w:val="000000" w:themeColor="text1"/>
        </w:rPr>
      </w:pPr>
      <w:r>
        <w:rPr>
          <w:color w:val="000000" w:themeColor="text1"/>
        </w:rPr>
        <w:t>项目劳动定员</w:t>
      </w:r>
      <w:r>
        <w:rPr>
          <w:rFonts w:hint="eastAsia"/>
          <w:color w:val="000000" w:themeColor="text1"/>
        </w:rPr>
        <w:t>49</w:t>
      </w:r>
      <w:r>
        <w:rPr>
          <w:color w:val="000000" w:themeColor="text1"/>
        </w:rPr>
        <w:t>人，用水量按120L/人·d，年工作365天，则生活用水量为</w:t>
      </w:r>
      <w:r>
        <w:rPr>
          <w:rFonts w:hint="eastAsia"/>
        </w:rPr>
        <w:t>5.88</w:t>
      </w:r>
      <w:r>
        <w:t>m</w:t>
      </w:r>
      <w:r>
        <w:rPr>
          <w:vertAlign w:val="superscript"/>
        </w:rPr>
        <w:t>3</w:t>
      </w:r>
      <w:r>
        <w:t>/d、</w:t>
      </w:r>
      <w:r>
        <w:rPr>
          <w:rFonts w:hint="eastAsia"/>
        </w:rPr>
        <w:t>2146.2</w:t>
      </w:r>
      <w:r>
        <w:t>m</w:t>
      </w:r>
      <w:r>
        <w:rPr>
          <w:vertAlign w:val="superscript"/>
        </w:rPr>
        <w:t>3</w:t>
      </w:r>
      <w:r>
        <w:t>/a。废水排放量按用水量的80%计算，则生活污水产生量为</w:t>
      </w:r>
      <w:r>
        <w:rPr>
          <w:rFonts w:hint="eastAsia"/>
        </w:rPr>
        <w:t>4.70</w:t>
      </w:r>
      <w:r>
        <w:t>m</w:t>
      </w:r>
      <w:r>
        <w:rPr>
          <w:vertAlign w:val="superscript"/>
        </w:rPr>
        <w:t>3</w:t>
      </w:r>
      <w:r>
        <w:t>/d、</w:t>
      </w:r>
      <w:r>
        <w:rPr>
          <w:rFonts w:hint="eastAsia"/>
        </w:rPr>
        <w:t>1715.5</w:t>
      </w:r>
      <w:r>
        <w:t>m</w:t>
      </w:r>
      <w:r>
        <w:rPr>
          <w:vertAlign w:val="superscript"/>
        </w:rPr>
        <w:t>3</w:t>
      </w:r>
      <w:r>
        <w:t>/a。</w:t>
      </w:r>
    </w:p>
    <w:p>
      <w:pPr>
        <w:spacing w:line="520" w:lineRule="exact"/>
        <w:ind w:firstLine="480" w:firstLineChars="200"/>
        <w:rPr>
          <w:sz w:val="24"/>
        </w:rPr>
      </w:pPr>
      <w:r>
        <w:rPr>
          <w:sz w:val="24"/>
        </w:rPr>
        <w:t>D、猪粪带入盖泻湖沼气池的废水</w:t>
      </w:r>
    </w:p>
    <w:p>
      <w:pPr>
        <w:spacing w:line="520" w:lineRule="exact"/>
        <w:ind w:firstLine="480" w:firstLineChars="200"/>
        <w:rPr>
          <w:bCs/>
        </w:rPr>
      </w:pPr>
      <w:r>
        <w:rPr>
          <w:sz w:val="24"/>
        </w:rPr>
        <w:t>本项目采用环保部认定的干清粪工艺，粪尿产生后经粪污储存池暂存后用泵运至污水前处理系统进行固液分离，经固液分离后，分离出的猪粪运至固粪处置区制有机肥基肥，污水进入盖泻湖沼气池进行处理，则猪粪带入盖泻湖沼气池的总水量为</w:t>
      </w:r>
      <w:r>
        <w:rPr>
          <w:rFonts w:hint="eastAsia"/>
          <w:sz w:val="24"/>
        </w:rPr>
        <w:t>24.52</w:t>
      </w:r>
      <w:r>
        <w:rPr>
          <w:sz w:val="24"/>
        </w:rPr>
        <w:t>m</w:t>
      </w:r>
      <w:r>
        <w:rPr>
          <w:sz w:val="24"/>
          <w:vertAlign w:val="superscript"/>
        </w:rPr>
        <w:t>3</w:t>
      </w:r>
      <w:r>
        <w:rPr>
          <w:sz w:val="24"/>
        </w:rPr>
        <w:t>/d、8949.8m</w:t>
      </w:r>
      <w:r>
        <w:rPr>
          <w:sz w:val="24"/>
          <w:vertAlign w:val="superscript"/>
        </w:rPr>
        <w:t>3</w:t>
      </w:r>
      <w:r>
        <w:rPr>
          <w:sz w:val="24"/>
        </w:rPr>
        <w:t>/a。</w:t>
      </w:r>
    </w:p>
    <w:p>
      <w:pPr>
        <w:spacing w:line="520" w:lineRule="exact"/>
        <w:ind w:firstLine="480" w:firstLineChars="200"/>
        <w:rPr>
          <w:sz w:val="24"/>
        </w:rPr>
      </w:pPr>
      <w:r>
        <w:rPr>
          <w:sz w:val="24"/>
        </w:rPr>
        <w:t>E、无害化处理中心废水</w:t>
      </w:r>
    </w:p>
    <w:p>
      <w:pPr>
        <w:spacing w:line="520" w:lineRule="exact"/>
        <w:ind w:firstLine="480" w:firstLineChars="200"/>
        <w:rPr>
          <w:sz w:val="24"/>
        </w:rPr>
      </w:pPr>
      <w:r>
        <w:rPr>
          <w:bCs/>
          <w:sz w:val="24"/>
        </w:rPr>
        <w:t>本项目无害化处理中心采用化制法处理本厂区病死猪，化制过程中不会产生废水，无害化处理中心废水主要为无害化车间清洗废水</w:t>
      </w:r>
      <w:r>
        <w:rPr>
          <w:sz w:val="24"/>
        </w:rPr>
        <w:t>。</w:t>
      </w:r>
    </w:p>
    <w:p>
      <w:pPr>
        <w:spacing w:line="520" w:lineRule="exact"/>
        <w:ind w:firstLine="480" w:firstLineChars="200"/>
        <w:rPr>
          <w:b/>
          <w:color w:val="FF0000"/>
          <w:sz w:val="24"/>
          <w:u w:val="single"/>
        </w:rPr>
      </w:pPr>
      <w:r>
        <w:rPr>
          <w:sz w:val="24"/>
        </w:rPr>
        <w:t>无害化车间清洗废水：废水排放量为175.2m</w:t>
      </w:r>
      <w:r>
        <w:rPr>
          <w:sz w:val="24"/>
          <w:vertAlign w:val="superscript"/>
        </w:rPr>
        <w:t>3</w:t>
      </w:r>
      <w:r>
        <w:rPr>
          <w:sz w:val="24"/>
        </w:rPr>
        <w:t>/a，主要污染物浓度为COD 700mg/L、BOD</w:t>
      </w:r>
      <w:r>
        <w:rPr>
          <w:sz w:val="24"/>
          <w:vertAlign w:val="subscript"/>
        </w:rPr>
        <w:t>5</w:t>
      </w:r>
      <w:r>
        <w:rPr>
          <w:sz w:val="24"/>
        </w:rPr>
        <w:t>350mg/L、氨氮 40mg/L、SS 200mg/L。</w:t>
      </w:r>
    </w:p>
    <w:p>
      <w:pPr>
        <w:spacing w:line="520" w:lineRule="exact"/>
        <w:ind w:firstLine="480" w:firstLineChars="200"/>
        <w:rPr>
          <w:sz w:val="24"/>
        </w:rPr>
      </w:pPr>
      <w:r>
        <w:rPr>
          <w:sz w:val="24"/>
        </w:rPr>
        <w:t>（2）污水水质分析</w:t>
      </w:r>
    </w:p>
    <w:p>
      <w:pPr>
        <w:spacing w:line="520" w:lineRule="exact"/>
        <w:ind w:firstLine="480" w:firstLineChars="200"/>
        <w:rPr>
          <w:bCs/>
          <w:sz w:val="24"/>
        </w:rPr>
      </w:pPr>
      <w:r>
        <w:rPr>
          <w:bCs/>
          <w:sz w:val="24"/>
        </w:rPr>
        <w:t>A)养殖废水</w:t>
      </w:r>
    </w:p>
    <w:p>
      <w:pPr>
        <w:spacing w:line="520" w:lineRule="exact"/>
        <w:ind w:firstLine="480" w:firstLineChars="200"/>
        <w:rPr>
          <w:bCs/>
          <w:sz w:val="24"/>
        </w:rPr>
      </w:pPr>
      <w:r>
        <w:rPr>
          <w:bCs/>
          <w:sz w:val="24"/>
        </w:rPr>
        <w:t>项目养殖废水总量为70846.5m</w:t>
      </w:r>
      <w:r>
        <w:rPr>
          <w:bCs/>
          <w:sz w:val="24"/>
          <w:vertAlign w:val="superscript"/>
        </w:rPr>
        <w:t>3</w:t>
      </w:r>
      <w:r>
        <w:rPr>
          <w:bCs/>
          <w:sz w:val="24"/>
        </w:rPr>
        <w:t>/a。</w:t>
      </w:r>
      <w:r>
        <w:rPr>
          <w:color w:val="000000"/>
          <w:sz w:val="24"/>
        </w:rPr>
        <w:t>根据</w:t>
      </w:r>
      <w:r>
        <w:rPr>
          <w:bCs/>
          <w:color w:val="000000"/>
          <w:sz w:val="24"/>
        </w:rPr>
        <w:t>牧原食品股份有限公司其他已建成运行养殖场废水产生情况，</w:t>
      </w:r>
      <w:r>
        <w:rPr>
          <w:bCs/>
          <w:sz w:val="24"/>
        </w:rPr>
        <w:t>养殖废水中主要污染物产生浓度分别为COD</w:t>
      </w:r>
      <w:r>
        <w:rPr>
          <w:sz w:val="24"/>
        </w:rPr>
        <w:t>19500mg/L</w:t>
      </w:r>
      <w:r>
        <w:rPr>
          <w:bCs/>
          <w:sz w:val="24"/>
        </w:rPr>
        <w:t>、BOD</w:t>
      </w:r>
      <w:r>
        <w:rPr>
          <w:bCs/>
          <w:sz w:val="24"/>
          <w:vertAlign w:val="subscript"/>
        </w:rPr>
        <w:t xml:space="preserve">5 </w:t>
      </w:r>
      <w:r>
        <w:rPr>
          <w:bCs/>
          <w:sz w:val="24"/>
        </w:rPr>
        <w:t>8000mg/L、SS 16000mg/L、NH</w:t>
      </w:r>
      <w:r>
        <w:rPr>
          <w:bCs/>
          <w:sz w:val="24"/>
          <w:vertAlign w:val="subscript"/>
        </w:rPr>
        <w:t>3</w:t>
      </w:r>
      <w:r>
        <w:rPr>
          <w:bCs/>
          <w:sz w:val="24"/>
        </w:rPr>
        <w:t>-N</w:t>
      </w:r>
      <w:r>
        <w:rPr>
          <w:sz w:val="24"/>
        </w:rPr>
        <w:t>1200mg/L</w:t>
      </w:r>
      <w:r>
        <w:rPr>
          <w:bCs/>
          <w:sz w:val="24"/>
        </w:rPr>
        <w:t>，则</w:t>
      </w:r>
      <w:r>
        <w:rPr>
          <w:color w:val="000000"/>
          <w:sz w:val="24"/>
        </w:rPr>
        <w:t>本项目</w:t>
      </w:r>
      <w:r>
        <w:rPr>
          <w:bCs/>
          <w:sz w:val="24"/>
        </w:rPr>
        <w:t>污染物产生量分别为COD 514.8t/a、BOD</w:t>
      </w:r>
      <w:r>
        <w:rPr>
          <w:bCs/>
          <w:sz w:val="24"/>
          <w:vertAlign w:val="subscript"/>
        </w:rPr>
        <w:t>5</w:t>
      </w:r>
      <w:r>
        <w:rPr>
          <w:bCs/>
          <w:sz w:val="24"/>
        </w:rPr>
        <w:t>274.56t/a、SS 549.11t/a、NH</w:t>
      </w:r>
      <w:r>
        <w:rPr>
          <w:bCs/>
          <w:sz w:val="24"/>
          <w:vertAlign w:val="subscript"/>
        </w:rPr>
        <w:t>3</w:t>
      </w:r>
      <w:r>
        <w:rPr>
          <w:bCs/>
          <w:sz w:val="24"/>
        </w:rPr>
        <w:t>-N41.18t/a，经过固液分离器进入沼气池后废水水质为COD</w:t>
      </w:r>
      <w:r>
        <w:rPr>
          <w:sz w:val="24"/>
        </w:rPr>
        <w:t>15000mg/L</w:t>
      </w:r>
      <w:r>
        <w:rPr>
          <w:bCs/>
          <w:sz w:val="24"/>
        </w:rPr>
        <w:t>、BOD</w:t>
      </w:r>
      <w:r>
        <w:rPr>
          <w:bCs/>
          <w:sz w:val="24"/>
          <w:vertAlign w:val="subscript"/>
        </w:rPr>
        <w:t xml:space="preserve">5 </w:t>
      </w:r>
      <w:r>
        <w:rPr>
          <w:bCs/>
          <w:sz w:val="24"/>
        </w:rPr>
        <w:t>6000mg/L、SS78000mg/L、NH</w:t>
      </w:r>
      <w:r>
        <w:rPr>
          <w:bCs/>
          <w:sz w:val="24"/>
          <w:vertAlign w:val="subscript"/>
        </w:rPr>
        <w:t>3</w:t>
      </w:r>
      <w:r>
        <w:rPr>
          <w:bCs/>
          <w:sz w:val="24"/>
        </w:rPr>
        <w:t>-N</w:t>
      </w:r>
      <w:r>
        <w:rPr>
          <w:sz w:val="24"/>
        </w:rPr>
        <w:t>1000mg/L</w:t>
      </w:r>
      <w:r>
        <w:rPr>
          <w:bCs/>
          <w:sz w:val="24"/>
        </w:rPr>
        <w:t>。</w:t>
      </w:r>
      <w:r>
        <w:rPr>
          <w:bCs/>
          <w:color w:val="000000"/>
          <w:sz w:val="24"/>
        </w:rPr>
        <w:t>废水经“盖泄湖沼气池、沼气沼液沼渣综合利用”工艺处理后，</w:t>
      </w:r>
      <w:r>
        <w:rPr>
          <w:color w:val="000000"/>
          <w:sz w:val="24"/>
        </w:rPr>
        <w:t>废水中主要污染物浓度约为COD3000mg/L、BOD</w:t>
      </w:r>
      <w:r>
        <w:rPr>
          <w:color w:val="000000"/>
          <w:sz w:val="24"/>
          <w:vertAlign w:val="subscript"/>
        </w:rPr>
        <w:t>5</w:t>
      </w:r>
      <w:r>
        <w:rPr>
          <w:color w:val="000000"/>
          <w:sz w:val="24"/>
        </w:rPr>
        <w:t>1400mg/L、SS2000mg/L、</w:t>
      </w:r>
      <w:r>
        <w:rPr>
          <w:bCs/>
          <w:color w:val="000000"/>
          <w:sz w:val="24"/>
        </w:rPr>
        <w:t>NH</w:t>
      </w:r>
      <w:r>
        <w:rPr>
          <w:bCs/>
          <w:color w:val="000000"/>
          <w:sz w:val="24"/>
          <w:vertAlign w:val="subscript"/>
        </w:rPr>
        <w:t>3</w:t>
      </w:r>
      <w:r>
        <w:rPr>
          <w:bCs/>
          <w:color w:val="000000"/>
          <w:sz w:val="24"/>
        </w:rPr>
        <w:t>-N</w:t>
      </w:r>
      <w:r>
        <w:rPr>
          <w:color w:val="000000"/>
          <w:sz w:val="24"/>
        </w:rPr>
        <w:t>900mg/L。</w:t>
      </w:r>
    </w:p>
    <w:p>
      <w:pPr>
        <w:spacing w:line="520" w:lineRule="exact"/>
        <w:ind w:firstLine="480" w:firstLineChars="200"/>
        <w:rPr>
          <w:bCs/>
          <w:sz w:val="24"/>
        </w:rPr>
      </w:pPr>
      <w:r>
        <w:rPr>
          <w:bCs/>
          <w:sz w:val="24"/>
        </w:rPr>
        <w:t>B)生活污水</w:t>
      </w:r>
    </w:p>
    <w:p>
      <w:pPr>
        <w:spacing w:line="520" w:lineRule="exact"/>
        <w:ind w:firstLine="480" w:firstLineChars="200"/>
        <w:rPr>
          <w:bCs/>
          <w:sz w:val="24"/>
        </w:rPr>
      </w:pPr>
      <w:r>
        <w:rPr>
          <w:bCs/>
          <w:sz w:val="24"/>
        </w:rPr>
        <w:t>生活污水产生量为</w:t>
      </w:r>
      <w:r>
        <w:rPr>
          <w:rFonts w:hint="eastAsia"/>
          <w:bCs/>
          <w:sz w:val="24"/>
        </w:rPr>
        <w:t>4.70</w:t>
      </w:r>
      <w:r>
        <w:rPr>
          <w:bCs/>
          <w:sz w:val="24"/>
        </w:rPr>
        <w:t>m</w:t>
      </w:r>
      <w:r>
        <w:rPr>
          <w:bCs/>
          <w:sz w:val="24"/>
          <w:vertAlign w:val="superscript"/>
        </w:rPr>
        <w:t>3</w:t>
      </w:r>
      <w:r>
        <w:rPr>
          <w:bCs/>
          <w:sz w:val="24"/>
        </w:rPr>
        <w:t>/d、</w:t>
      </w:r>
      <w:r>
        <w:rPr>
          <w:rFonts w:hint="eastAsia"/>
          <w:bCs/>
          <w:sz w:val="24"/>
        </w:rPr>
        <w:t>1715.5</w:t>
      </w:r>
      <w:r>
        <w:rPr>
          <w:bCs/>
          <w:sz w:val="24"/>
        </w:rPr>
        <w:t>m</w:t>
      </w:r>
      <w:r>
        <w:rPr>
          <w:bCs/>
          <w:sz w:val="24"/>
          <w:vertAlign w:val="superscript"/>
        </w:rPr>
        <w:t>3</w:t>
      </w:r>
      <w:r>
        <w:rPr>
          <w:bCs/>
          <w:sz w:val="24"/>
        </w:rPr>
        <w:t>/a，主要污染物产生浓度分别为COD300mg/L、BOD</w:t>
      </w:r>
      <w:r>
        <w:rPr>
          <w:bCs/>
          <w:sz w:val="24"/>
          <w:vertAlign w:val="subscript"/>
        </w:rPr>
        <w:t>5</w:t>
      </w:r>
      <w:r>
        <w:rPr>
          <w:bCs/>
          <w:sz w:val="24"/>
        </w:rPr>
        <w:t>150mg/L、SS200mg/L 、NH</w:t>
      </w:r>
      <w:r>
        <w:rPr>
          <w:bCs/>
          <w:sz w:val="24"/>
          <w:vertAlign w:val="subscript"/>
        </w:rPr>
        <w:t>3</w:t>
      </w:r>
      <w:r>
        <w:rPr>
          <w:bCs/>
          <w:sz w:val="24"/>
        </w:rPr>
        <w:t>-N 30mg/L。</w:t>
      </w:r>
    </w:p>
    <w:p>
      <w:pPr>
        <w:spacing w:line="520" w:lineRule="exact"/>
        <w:ind w:firstLine="480" w:firstLineChars="200"/>
        <w:rPr>
          <w:sz w:val="24"/>
        </w:rPr>
      </w:pPr>
      <w:r>
        <w:rPr>
          <w:sz w:val="24"/>
        </w:rPr>
        <w:t>C)无害化处置车间废水</w:t>
      </w:r>
    </w:p>
    <w:p>
      <w:pPr>
        <w:spacing w:line="520" w:lineRule="exact"/>
        <w:ind w:firstLine="480" w:firstLineChars="200"/>
      </w:pPr>
      <w:r>
        <w:rPr>
          <w:sz w:val="24"/>
        </w:rPr>
        <w:t>无害化车间清洗废水：废水排放量为175.2m</w:t>
      </w:r>
      <w:r>
        <w:rPr>
          <w:sz w:val="24"/>
          <w:vertAlign w:val="superscript"/>
        </w:rPr>
        <w:t>3</w:t>
      </w:r>
      <w:r>
        <w:rPr>
          <w:sz w:val="24"/>
        </w:rPr>
        <w:t>/a，主要污染物浓度为COD 700mg/L、BOD</w:t>
      </w:r>
      <w:r>
        <w:rPr>
          <w:sz w:val="24"/>
          <w:vertAlign w:val="subscript"/>
        </w:rPr>
        <w:t>5</w:t>
      </w:r>
      <w:r>
        <w:rPr>
          <w:sz w:val="24"/>
        </w:rPr>
        <w:t>350mg/L、氨氮 40mg/L、SS 200mg/L。</w:t>
      </w:r>
    </w:p>
    <w:p>
      <w:pPr>
        <w:spacing w:line="520" w:lineRule="exact"/>
        <w:ind w:firstLine="480" w:firstLineChars="200"/>
        <w:rPr>
          <w:bCs/>
          <w:color w:val="FF0000"/>
          <w:sz w:val="24"/>
        </w:rPr>
      </w:pPr>
      <w:r>
        <w:rPr>
          <w:sz w:val="24"/>
        </w:rPr>
        <w:t>根据牧原公司实际运营过程中统计数据，养殖场在春、秋、冬季节用排水量无明显差异，因此项目废水排放量分析按照夏季及</w:t>
      </w:r>
      <w:r>
        <w:rPr>
          <w:bCs/>
          <w:sz w:val="24"/>
        </w:rPr>
        <w:t>春、秋、冬季节（即非夏季）进行分析，养殖废水与生活污水混合后，废水总排水量为72737.2m</w:t>
      </w:r>
      <w:r>
        <w:rPr>
          <w:bCs/>
          <w:sz w:val="24"/>
          <w:vertAlign w:val="superscript"/>
        </w:rPr>
        <w:t>3</w:t>
      </w:r>
      <w:r>
        <w:rPr>
          <w:bCs/>
          <w:sz w:val="24"/>
        </w:rPr>
        <w:t>/a，夏季</w:t>
      </w:r>
      <w:r>
        <w:rPr>
          <w:rFonts w:hint="eastAsia"/>
          <w:bCs/>
          <w:sz w:val="24"/>
        </w:rPr>
        <w:t>255.17</w:t>
      </w:r>
      <w:r>
        <w:rPr>
          <w:bCs/>
          <w:sz w:val="24"/>
        </w:rPr>
        <w:t>m</w:t>
      </w:r>
      <w:r>
        <w:rPr>
          <w:bCs/>
          <w:sz w:val="24"/>
          <w:vertAlign w:val="superscript"/>
        </w:rPr>
        <w:t>3</w:t>
      </w:r>
      <w:r>
        <w:rPr>
          <w:bCs/>
          <w:sz w:val="24"/>
        </w:rPr>
        <w:t>/d，其他季节</w:t>
      </w:r>
      <w:r>
        <w:rPr>
          <w:rFonts w:hint="eastAsia"/>
          <w:bCs/>
          <w:sz w:val="24"/>
        </w:rPr>
        <w:t>171.22</w:t>
      </w:r>
      <w:r>
        <w:rPr>
          <w:bCs/>
          <w:sz w:val="24"/>
        </w:rPr>
        <w:t>m</w:t>
      </w:r>
      <w:r>
        <w:rPr>
          <w:bCs/>
          <w:sz w:val="24"/>
          <w:vertAlign w:val="superscript"/>
        </w:rPr>
        <w:t>3</w:t>
      </w:r>
      <w:r>
        <w:rPr>
          <w:bCs/>
          <w:sz w:val="24"/>
        </w:rPr>
        <w:t>/d。</w:t>
      </w:r>
    </w:p>
    <w:p>
      <w:pPr>
        <w:spacing w:line="520" w:lineRule="exact"/>
        <w:ind w:firstLine="480" w:firstLineChars="200"/>
        <w:rPr>
          <w:color w:val="FF0000"/>
          <w:sz w:val="24"/>
        </w:rPr>
      </w:pPr>
      <w:r>
        <w:rPr>
          <w:bCs/>
          <w:sz w:val="24"/>
        </w:rPr>
        <w:t>本项目采取</w:t>
      </w:r>
      <w:r>
        <w:rPr>
          <w:sz w:val="24"/>
        </w:rPr>
        <w:t>环保部认定的干清粪工艺，盖泻湖沼气池、沼气沼液沼渣综合利用”处理工艺</w:t>
      </w:r>
      <w:r>
        <w:rPr>
          <w:bCs/>
          <w:sz w:val="24"/>
        </w:rPr>
        <w:t>，养殖废水和生活污水进入盖泻湖沼气池进行30天厌氧发酵处理，</w:t>
      </w:r>
      <w:r>
        <w:rPr>
          <w:sz w:val="24"/>
        </w:rPr>
        <w:t>盖泻湖沼气池设计容积为10243</w:t>
      </w:r>
      <w:r>
        <w:rPr>
          <w:bCs/>
          <w:sz w:val="24"/>
        </w:rPr>
        <w:t>m</w:t>
      </w:r>
      <w:r>
        <w:rPr>
          <w:bCs/>
          <w:sz w:val="24"/>
          <w:vertAlign w:val="superscript"/>
        </w:rPr>
        <w:t>3</w:t>
      </w:r>
      <w:r>
        <w:rPr>
          <w:sz w:val="24"/>
        </w:rPr>
        <w:t>，满足夏季最大容</w:t>
      </w:r>
      <w:r>
        <w:rPr>
          <w:color w:val="000000" w:themeColor="text1"/>
          <w:sz w:val="24"/>
        </w:rPr>
        <w:t>纳30天共9025.2</w:t>
      </w:r>
      <w:r>
        <w:rPr>
          <w:bCs/>
          <w:color w:val="000000" w:themeColor="text1"/>
          <w:sz w:val="24"/>
        </w:rPr>
        <w:t>m</w:t>
      </w:r>
      <w:r>
        <w:rPr>
          <w:bCs/>
          <w:color w:val="000000" w:themeColor="text1"/>
          <w:sz w:val="24"/>
          <w:vertAlign w:val="superscript"/>
        </w:rPr>
        <w:t>3</w:t>
      </w:r>
      <w:r>
        <w:rPr>
          <w:color w:val="000000" w:themeColor="text1"/>
          <w:sz w:val="24"/>
        </w:rPr>
        <w:t>废</w:t>
      </w:r>
      <w:r>
        <w:rPr>
          <w:sz w:val="24"/>
        </w:rPr>
        <w:t>水处理需求。</w:t>
      </w:r>
    </w:p>
    <w:p>
      <w:pPr>
        <w:topLinePunct/>
        <w:spacing w:line="500" w:lineRule="exact"/>
        <w:ind w:firstLine="480" w:firstLineChars="200"/>
        <w:rPr>
          <w:sz w:val="24"/>
        </w:rPr>
      </w:pPr>
      <w:r>
        <w:rPr>
          <w:bCs/>
          <w:sz w:val="24"/>
        </w:rPr>
        <w:t>项目场区废水产生后统一进入盖泻湖沼气池进行处理，经过厌氧发酵的出水沼液在耕作施肥期用于配套消纳地进行综合利用，在非耕作期于场内沼液储存池中暂存，不外排。</w:t>
      </w:r>
      <w:r>
        <w:rPr>
          <w:bCs/>
          <w:color w:val="000000"/>
          <w:sz w:val="24"/>
        </w:rPr>
        <w:t>工程</w:t>
      </w:r>
      <w:r>
        <w:rPr>
          <w:color w:val="000000"/>
          <w:sz w:val="24"/>
        </w:rPr>
        <w:t>盖泻湖沼气池设计水力停留时间为30天，能够在保证废水处理效果。废水进厌氧发酵塘前经收集池均匀水质水量，做到沼液的保氮保肥，最大限度的发挥盖泻湖沼气池除臭杀菌的作用。经过厌氧发酵处理后产生的沼液属于高浓度有机废水，该废水具有有机物浓度高、可生化性好、易降解的特点，是较为理想的农田有机肥。</w:t>
      </w:r>
      <w:r>
        <w:rPr>
          <w:sz w:val="24"/>
        </w:rPr>
        <w:t>项目废水中主要污染物去除效率为COD80%、BOD</w:t>
      </w:r>
      <w:r>
        <w:rPr>
          <w:sz w:val="24"/>
          <w:vertAlign w:val="subscript"/>
        </w:rPr>
        <w:t>5</w:t>
      </w:r>
      <w:r>
        <w:rPr>
          <w:sz w:val="24"/>
        </w:rPr>
        <w:t>82.5%、SS87.5%、氨氮25%。</w:t>
      </w:r>
    </w:p>
    <w:p>
      <w:pPr>
        <w:spacing w:line="520" w:lineRule="exact"/>
        <w:ind w:firstLine="480" w:firstLineChars="200"/>
        <w:rPr>
          <w:bCs/>
          <w:sz w:val="24"/>
        </w:rPr>
      </w:pPr>
      <w:r>
        <w:rPr>
          <w:bCs/>
          <w:sz w:val="24"/>
        </w:rPr>
        <w:t>项目废水主要污染物产生及排放汇总表见表2.3-9。</w:t>
      </w:r>
    </w:p>
    <w:p>
      <w:pPr>
        <w:kinsoku w:val="0"/>
        <w:overflowPunct w:val="0"/>
        <w:spacing w:afterLines="30" w:line="500" w:lineRule="exact"/>
        <w:jc w:val="center"/>
        <w:rPr>
          <w:b/>
          <w:bCs/>
          <w:sz w:val="24"/>
        </w:rPr>
      </w:pPr>
      <w:bookmarkStart w:id="158" w:name="_Toc311979818"/>
      <w:bookmarkStart w:id="159" w:name="_Toc413166137"/>
      <w:bookmarkStart w:id="160" w:name="_Toc269400718"/>
      <w:bookmarkStart w:id="161" w:name="_Toc311979863"/>
      <w:bookmarkStart w:id="162" w:name="_Toc407001410"/>
      <w:bookmarkStart w:id="163" w:name="_Toc311979931"/>
      <w:bookmarkStart w:id="164" w:name="_Toc406847417"/>
      <w:bookmarkStart w:id="165" w:name="_Toc388881918"/>
      <w:r>
        <w:rPr>
          <w:b/>
          <w:bCs/>
          <w:sz w:val="24"/>
        </w:rPr>
        <w:t>表2.3-9工程废水主要污染物产生及排放情况一览表</w:t>
      </w:r>
    </w:p>
    <w:tbl>
      <w:tblPr>
        <w:tblStyle w:val="44"/>
        <w:tblW w:w="87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4"/>
        <w:gridCol w:w="1121"/>
        <w:gridCol w:w="1118"/>
        <w:gridCol w:w="1402"/>
        <w:gridCol w:w="1398"/>
        <w:gridCol w:w="1114"/>
        <w:gridCol w:w="13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1274" w:type="dxa"/>
            <w:tcMar>
              <w:left w:w="0" w:type="dxa"/>
              <w:right w:w="0" w:type="dxa"/>
            </w:tcMar>
            <w:vAlign w:val="center"/>
          </w:tcPr>
          <w:p>
            <w:pPr>
              <w:adjustRightInd w:val="0"/>
              <w:snapToGrid w:val="0"/>
              <w:spacing w:line="360" w:lineRule="exact"/>
              <w:jc w:val="center"/>
              <w:rPr>
                <w:bCs/>
                <w:szCs w:val="21"/>
              </w:rPr>
            </w:pPr>
            <w:r>
              <w:rPr>
                <w:bCs/>
                <w:szCs w:val="21"/>
              </w:rPr>
              <w:t>来源</w:t>
            </w:r>
          </w:p>
        </w:tc>
        <w:tc>
          <w:tcPr>
            <w:tcW w:w="1121" w:type="dxa"/>
            <w:vAlign w:val="center"/>
          </w:tcPr>
          <w:p>
            <w:pPr>
              <w:adjustRightInd w:val="0"/>
              <w:snapToGrid w:val="0"/>
              <w:spacing w:line="360" w:lineRule="exact"/>
              <w:jc w:val="center"/>
              <w:rPr>
                <w:bCs/>
                <w:szCs w:val="21"/>
              </w:rPr>
            </w:pPr>
            <w:r>
              <w:rPr>
                <w:bCs/>
                <w:szCs w:val="21"/>
              </w:rPr>
              <w:t>水量m</w:t>
            </w:r>
            <w:r>
              <w:rPr>
                <w:bCs/>
                <w:szCs w:val="21"/>
                <w:vertAlign w:val="superscript"/>
              </w:rPr>
              <w:t>3</w:t>
            </w:r>
            <w:r>
              <w:rPr>
                <w:bCs/>
                <w:szCs w:val="21"/>
              </w:rPr>
              <w:t>/a</w:t>
            </w:r>
          </w:p>
        </w:tc>
        <w:tc>
          <w:tcPr>
            <w:tcW w:w="1118" w:type="dxa"/>
            <w:tcMar>
              <w:left w:w="0" w:type="dxa"/>
              <w:right w:w="0" w:type="dxa"/>
            </w:tcMar>
            <w:vAlign w:val="center"/>
          </w:tcPr>
          <w:p>
            <w:pPr>
              <w:adjustRightInd w:val="0"/>
              <w:snapToGrid w:val="0"/>
              <w:spacing w:line="360" w:lineRule="exact"/>
              <w:jc w:val="center"/>
              <w:rPr>
                <w:bCs/>
                <w:szCs w:val="21"/>
              </w:rPr>
            </w:pPr>
            <w:r>
              <w:rPr>
                <w:bCs/>
                <w:szCs w:val="21"/>
              </w:rPr>
              <w:t>指标</w:t>
            </w:r>
          </w:p>
        </w:tc>
        <w:tc>
          <w:tcPr>
            <w:tcW w:w="1402" w:type="dxa"/>
            <w:vAlign w:val="center"/>
          </w:tcPr>
          <w:p>
            <w:pPr>
              <w:adjustRightInd w:val="0"/>
              <w:snapToGrid w:val="0"/>
              <w:spacing w:line="360" w:lineRule="exact"/>
              <w:jc w:val="center"/>
              <w:rPr>
                <w:bCs/>
                <w:szCs w:val="21"/>
              </w:rPr>
            </w:pPr>
            <w:r>
              <w:rPr>
                <w:bCs/>
                <w:szCs w:val="21"/>
              </w:rPr>
              <w:t>浓度mg/L</w:t>
            </w:r>
          </w:p>
        </w:tc>
        <w:tc>
          <w:tcPr>
            <w:tcW w:w="1398" w:type="dxa"/>
            <w:tcMar>
              <w:left w:w="0" w:type="dxa"/>
              <w:right w:w="0" w:type="dxa"/>
            </w:tcMar>
            <w:vAlign w:val="center"/>
          </w:tcPr>
          <w:p>
            <w:pPr>
              <w:adjustRightInd w:val="0"/>
              <w:snapToGrid w:val="0"/>
              <w:spacing w:line="360" w:lineRule="exact"/>
              <w:jc w:val="center"/>
              <w:rPr>
                <w:bCs/>
                <w:szCs w:val="21"/>
              </w:rPr>
            </w:pPr>
            <w:r>
              <w:rPr>
                <w:bCs/>
                <w:szCs w:val="21"/>
              </w:rPr>
              <w:t>产生量t/a</w:t>
            </w:r>
          </w:p>
        </w:tc>
        <w:tc>
          <w:tcPr>
            <w:tcW w:w="1114" w:type="dxa"/>
            <w:vAlign w:val="center"/>
          </w:tcPr>
          <w:p>
            <w:pPr>
              <w:adjustRightInd w:val="0"/>
              <w:snapToGrid w:val="0"/>
              <w:spacing w:line="360" w:lineRule="exact"/>
              <w:jc w:val="center"/>
              <w:rPr>
                <w:bCs/>
                <w:szCs w:val="21"/>
              </w:rPr>
            </w:pPr>
            <w:r>
              <w:rPr>
                <w:bCs/>
                <w:szCs w:val="21"/>
              </w:rPr>
              <w:t>排放量t/a</w:t>
            </w:r>
          </w:p>
        </w:tc>
        <w:tc>
          <w:tcPr>
            <w:tcW w:w="1333" w:type="dxa"/>
            <w:tcMar>
              <w:left w:w="0" w:type="dxa"/>
              <w:right w:w="0" w:type="dxa"/>
            </w:tcMar>
            <w:vAlign w:val="center"/>
          </w:tcPr>
          <w:p>
            <w:pPr>
              <w:adjustRightInd w:val="0"/>
              <w:snapToGrid w:val="0"/>
              <w:spacing w:line="360" w:lineRule="exact"/>
              <w:jc w:val="center"/>
              <w:rPr>
                <w:bCs/>
                <w:szCs w:val="21"/>
              </w:rPr>
            </w:pPr>
            <w:r>
              <w:rPr>
                <w:bCs/>
                <w:szCs w:val="21"/>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restart"/>
            <w:tcMar>
              <w:left w:w="0" w:type="dxa"/>
              <w:right w:w="0" w:type="dxa"/>
            </w:tcMar>
            <w:vAlign w:val="center"/>
          </w:tcPr>
          <w:p>
            <w:pPr>
              <w:spacing w:line="360" w:lineRule="exact"/>
              <w:jc w:val="center"/>
              <w:rPr>
                <w:szCs w:val="21"/>
              </w:rPr>
            </w:pPr>
            <w:r>
              <w:rPr>
                <w:szCs w:val="21"/>
              </w:rPr>
              <w:t>养殖废水</w:t>
            </w:r>
          </w:p>
        </w:tc>
        <w:tc>
          <w:tcPr>
            <w:tcW w:w="1121" w:type="dxa"/>
            <w:vMerge w:val="restart"/>
            <w:vAlign w:val="center"/>
          </w:tcPr>
          <w:p>
            <w:pPr>
              <w:jc w:val="center"/>
              <w:rPr>
                <w:szCs w:val="21"/>
              </w:rPr>
            </w:pPr>
            <w:r>
              <w:rPr>
                <w:szCs w:val="21"/>
              </w:rPr>
              <w:t>70846.5</w:t>
            </w:r>
          </w:p>
        </w:tc>
        <w:tc>
          <w:tcPr>
            <w:tcW w:w="1118" w:type="dxa"/>
            <w:tcMar>
              <w:left w:w="0" w:type="dxa"/>
              <w:right w:w="0" w:type="dxa"/>
            </w:tcMar>
            <w:vAlign w:val="center"/>
          </w:tcPr>
          <w:p>
            <w:pPr>
              <w:spacing w:line="360" w:lineRule="exact"/>
              <w:jc w:val="center"/>
              <w:rPr>
                <w:szCs w:val="21"/>
              </w:rPr>
            </w:pPr>
            <w:r>
              <w:rPr>
                <w:szCs w:val="21"/>
              </w:rPr>
              <w:t>COD</w:t>
            </w:r>
          </w:p>
        </w:tc>
        <w:tc>
          <w:tcPr>
            <w:tcW w:w="1402" w:type="dxa"/>
            <w:vAlign w:val="bottom"/>
          </w:tcPr>
          <w:p>
            <w:pPr>
              <w:jc w:val="center"/>
              <w:rPr>
                <w:bCs/>
                <w:color w:val="000000"/>
                <w:szCs w:val="21"/>
              </w:rPr>
            </w:pPr>
            <w:r>
              <w:rPr>
                <w:bCs/>
                <w:color w:val="000000"/>
                <w:szCs w:val="21"/>
              </w:rPr>
              <w:t>15000</w:t>
            </w:r>
          </w:p>
        </w:tc>
        <w:tc>
          <w:tcPr>
            <w:tcW w:w="1398" w:type="dxa"/>
            <w:tcMar>
              <w:left w:w="0" w:type="dxa"/>
              <w:right w:w="0" w:type="dxa"/>
            </w:tcMar>
            <w:vAlign w:val="bottom"/>
          </w:tcPr>
          <w:p>
            <w:pPr>
              <w:jc w:val="center"/>
              <w:rPr>
                <w:bCs/>
                <w:szCs w:val="21"/>
              </w:rPr>
            </w:pPr>
            <w:r>
              <w:rPr>
                <w:bCs/>
                <w:szCs w:val="21"/>
              </w:rPr>
              <w:t xml:space="preserve">1062.70 </w:t>
            </w:r>
          </w:p>
        </w:tc>
        <w:tc>
          <w:tcPr>
            <w:tcW w:w="1114" w:type="dxa"/>
            <w:vMerge w:val="restart"/>
            <w:vAlign w:val="center"/>
          </w:tcPr>
          <w:p>
            <w:pPr>
              <w:adjustRightInd w:val="0"/>
              <w:snapToGrid w:val="0"/>
              <w:spacing w:line="360" w:lineRule="exact"/>
              <w:jc w:val="center"/>
              <w:rPr>
                <w:bCs/>
                <w:szCs w:val="21"/>
              </w:rPr>
            </w:pPr>
            <w:r>
              <w:rPr>
                <w:bCs/>
                <w:szCs w:val="21"/>
              </w:rPr>
              <w:t>0</w:t>
            </w:r>
          </w:p>
        </w:tc>
        <w:tc>
          <w:tcPr>
            <w:tcW w:w="1333" w:type="dxa"/>
            <w:vMerge w:val="restart"/>
            <w:tcMar>
              <w:left w:w="0" w:type="dxa"/>
              <w:right w:w="0" w:type="dxa"/>
            </w:tcMar>
            <w:vAlign w:val="center"/>
          </w:tcPr>
          <w:p>
            <w:pPr>
              <w:adjustRightInd w:val="0"/>
              <w:snapToGrid w:val="0"/>
              <w:spacing w:line="360" w:lineRule="exact"/>
              <w:jc w:val="center"/>
              <w:rPr>
                <w:bCs/>
                <w:szCs w:val="21"/>
              </w:rPr>
            </w:pPr>
            <w:r>
              <w:rPr>
                <w:bCs/>
                <w:szCs w:val="21"/>
              </w:rPr>
              <w:t>农肥施用季节做农肥，雨季由沼液储存池暂时贮存，不外排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spacing w:line="360" w:lineRule="exact"/>
              <w:jc w:val="center"/>
              <w:rPr>
                <w:color w:val="FF0000"/>
                <w:szCs w:val="21"/>
              </w:rPr>
            </w:pPr>
          </w:p>
        </w:tc>
        <w:tc>
          <w:tcPr>
            <w:tcW w:w="1121" w:type="dxa"/>
            <w:vMerge w:val="continue"/>
            <w:vAlign w:val="center"/>
          </w:tcPr>
          <w:p>
            <w:pPr>
              <w:jc w:val="center"/>
              <w:rPr>
                <w:color w:val="000000"/>
                <w:szCs w:val="21"/>
              </w:rPr>
            </w:pPr>
          </w:p>
        </w:tc>
        <w:tc>
          <w:tcPr>
            <w:tcW w:w="1118" w:type="dxa"/>
            <w:tcMar>
              <w:left w:w="0" w:type="dxa"/>
              <w:right w:w="0" w:type="dxa"/>
            </w:tcMar>
            <w:vAlign w:val="center"/>
          </w:tcPr>
          <w:p>
            <w:pPr>
              <w:spacing w:line="360" w:lineRule="exact"/>
              <w:jc w:val="center"/>
              <w:rPr>
                <w:szCs w:val="21"/>
              </w:rPr>
            </w:pPr>
            <w:r>
              <w:rPr>
                <w:szCs w:val="21"/>
              </w:rPr>
              <w:t>BOD</w:t>
            </w:r>
            <w:r>
              <w:rPr>
                <w:szCs w:val="21"/>
                <w:vertAlign w:val="subscript"/>
              </w:rPr>
              <w:t>5</w:t>
            </w:r>
          </w:p>
        </w:tc>
        <w:tc>
          <w:tcPr>
            <w:tcW w:w="1402" w:type="dxa"/>
            <w:vAlign w:val="bottom"/>
          </w:tcPr>
          <w:p>
            <w:pPr>
              <w:jc w:val="center"/>
              <w:rPr>
                <w:bCs/>
                <w:color w:val="000000"/>
                <w:szCs w:val="21"/>
              </w:rPr>
            </w:pPr>
            <w:r>
              <w:rPr>
                <w:bCs/>
                <w:color w:val="000000"/>
                <w:szCs w:val="21"/>
              </w:rPr>
              <w:t>6000</w:t>
            </w:r>
          </w:p>
        </w:tc>
        <w:tc>
          <w:tcPr>
            <w:tcW w:w="1398" w:type="dxa"/>
            <w:tcMar>
              <w:left w:w="0" w:type="dxa"/>
              <w:right w:w="0" w:type="dxa"/>
            </w:tcMar>
            <w:vAlign w:val="bottom"/>
          </w:tcPr>
          <w:p>
            <w:pPr>
              <w:jc w:val="center"/>
              <w:rPr>
                <w:bCs/>
                <w:szCs w:val="21"/>
              </w:rPr>
            </w:pPr>
            <w:r>
              <w:rPr>
                <w:bCs/>
                <w:szCs w:val="21"/>
              </w:rPr>
              <w:t xml:space="preserve">425.08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spacing w:line="360" w:lineRule="exact"/>
              <w:jc w:val="center"/>
              <w:rPr>
                <w:color w:val="FF0000"/>
                <w:szCs w:val="21"/>
              </w:rPr>
            </w:pPr>
          </w:p>
        </w:tc>
        <w:tc>
          <w:tcPr>
            <w:tcW w:w="1121" w:type="dxa"/>
            <w:vMerge w:val="continue"/>
            <w:vAlign w:val="center"/>
          </w:tcPr>
          <w:p>
            <w:pPr>
              <w:jc w:val="center"/>
              <w:rPr>
                <w:color w:val="000000"/>
                <w:szCs w:val="21"/>
              </w:rPr>
            </w:pPr>
          </w:p>
        </w:tc>
        <w:tc>
          <w:tcPr>
            <w:tcW w:w="1118" w:type="dxa"/>
            <w:tcMar>
              <w:left w:w="0" w:type="dxa"/>
              <w:right w:w="0" w:type="dxa"/>
            </w:tcMar>
            <w:vAlign w:val="center"/>
          </w:tcPr>
          <w:p>
            <w:pPr>
              <w:spacing w:line="360" w:lineRule="exact"/>
              <w:jc w:val="center"/>
              <w:rPr>
                <w:szCs w:val="21"/>
              </w:rPr>
            </w:pPr>
            <w:r>
              <w:rPr>
                <w:szCs w:val="21"/>
              </w:rPr>
              <w:t>SS</w:t>
            </w:r>
          </w:p>
        </w:tc>
        <w:tc>
          <w:tcPr>
            <w:tcW w:w="1402" w:type="dxa"/>
            <w:vAlign w:val="bottom"/>
          </w:tcPr>
          <w:p>
            <w:pPr>
              <w:jc w:val="center"/>
              <w:rPr>
                <w:bCs/>
                <w:color w:val="000000"/>
                <w:szCs w:val="21"/>
              </w:rPr>
            </w:pPr>
            <w:r>
              <w:rPr>
                <w:bCs/>
                <w:color w:val="000000"/>
                <w:szCs w:val="21"/>
              </w:rPr>
              <w:t>7800</w:t>
            </w:r>
          </w:p>
        </w:tc>
        <w:tc>
          <w:tcPr>
            <w:tcW w:w="1398" w:type="dxa"/>
            <w:tcMar>
              <w:left w:w="0" w:type="dxa"/>
              <w:right w:w="0" w:type="dxa"/>
            </w:tcMar>
            <w:vAlign w:val="bottom"/>
          </w:tcPr>
          <w:p>
            <w:pPr>
              <w:jc w:val="center"/>
              <w:rPr>
                <w:bCs/>
                <w:szCs w:val="21"/>
              </w:rPr>
            </w:pPr>
            <w:r>
              <w:rPr>
                <w:bCs/>
                <w:szCs w:val="21"/>
              </w:rPr>
              <w:t xml:space="preserve">552.60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spacing w:line="360" w:lineRule="exact"/>
              <w:jc w:val="center"/>
              <w:rPr>
                <w:color w:val="FF0000"/>
                <w:szCs w:val="21"/>
              </w:rPr>
            </w:pPr>
          </w:p>
        </w:tc>
        <w:tc>
          <w:tcPr>
            <w:tcW w:w="1121" w:type="dxa"/>
            <w:vMerge w:val="continue"/>
            <w:vAlign w:val="center"/>
          </w:tcPr>
          <w:p>
            <w:pPr>
              <w:jc w:val="center"/>
              <w:rPr>
                <w:color w:val="000000"/>
                <w:szCs w:val="21"/>
              </w:rPr>
            </w:pPr>
          </w:p>
        </w:tc>
        <w:tc>
          <w:tcPr>
            <w:tcW w:w="1118" w:type="dxa"/>
            <w:tcMar>
              <w:left w:w="0" w:type="dxa"/>
              <w:right w:w="0" w:type="dxa"/>
            </w:tcMar>
            <w:vAlign w:val="center"/>
          </w:tcPr>
          <w:p>
            <w:pPr>
              <w:spacing w:line="360" w:lineRule="exact"/>
              <w:jc w:val="center"/>
              <w:rPr>
                <w:szCs w:val="21"/>
              </w:rPr>
            </w:pPr>
            <w:r>
              <w:rPr>
                <w:szCs w:val="21"/>
              </w:rPr>
              <w:t>NH</w:t>
            </w:r>
            <w:r>
              <w:rPr>
                <w:szCs w:val="21"/>
                <w:vertAlign w:val="subscript"/>
              </w:rPr>
              <w:t>3</w:t>
            </w:r>
            <w:r>
              <w:rPr>
                <w:szCs w:val="21"/>
              </w:rPr>
              <w:t>-N</w:t>
            </w:r>
          </w:p>
        </w:tc>
        <w:tc>
          <w:tcPr>
            <w:tcW w:w="1402" w:type="dxa"/>
            <w:vAlign w:val="bottom"/>
          </w:tcPr>
          <w:p>
            <w:pPr>
              <w:jc w:val="center"/>
              <w:rPr>
                <w:bCs/>
                <w:color w:val="000000"/>
                <w:szCs w:val="21"/>
              </w:rPr>
            </w:pPr>
            <w:r>
              <w:rPr>
                <w:bCs/>
                <w:color w:val="000000"/>
                <w:szCs w:val="21"/>
              </w:rPr>
              <w:t>1000</w:t>
            </w:r>
          </w:p>
        </w:tc>
        <w:tc>
          <w:tcPr>
            <w:tcW w:w="1398" w:type="dxa"/>
            <w:tcMar>
              <w:left w:w="0" w:type="dxa"/>
              <w:right w:w="0" w:type="dxa"/>
            </w:tcMar>
            <w:vAlign w:val="bottom"/>
          </w:tcPr>
          <w:p>
            <w:pPr>
              <w:jc w:val="center"/>
              <w:rPr>
                <w:bCs/>
                <w:szCs w:val="21"/>
              </w:rPr>
            </w:pPr>
            <w:r>
              <w:rPr>
                <w:bCs/>
                <w:szCs w:val="21"/>
              </w:rPr>
              <w:t xml:space="preserve">70.85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restart"/>
            <w:tcMar>
              <w:left w:w="0" w:type="dxa"/>
              <w:right w:w="0" w:type="dxa"/>
            </w:tcMar>
            <w:vAlign w:val="center"/>
          </w:tcPr>
          <w:p>
            <w:pPr>
              <w:spacing w:line="360" w:lineRule="exact"/>
              <w:jc w:val="center"/>
              <w:rPr>
                <w:szCs w:val="21"/>
              </w:rPr>
            </w:pPr>
            <w:r>
              <w:rPr>
                <w:szCs w:val="21"/>
              </w:rPr>
              <w:t>生活污水</w:t>
            </w:r>
          </w:p>
        </w:tc>
        <w:tc>
          <w:tcPr>
            <w:tcW w:w="1121" w:type="dxa"/>
            <w:vMerge w:val="restart"/>
            <w:vAlign w:val="center"/>
          </w:tcPr>
          <w:p>
            <w:pPr>
              <w:jc w:val="center"/>
              <w:rPr>
                <w:color w:val="000000"/>
                <w:szCs w:val="21"/>
              </w:rPr>
            </w:pPr>
            <w:r>
              <w:rPr>
                <w:rFonts w:hint="eastAsia"/>
                <w:szCs w:val="21"/>
              </w:rPr>
              <w:t>1715.5</w:t>
            </w:r>
          </w:p>
        </w:tc>
        <w:tc>
          <w:tcPr>
            <w:tcW w:w="1118" w:type="dxa"/>
            <w:tcMar>
              <w:left w:w="0" w:type="dxa"/>
              <w:right w:w="0" w:type="dxa"/>
            </w:tcMar>
            <w:vAlign w:val="center"/>
          </w:tcPr>
          <w:p>
            <w:pPr>
              <w:spacing w:line="360" w:lineRule="exact"/>
              <w:jc w:val="center"/>
              <w:rPr>
                <w:szCs w:val="21"/>
              </w:rPr>
            </w:pPr>
            <w:r>
              <w:rPr>
                <w:szCs w:val="21"/>
              </w:rPr>
              <w:t>COD</w:t>
            </w:r>
          </w:p>
        </w:tc>
        <w:tc>
          <w:tcPr>
            <w:tcW w:w="1402" w:type="dxa"/>
            <w:vAlign w:val="bottom"/>
          </w:tcPr>
          <w:p>
            <w:pPr>
              <w:jc w:val="center"/>
              <w:rPr>
                <w:bCs/>
                <w:color w:val="000000"/>
                <w:szCs w:val="21"/>
              </w:rPr>
            </w:pPr>
            <w:r>
              <w:rPr>
                <w:bCs/>
                <w:color w:val="000000"/>
                <w:szCs w:val="21"/>
              </w:rPr>
              <w:t>300</w:t>
            </w:r>
          </w:p>
        </w:tc>
        <w:tc>
          <w:tcPr>
            <w:tcW w:w="1398" w:type="dxa"/>
            <w:tcMar>
              <w:left w:w="0" w:type="dxa"/>
              <w:right w:w="0" w:type="dxa"/>
            </w:tcMar>
            <w:vAlign w:val="bottom"/>
          </w:tcPr>
          <w:p>
            <w:pPr>
              <w:jc w:val="center"/>
              <w:rPr>
                <w:bCs/>
                <w:szCs w:val="21"/>
              </w:rPr>
            </w:pPr>
            <w:r>
              <w:rPr>
                <w:bCs/>
                <w:szCs w:val="21"/>
              </w:rPr>
              <w:t xml:space="preserve">0.51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spacing w:line="360" w:lineRule="exact"/>
              <w:jc w:val="center"/>
              <w:rPr>
                <w:szCs w:val="21"/>
              </w:rPr>
            </w:pPr>
          </w:p>
        </w:tc>
        <w:tc>
          <w:tcPr>
            <w:tcW w:w="1121" w:type="dxa"/>
            <w:vMerge w:val="continue"/>
            <w:vAlign w:val="center"/>
          </w:tcPr>
          <w:p>
            <w:pPr>
              <w:jc w:val="center"/>
              <w:rPr>
                <w:color w:val="000000"/>
                <w:szCs w:val="21"/>
              </w:rPr>
            </w:pPr>
          </w:p>
        </w:tc>
        <w:tc>
          <w:tcPr>
            <w:tcW w:w="1118" w:type="dxa"/>
            <w:tcMar>
              <w:left w:w="0" w:type="dxa"/>
              <w:right w:w="0" w:type="dxa"/>
            </w:tcMar>
            <w:vAlign w:val="center"/>
          </w:tcPr>
          <w:p>
            <w:pPr>
              <w:spacing w:line="360" w:lineRule="exact"/>
              <w:jc w:val="center"/>
              <w:rPr>
                <w:szCs w:val="21"/>
              </w:rPr>
            </w:pPr>
            <w:r>
              <w:rPr>
                <w:szCs w:val="21"/>
              </w:rPr>
              <w:t>BOD</w:t>
            </w:r>
            <w:r>
              <w:rPr>
                <w:szCs w:val="21"/>
                <w:vertAlign w:val="subscript"/>
              </w:rPr>
              <w:t>5</w:t>
            </w:r>
          </w:p>
        </w:tc>
        <w:tc>
          <w:tcPr>
            <w:tcW w:w="1402" w:type="dxa"/>
            <w:vAlign w:val="bottom"/>
          </w:tcPr>
          <w:p>
            <w:pPr>
              <w:jc w:val="center"/>
              <w:rPr>
                <w:bCs/>
                <w:color w:val="000000"/>
                <w:szCs w:val="21"/>
              </w:rPr>
            </w:pPr>
            <w:r>
              <w:rPr>
                <w:bCs/>
                <w:color w:val="000000"/>
                <w:szCs w:val="21"/>
              </w:rPr>
              <w:t>150</w:t>
            </w:r>
          </w:p>
        </w:tc>
        <w:tc>
          <w:tcPr>
            <w:tcW w:w="1398" w:type="dxa"/>
            <w:tcMar>
              <w:left w:w="0" w:type="dxa"/>
              <w:right w:w="0" w:type="dxa"/>
            </w:tcMar>
            <w:vAlign w:val="bottom"/>
          </w:tcPr>
          <w:p>
            <w:pPr>
              <w:jc w:val="center"/>
              <w:rPr>
                <w:bCs/>
                <w:szCs w:val="21"/>
              </w:rPr>
            </w:pPr>
            <w:r>
              <w:rPr>
                <w:bCs/>
                <w:szCs w:val="21"/>
              </w:rPr>
              <w:t xml:space="preserve">0.26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spacing w:line="360" w:lineRule="exact"/>
              <w:jc w:val="center"/>
              <w:rPr>
                <w:szCs w:val="21"/>
              </w:rPr>
            </w:pPr>
          </w:p>
        </w:tc>
        <w:tc>
          <w:tcPr>
            <w:tcW w:w="1121" w:type="dxa"/>
            <w:vMerge w:val="continue"/>
            <w:vAlign w:val="center"/>
          </w:tcPr>
          <w:p>
            <w:pPr>
              <w:jc w:val="center"/>
              <w:rPr>
                <w:color w:val="000000"/>
                <w:szCs w:val="21"/>
              </w:rPr>
            </w:pPr>
          </w:p>
        </w:tc>
        <w:tc>
          <w:tcPr>
            <w:tcW w:w="1118" w:type="dxa"/>
            <w:tcMar>
              <w:left w:w="0" w:type="dxa"/>
              <w:right w:w="0" w:type="dxa"/>
            </w:tcMar>
            <w:vAlign w:val="center"/>
          </w:tcPr>
          <w:p>
            <w:pPr>
              <w:spacing w:line="360" w:lineRule="exact"/>
              <w:jc w:val="center"/>
              <w:rPr>
                <w:szCs w:val="21"/>
              </w:rPr>
            </w:pPr>
            <w:r>
              <w:rPr>
                <w:szCs w:val="21"/>
              </w:rPr>
              <w:t>SS</w:t>
            </w:r>
          </w:p>
        </w:tc>
        <w:tc>
          <w:tcPr>
            <w:tcW w:w="1402" w:type="dxa"/>
            <w:vAlign w:val="bottom"/>
          </w:tcPr>
          <w:p>
            <w:pPr>
              <w:jc w:val="center"/>
              <w:rPr>
                <w:bCs/>
                <w:color w:val="000000"/>
                <w:szCs w:val="21"/>
              </w:rPr>
            </w:pPr>
            <w:r>
              <w:rPr>
                <w:bCs/>
                <w:color w:val="000000"/>
                <w:szCs w:val="21"/>
              </w:rPr>
              <w:t>200</w:t>
            </w:r>
          </w:p>
        </w:tc>
        <w:tc>
          <w:tcPr>
            <w:tcW w:w="1398" w:type="dxa"/>
            <w:tcMar>
              <w:left w:w="0" w:type="dxa"/>
              <w:right w:w="0" w:type="dxa"/>
            </w:tcMar>
            <w:vAlign w:val="bottom"/>
          </w:tcPr>
          <w:p>
            <w:pPr>
              <w:jc w:val="center"/>
              <w:rPr>
                <w:bCs/>
                <w:szCs w:val="21"/>
              </w:rPr>
            </w:pPr>
            <w:r>
              <w:rPr>
                <w:bCs/>
                <w:szCs w:val="21"/>
              </w:rPr>
              <w:t xml:space="preserve">0.34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spacing w:line="360" w:lineRule="exact"/>
              <w:jc w:val="center"/>
              <w:rPr>
                <w:szCs w:val="21"/>
              </w:rPr>
            </w:pPr>
          </w:p>
        </w:tc>
        <w:tc>
          <w:tcPr>
            <w:tcW w:w="1121" w:type="dxa"/>
            <w:vMerge w:val="continue"/>
            <w:vAlign w:val="center"/>
          </w:tcPr>
          <w:p>
            <w:pPr>
              <w:jc w:val="center"/>
              <w:rPr>
                <w:color w:val="000000"/>
                <w:szCs w:val="21"/>
              </w:rPr>
            </w:pPr>
          </w:p>
        </w:tc>
        <w:tc>
          <w:tcPr>
            <w:tcW w:w="1118" w:type="dxa"/>
            <w:tcMar>
              <w:left w:w="0" w:type="dxa"/>
              <w:right w:w="0" w:type="dxa"/>
            </w:tcMar>
            <w:vAlign w:val="center"/>
          </w:tcPr>
          <w:p>
            <w:pPr>
              <w:spacing w:line="360" w:lineRule="exact"/>
              <w:jc w:val="center"/>
              <w:rPr>
                <w:szCs w:val="21"/>
              </w:rPr>
            </w:pPr>
            <w:r>
              <w:rPr>
                <w:szCs w:val="21"/>
              </w:rPr>
              <w:t>NH</w:t>
            </w:r>
            <w:r>
              <w:rPr>
                <w:szCs w:val="21"/>
                <w:vertAlign w:val="subscript"/>
              </w:rPr>
              <w:t>3</w:t>
            </w:r>
            <w:r>
              <w:rPr>
                <w:szCs w:val="21"/>
              </w:rPr>
              <w:t>-N</w:t>
            </w:r>
          </w:p>
        </w:tc>
        <w:tc>
          <w:tcPr>
            <w:tcW w:w="1402" w:type="dxa"/>
            <w:vAlign w:val="bottom"/>
          </w:tcPr>
          <w:p>
            <w:pPr>
              <w:jc w:val="center"/>
              <w:rPr>
                <w:bCs/>
                <w:color w:val="000000"/>
                <w:szCs w:val="21"/>
              </w:rPr>
            </w:pPr>
            <w:r>
              <w:rPr>
                <w:bCs/>
                <w:color w:val="000000"/>
                <w:szCs w:val="21"/>
              </w:rPr>
              <w:t>30</w:t>
            </w:r>
          </w:p>
        </w:tc>
        <w:tc>
          <w:tcPr>
            <w:tcW w:w="1398" w:type="dxa"/>
            <w:tcMar>
              <w:left w:w="0" w:type="dxa"/>
              <w:right w:w="0" w:type="dxa"/>
            </w:tcMar>
            <w:vAlign w:val="bottom"/>
          </w:tcPr>
          <w:p>
            <w:pPr>
              <w:jc w:val="center"/>
              <w:rPr>
                <w:bCs/>
                <w:szCs w:val="21"/>
              </w:rPr>
            </w:pPr>
            <w:r>
              <w:rPr>
                <w:bCs/>
                <w:szCs w:val="21"/>
              </w:rPr>
              <w:t xml:space="preserve">0.05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restart"/>
            <w:tcMar>
              <w:left w:w="0" w:type="dxa"/>
              <w:right w:w="0" w:type="dxa"/>
            </w:tcMar>
            <w:vAlign w:val="center"/>
          </w:tcPr>
          <w:p>
            <w:pPr>
              <w:spacing w:line="360" w:lineRule="exact"/>
              <w:jc w:val="center"/>
              <w:rPr>
                <w:szCs w:val="21"/>
              </w:rPr>
            </w:pPr>
            <w:r>
              <w:rPr>
                <w:szCs w:val="21"/>
              </w:rPr>
              <w:t>无害化车间废水</w:t>
            </w:r>
          </w:p>
        </w:tc>
        <w:tc>
          <w:tcPr>
            <w:tcW w:w="1121" w:type="dxa"/>
            <w:vMerge w:val="restart"/>
            <w:vAlign w:val="center"/>
          </w:tcPr>
          <w:p>
            <w:pPr>
              <w:jc w:val="center"/>
              <w:rPr>
                <w:color w:val="000000"/>
                <w:szCs w:val="21"/>
              </w:rPr>
            </w:pPr>
            <w:r>
              <w:rPr>
                <w:color w:val="000000"/>
                <w:szCs w:val="21"/>
              </w:rPr>
              <w:t>175.2</w:t>
            </w:r>
          </w:p>
        </w:tc>
        <w:tc>
          <w:tcPr>
            <w:tcW w:w="1118" w:type="dxa"/>
            <w:tcMar>
              <w:left w:w="0" w:type="dxa"/>
              <w:right w:w="0" w:type="dxa"/>
            </w:tcMar>
            <w:vAlign w:val="center"/>
          </w:tcPr>
          <w:p>
            <w:pPr>
              <w:spacing w:line="360" w:lineRule="exact"/>
              <w:jc w:val="center"/>
              <w:rPr>
                <w:szCs w:val="21"/>
              </w:rPr>
            </w:pPr>
            <w:r>
              <w:rPr>
                <w:szCs w:val="21"/>
              </w:rPr>
              <w:t>COD</w:t>
            </w:r>
          </w:p>
        </w:tc>
        <w:tc>
          <w:tcPr>
            <w:tcW w:w="1402" w:type="dxa"/>
            <w:vAlign w:val="bottom"/>
          </w:tcPr>
          <w:p>
            <w:pPr>
              <w:jc w:val="center"/>
              <w:rPr>
                <w:bCs/>
                <w:color w:val="000000"/>
                <w:szCs w:val="21"/>
              </w:rPr>
            </w:pPr>
            <w:r>
              <w:rPr>
                <w:bCs/>
                <w:color w:val="000000"/>
                <w:szCs w:val="21"/>
              </w:rPr>
              <w:t>700</w:t>
            </w:r>
          </w:p>
        </w:tc>
        <w:tc>
          <w:tcPr>
            <w:tcW w:w="1398" w:type="dxa"/>
            <w:tcMar>
              <w:left w:w="0" w:type="dxa"/>
              <w:right w:w="0" w:type="dxa"/>
            </w:tcMar>
            <w:vAlign w:val="bottom"/>
          </w:tcPr>
          <w:p>
            <w:pPr>
              <w:jc w:val="center"/>
              <w:rPr>
                <w:bCs/>
                <w:szCs w:val="21"/>
              </w:rPr>
            </w:pPr>
            <w:r>
              <w:rPr>
                <w:bCs/>
                <w:szCs w:val="21"/>
              </w:rPr>
              <w:t xml:space="preserve">0.12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spacing w:line="360" w:lineRule="exact"/>
              <w:jc w:val="center"/>
              <w:rPr>
                <w:szCs w:val="21"/>
              </w:rPr>
            </w:pPr>
          </w:p>
        </w:tc>
        <w:tc>
          <w:tcPr>
            <w:tcW w:w="1121" w:type="dxa"/>
            <w:vMerge w:val="continue"/>
            <w:vAlign w:val="center"/>
          </w:tcPr>
          <w:p>
            <w:pPr>
              <w:jc w:val="center"/>
              <w:rPr>
                <w:color w:val="000000"/>
                <w:szCs w:val="21"/>
              </w:rPr>
            </w:pPr>
          </w:p>
        </w:tc>
        <w:tc>
          <w:tcPr>
            <w:tcW w:w="1118" w:type="dxa"/>
            <w:tcMar>
              <w:left w:w="0" w:type="dxa"/>
              <w:right w:w="0" w:type="dxa"/>
            </w:tcMar>
            <w:vAlign w:val="center"/>
          </w:tcPr>
          <w:p>
            <w:pPr>
              <w:spacing w:line="360" w:lineRule="exact"/>
              <w:jc w:val="center"/>
              <w:rPr>
                <w:szCs w:val="21"/>
              </w:rPr>
            </w:pPr>
            <w:r>
              <w:rPr>
                <w:szCs w:val="21"/>
              </w:rPr>
              <w:t>BOD</w:t>
            </w:r>
            <w:r>
              <w:rPr>
                <w:szCs w:val="21"/>
                <w:vertAlign w:val="subscript"/>
              </w:rPr>
              <w:t>5</w:t>
            </w:r>
          </w:p>
        </w:tc>
        <w:tc>
          <w:tcPr>
            <w:tcW w:w="1402" w:type="dxa"/>
            <w:vAlign w:val="bottom"/>
          </w:tcPr>
          <w:p>
            <w:pPr>
              <w:jc w:val="center"/>
              <w:rPr>
                <w:bCs/>
                <w:color w:val="000000"/>
                <w:szCs w:val="21"/>
              </w:rPr>
            </w:pPr>
            <w:r>
              <w:rPr>
                <w:bCs/>
                <w:color w:val="000000"/>
                <w:szCs w:val="21"/>
              </w:rPr>
              <w:t>350</w:t>
            </w:r>
          </w:p>
        </w:tc>
        <w:tc>
          <w:tcPr>
            <w:tcW w:w="1398" w:type="dxa"/>
            <w:tcMar>
              <w:left w:w="0" w:type="dxa"/>
              <w:right w:w="0" w:type="dxa"/>
            </w:tcMar>
            <w:vAlign w:val="bottom"/>
          </w:tcPr>
          <w:p>
            <w:pPr>
              <w:jc w:val="center"/>
              <w:rPr>
                <w:bCs/>
                <w:szCs w:val="21"/>
              </w:rPr>
            </w:pPr>
            <w:r>
              <w:rPr>
                <w:bCs/>
                <w:szCs w:val="21"/>
              </w:rPr>
              <w:t xml:space="preserve">0.06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spacing w:line="360" w:lineRule="exact"/>
              <w:jc w:val="center"/>
              <w:rPr>
                <w:szCs w:val="21"/>
              </w:rPr>
            </w:pPr>
          </w:p>
        </w:tc>
        <w:tc>
          <w:tcPr>
            <w:tcW w:w="1121" w:type="dxa"/>
            <w:vMerge w:val="continue"/>
            <w:vAlign w:val="center"/>
          </w:tcPr>
          <w:p>
            <w:pPr>
              <w:jc w:val="center"/>
              <w:rPr>
                <w:color w:val="000000"/>
                <w:szCs w:val="21"/>
              </w:rPr>
            </w:pPr>
          </w:p>
        </w:tc>
        <w:tc>
          <w:tcPr>
            <w:tcW w:w="1118" w:type="dxa"/>
            <w:tcMar>
              <w:left w:w="0" w:type="dxa"/>
              <w:right w:w="0" w:type="dxa"/>
            </w:tcMar>
            <w:vAlign w:val="center"/>
          </w:tcPr>
          <w:p>
            <w:pPr>
              <w:spacing w:line="360" w:lineRule="exact"/>
              <w:jc w:val="center"/>
              <w:rPr>
                <w:szCs w:val="21"/>
              </w:rPr>
            </w:pPr>
            <w:r>
              <w:rPr>
                <w:szCs w:val="21"/>
              </w:rPr>
              <w:t>SS</w:t>
            </w:r>
          </w:p>
        </w:tc>
        <w:tc>
          <w:tcPr>
            <w:tcW w:w="1402" w:type="dxa"/>
            <w:vAlign w:val="bottom"/>
          </w:tcPr>
          <w:p>
            <w:pPr>
              <w:jc w:val="center"/>
              <w:rPr>
                <w:bCs/>
                <w:color w:val="000000"/>
                <w:szCs w:val="21"/>
              </w:rPr>
            </w:pPr>
            <w:r>
              <w:rPr>
                <w:bCs/>
                <w:color w:val="000000"/>
                <w:szCs w:val="21"/>
              </w:rPr>
              <w:t>40</w:t>
            </w:r>
          </w:p>
        </w:tc>
        <w:tc>
          <w:tcPr>
            <w:tcW w:w="1398" w:type="dxa"/>
            <w:tcMar>
              <w:left w:w="0" w:type="dxa"/>
              <w:right w:w="0" w:type="dxa"/>
            </w:tcMar>
            <w:vAlign w:val="bottom"/>
          </w:tcPr>
          <w:p>
            <w:pPr>
              <w:jc w:val="center"/>
              <w:rPr>
                <w:bCs/>
                <w:szCs w:val="21"/>
              </w:rPr>
            </w:pPr>
            <w:r>
              <w:rPr>
                <w:bCs/>
                <w:szCs w:val="21"/>
              </w:rPr>
              <w:t xml:space="preserve">0.01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spacing w:line="360" w:lineRule="exact"/>
              <w:jc w:val="center"/>
              <w:rPr>
                <w:szCs w:val="21"/>
              </w:rPr>
            </w:pPr>
          </w:p>
        </w:tc>
        <w:tc>
          <w:tcPr>
            <w:tcW w:w="1121" w:type="dxa"/>
            <w:vMerge w:val="continue"/>
            <w:vAlign w:val="center"/>
          </w:tcPr>
          <w:p>
            <w:pPr>
              <w:jc w:val="center"/>
              <w:rPr>
                <w:color w:val="000000"/>
                <w:szCs w:val="21"/>
              </w:rPr>
            </w:pPr>
          </w:p>
        </w:tc>
        <w:tc>
          <w:tcPr>
            <w:tcW w:w="1118" w:type="dxa"/>
            <w:tcMar>
              <w:left w:w="0" w:type="dxa"/>
              <w:right w:w="0" w:type="dxa"/>
            </w:tcMar>
            <w:vAlign w:val="center"/>
          </w:tcPr>
          <w:p>
            <w:pPr>
              <w:spacing w:line="360" w:lineRule="exact"/>
              <w:jc w:val="center"/>
              <w:rPr>
                <w:szCs w:val="21"/>
              </w:rPr>
            </w:pPr>
            <w:r>
              <w:rPr>
                <w:szCs w:val="21"/>
              </w:rPr>
              <w:t>NH</w:t>
            </w:r>
            <w:r>
              <w:rPr>
                <w:szCs w:val="21"/>
                <w:vertAlign w:val="subscript"/>
              </w:rPr>
              <w:t>3</w:t>
            </w:r>
            <w:r>
              <w:rPr>
                <w:szCs w:val="21"/>
              </w:rPr>
              <w:t>-N</w:t>
            </w:r>
          </w:p>
        </w:tc>
        <w:tc>
          <w:tcPr>
            <w:tcW w:w="1402" w:type="dxa"/>
            <w:vAlign w:val="bottom"/>
          </w:tcPr>
          <w:p>
            <w:pPr>
              <w:jc w:val="center"/>
              <w:rPr>
                <w:bCs/>
                <w:color w:val="000000"/>
                <w:szCs w:val="21"/>
              </w:rPr>
            </w:pPr>
            <w:r>
              <w:rPr>
                <w:bCs/>
                <w:color w:val="000000"/>
                <w:szCs w:val="21"/>
              </w:rPr>
              <w:t>200</w:t>
            </w:r>
          </w:p>
        </w:tc>
        <w:tc>
          <w:tcPr>
            <w:tcW w:w="1398" w:type="dxa"/>
            <w:tcMar>
              <w:left w:w="0" w:type="dxa"/>
              <w:right w:w="0" w:type="dxa"/>
            </w:tcMar>
            <w:vAlign w:val="bottom"/>
          </w:tcPr>
          <w:p>
            <w:pPr>
              <w:jc w:val="center"/>
              <w:rPr>
                <w:bCs/>
                <w:szCs w:val="21"/>
              </w:rPr>
            </w:pPr>
            <w:r>
              <w:rPr>
                <w:bCs/>
                <w:szCs w:val="21"/>
              </w:rPr>
              <w:t xml:space="preserve">0.04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restart"/>
            <w:tcMar>
              <w:left w:w="0" w:type="dxa"/>
              <w:right w:w="0" w:type="dxa"/>
            </w:tcMar>
            <w:vAlign w:val="center"/>
          </w:tcPr>
          <w:p>
            <w:pPr>
              <w:adjustRightInd w:val="0"/>
              <w:snapToGrid w:val="0"/>
              <w:spacing w:line="360" w:lineRule="exact"/>
              <w:jc w:val="center"/>
              <w:rPr>
                <w:bCs/>
                <w:szCs w:val="21"/>
              </w:rPr>
            </w:pPr>
            <w:r>
              <w:rPr>
                <w:bCs/>
                <w:szCs w:val="21"/>
              </w:rPr>
              <w:t>混合后废水</w:t>
            </w:r>
          </w:p>
        </w:tc>
        <w:tc>
          <w:tcPr>
            <w:tcW w:w="1121" w:type="dxa"/>
            <w:vMerge w:val="restart"/>
            <w:vAlign w:val="center"/>
          </w:tcPr>
          <w:p>
            <w:pPr>
              <w:jc w:val="center"/>
              <w:rPr>
                <w:rFonts w:ascii="Calibri" w:hAnsi="Calibri" w:cs="宋体"/>
                <w:sz w:val="22"/>
                <w:szCs w:val="22"/>
              </w:rPr>
            </w:pPr>
            <w:r>
              <w:rPr>
                <w:rFonts w:ascii="Calibri" w:hAnsi="Calibri"/>
                <w:sz w:val="22"/>
                <w:szCs w:val="22"/>
              </w:rPr>
              <w:t>72737.2</w:t>
            </w:r>
          </w:p>
        </w:tc>
        <w:tc>
          <w:tcPr>
            <w:tcW w:w="1118" w:type="dxa"/>
            <w:tcMar>
              <w:left w:w="0" w:type="dxa"/>
              <w:right w:w="0" w:type="dxa"/>
            </w:tcMar>
            <w:vAlign w:val="center"/>
          </w:tcPr>
          <w:p>
            <w:pPr>
              <w:adjustRightInd w:val="0"/>
              <w:snapToGrid w:val="0"/>
              <w:spacing w:line="360" w:lineRule="exact"/>
              <w:jc w:val="center"/>
              <w:rPr>
                <w:bCs/>
                <w:szCs w:val="21"/>
              </w:rPr>
            </w:pPr>
            <w:r>
              <w:rPr>
                <w:bCs/>
                <w:szCs w:val="21"/>
              </w:rPr>
              <w:t>COD</w:t>
            </w:r>
          </w:p>
        </w:tc>
        <w:tc>
          <w:tcPr>
            <w:tcW w:w="1402" w:type="dxa"/>
            <w:vAlign w:val="bottom"/>
          </w:tcPr>
          <w:p>
            <w:pPr>
              <w:jc w:val="center"/>
              <w:rPr>
                <w:bCs/>
                <w:sz w:val="22"/>
                <w:szCs w:val="22"/>
              </w:rPr>
            </w:pPr>
            <w:r>
              <w:rPr>
                <w:bCs/>
                <w:sz w:val="22"/>
                <w:szCs w:val="22"/>
              </w:rPr>
              <w:t xml:space="preserve">14618.86 </w:t>
            </w:r>
          </w:p>
        </w:tc>
        <w:tc>
          <w:tcPr>
            <w:tcW w:w="1398" w:type="dxa"/>
            <w:tcMar>
              <w:left w:w="0" w:type="dxa"/>
              <w:right w:w="0" w:type="dxa"/>
            </w:tcMar>
            <w:vAlign w:val="bottom"/>
          </w:tcPr>
          <w:p>
            <w:pPr>
              <w:jc w:val="center"/>
              <w:rPr>
                <w:bCs/>
                <w:szCs w:val="21"/>
              </w:rPr>
            </w:pPr>
            <w:r>
              <w:rPr>
                <w:bCs/>
                <w:szCs w:val="21"/>
              </w:rPr>
              <w:t xml:space="preserve">1063.33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adjustRightInd w:val="0"/>
              <w:snapToGrid w:val="0"/>
              <w:spacing w:line="360" w:lineRule="exact"/>
              <w:jc w:val="center"/>
              <w:rPr>
                <w:bCs/>
                <w:color w:val="FF0000"/>
                <w:szCs w:val="21"/>
              </w:rPr>
            </w:pPr>
          </w:p>
        </w:tc>
        <w:tc>
          <w:tcPr>
            <w:tcW w:w="1121" w:type="dxa"/>
            <w:vMerge w:val="continue"/>
            <w:vAlign w:val="center"/>
          </w:tcPr>
          <w:p>
            <w:pPr>
              <w:jc w:val="center"/>
              <w:rPr>
                <w:color w:val="000000"/>
                <w:szCs w:val="21"/>
              </w:rPr>
            </w:pPr>
          </w:p>
        </w:tc>
        <w:tc>
          <w:tcPr>
            <w:tcW w:w="1118" w:type="dxa"/>
            <w:tcMar>
              <w:left w:w="0" w:type="dxa"/>
              <w:right w:w="0" w:type="dxa"/>
            </w:tcMar>
            <w:vAlign w:val="center"/>
          </w:tcPr>
          <w:p>
            <w:pPr>
              <w:adjustRightInd w:val="0"/>
              <w:snapToGrid w:val="0"/>
              <w:spacing w:line="360" w:lineRule="exact"/>
              <w:jc w:val="center"/>
              <w:rPr>
                <w:bCs/>
                <w:szCs w:val="21"/>
              </w:rPr>
            </w:pPr>
            <w:r>
              <w:rPr>
                <w:bCs/>
                <w:szCs w:val="21"/>
              </w:rPr>
              <w:t>BOD</w:t>
            </w:r>
            <w:r>
              <w:rPr>
                <w:bCs/>
                <w:szCs w:val="21"/>
                <w:vertAlign w:val="subscript"/>
              </w:rPr>
              <w:t>5</w:t>
            </w:r>
          </w:p>
        </w:tc>
        <w:tc>
          <w:tcPr>
            <w:tcW w:w="1402" w:type="dxa"/>
            <w:vAlign w:val="bottom"/>
          </w:tcPr>
          <w:p>
            <w:pPr>
              <w:jc w:val="center"/>
              <w:rPr>
                <w:bCs/>
                <w:sz w:val="22"/>
                <w:szCs w:val="22"/>
              </w:rPr>
            </w:pPr>
            <w:r>
              <w:rPr>
                <w:bCs/>
                <w:sz w:val="22"/>
                <w:szCs w:val="22"/>
              </w:rPr>
              <w:t xml:space="preserve">5848.42 </w:t>
            </w:r>
          </w:p>
        </w:tc>
        <w:tc>
          <w:tcPr>
            <w:tcW w:w="1398" w:type="dxa"/>
            <w:tcMar>
              <w:left w:w="0" w:type="dxa"/>
              <w:right w:w="0" w:type="dxa"/>
            </w:tcMar>
            <w:vAlign w:val="bottom"/>
          </w:tcPr>
          <w:p>
            <w:pPr>
              <w:jc w:val="center"/>
              <w:rPr>
                <w:bCs/>
                <w:szCs w:val="21"/>
              </w:rPr>
            </w:pPr>
            <w:r>
              <w:rPr>
                <w:bCs/>
                <w:szCs w:val="21"/>
              </w:rPr>
              <w:t xml:space="preserve">425.40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adjustRightInd w:val="0"/>
              <w:snapToGrid w:val="0"/>
              <w:spacing w:line="360" w:lineRule="exact"/>
              <w:jc w:val="center"/>
              <w:rPr>
                <w:bCs/>
                <w:color w:val="FF0000"/>
                <w:szCs w:val="21"/>
              </w:rPr>
            </w:pPr>
          </w:p>
        </w:tc>
        <w:tc>
          <w:tcPr>
            <w:tcW w:w="1121" w:type="dxa"/>
            <w:vMerge w:val="continue"/>
            <w:vAlign w:val="center"/>
          </w:tcPr>
          <w:p>
            <w:pPr>
              <w:jc w:val="center"/>
              <w:rPr>
                <w:color w:val="000000"/>
                <w:szCs w:val="21"/>
              </w:rPr>
            </w:pPr>
          </w:p>
        </w:tc>
        <w:tc>
          <w:tcPr>
            <w:tcW w:w="1118" w:type="dxa"/>
            <w:tcMar>
              <w:left w:w="0" w:type="dxa"/>
              <w:right w:w="0" w:type="dxa"/>
            </w:tcMar>
            <w:vAlign w:val="center"/>
          </w:tcPr>
          <w:p>
            <w:pPr>
              <w:adjustRightInd w:val="0"/>
              <w:snapToGrid w:val="0"/>
              <w:spacing w:line="360" w:lineRule="exact"/>
              <w:jc w:val="center"/>
              <w:rPr>
                <w:bCs/>
                <w:szCs w:val="21"/>
              </w:rPr>
            </w:pPr>
            <w:r>
              <w:rPr>
                <w:bCs/>
                <w:szCs w:val="21"/>
              </w:rPr>
              <w:t>SS</w:t>
            </w:r>
          </w:p>
        </w:tc>
        <w:tc>
          <w:tcPr>
            <w:tcW w:w="1402" w:type="dxa"/>
            <w:vAlign w:val="bottom"/>
          </w:tcPr>
          <w:p>
            <w:pPr>
              <w:jc w:val="center"/>
              <w:rPr>
                <w:bCs/>
                <w:sz w:val="22"/>
                <w:szCs w:val="22"/>
              </w:rPr>
            </w:pPr>
            <w:r>
              <w:rPr>
                <w:bCs/>
                <w:sz w:val="22"/>
                <w:szCs w:val="22"/>
              </w:rPr>
              <w:t xml:space="preserve">7602.06 </w:t>
            </w:r>
          </w:p>
        </w:tc>
        <w:tc>
          <w:tcPr>
            <w:tcW w:w="1398" w:type="dxa"/>
            <w:tcMar>
              <w:left w:w="0" w:type="dxa"/>
              <w:right w:w="0" w:type="dxa"/>
            </w:tcMar>
            <w:vAlign w:val="bottom"/>
          </w:tcPr>
          <w:p>
            <w:pPr>
              <w:jc w:val="center"/>
              <w:rPr>
                <w:bCs/>
                <w:szCs w:val="21"/>
              </w:rPr>
            </w:pPr>
            <w:r>
              <w:rPr>
                <w:bCs/>
                <w:szCs w:val="21"/>
              </w:rPr>
              <w:t xml:space="preserve">552.95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74" w:type="dxa"/>
            <w:vMerge w:val="continue"/>
            <w:tcMar>
              <w:left w:w="0" w:type="dxa"/>
              <w:right w:w="0" w:type="dxa"/>
            </w:tcMar>
            <w:vAlign w:val="center"/>
          </w:tcPr>
          <w:p>
            <w:pPr>
              <w:adjustRightInd w:val="0"/>
              <w:snapToGrid w:val="0"/>
              <w:spacing w:line="360" w:lineRule="exact"/>
              <w:jc w:val="center"/>
              <w:rPr>
                <w:bCs/>
                <w:color w:val="FF0000"/>
                <w:szCs w:val="21"/>
              </w:rPr>
            </w:pPr>
          </w:p>
        </w:tc>
        <w:tc>
          <w:tcPr>
            <w:tcW w:w="1121" w:type="dxa"/>
            <w:vMerge w:val="continue"/>
            <w:vAlign w:val="center"/>
          </w:tcPr>
          <w:p>
            <w:pPr>
              <w:jc w:val="center"/>
              <w:rPr>
                <w:color w:val="000000"/>
                <w:szCs w:val="21"/>
              </w:rPr>
            </w:pPr>
          </w:p>
        </w:tc>
        <w:tc>
          <w:tcPr>
            <w:tcW w:w="1118" w:type="dxa"/>
            <w:tcMar>
              <w:left w:w="0" w:type="dxa"/>
              <w:right w:w="0" w:type="dxa"/>
            </w:tcMar>
            <w:vAlign w:val="center"/>
          </w:tcPr>
          <w:p>
            <w:pPr>
              <w:adjustRightInd w:val="0"/>
              <w:snapToGrid w:val="0"/>
              <w:spacing w:line="360" w:lineRule="exact"/>
              <w:jc w:val="center"/>
              <w:rPr>
                <w:bCs/>
                <w:szCs w:val="21"/>
              </w:rPr>
            </w:pPr>
            <w:r>
              <w:rPr>
                <w:bCs/>
                <w:szCs w:val="21"/>
              </w:rPr>
              <w:t>NH</w:t>
            </w:r>
            <w:r>
              <w:rPr>
                <w:bCs/>
                <w:szCs w:val="21"/>
                <w:vertAlign w:val="subscript"/>
              </w:rPr>
              <w:t>3</w:t>
            </w:r>
            <w:r>
              <w:rPr>
                <w:bCs/>
                <w:szCs w:val="21"/>
              </w:rPr>
              <w:t>-N</w:t>
            </w:r>
          </w:p>
        </w:tc>
        <w:tc>
          <w:tcPr>
            <w:tcW w:w="1402" w:type="dxa"/>
            <w:vAlign w:val="bottom"/>
          </w:tcPr>
          <w:p>
            <w:pPr>
              <w:jc w:val="center"/>
              <w:rPr>
                <w:bCs/>
                <w:sz w:val="22"/>
                <w:szCs w:val="22"/>
              </w:rPr>
            </w:pPr>
            <w:r>
              <w:rPr>
                <w:bCs/>
                <w:sz w:val="22"/>
                <w:szCs w:val="22"/>
              </w:rPr>
              <w:t xml:space="preserve">975.20 </w:t>
            </w:r>
          </w:p>
        </w:tc>
        <w:tc>
          <w:tcPr>
            <w:tcW w:w="1398" w:type="dxa"/>
            <w:tcMar>
              <w:left w:w="0" w:type="dxa"/>
              <w:right w:w="0" w:type="dxa"/>
            </w:tcMar>
            <w:vAlign w:val="bottom"/>
          </w:tcPr>
          <w:p>
            <w:pPr>
              <w:jc w:val="center"/>
              <w:rPr>
                <w:bCs/>
                <w:szCs w:val="21"/>
              </w:rPr>
            </w:pPr>
            <w:r>
              <w:rPr>
                <w:bCs/>
                <w:szCs w:val="21"/>
              </w:rPr>
              <w:t xml:space="preserve">70.93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trPr>
        <w:tc>
          <w:tcPr>
            <w:tcW w:w="1274" w:type="dxa"/>
            <w:vMerge w:val="restart"/>
            <w:tcMar>
              <w:left w:w="0" w:type="dxa"/>
              <w:right w:w="0" w:type="dxa"/>
            </w:tcMar>
            <w:vAlign w:val="center"/>
          </w:tcPr>
          <w:p>
            <w:pPr>
              <w:adjustRightInd w:val="0"/>
              <w:snapToGrid w:val="0"/>
              <w:spacing w:line="360" w:lineRule="exact"/>
              <w:jc w:val="center"/>
              <w:rPr>
                <w:bCs/>
                <w:szCs w:val="21"/>
              </w:rPr>
            </w:pPr>
            <w:r>
              <w:rPr>
                <w:bCs/>
                <w:szCs w:val="21"/>
              </w:rPr>
              <w:t>处理后废水</w:t>
            </w:r>
          </w:p>
        </w:tc>
        <w:tc>
          <w:tcPr>
            <w:tcW w:w="1121" w:type="dxa"/>
            <w:vMerge w:val="restart"/>
            <w:vAlign w:val="center"/>
          </w:tcPr>
          <w:p>
            <w:pPr>
              <w:jc w:val="center"/>
              <w:rPr>
                <w:rFonts w:ascii="Calibri" w:hAnsi="Calibri" w:cs="宋体"/>
                <w:sz w:val="22"/>
                <w:szCs w:val="22"/>
              </w:rPr>
            </w:pPr>
            <w:r>
              <w:rPr>
                <w:rFonts w:ascii="Calibri" w:hAnsi="Calibri"/>
                <w:sz w:val="22"/>
                <w:szCs w:val="22"/>
              </w:rPr>
              <w:t>72737.2</w:t>
            </w:r>
          </w:p>
        </w:tc>
        <w:tc>
          <w:tcPr>
            <w:tcW w:w="1118" w:type="dxa"/>
            <w:tcMar>
              <w:left w:w="0" w:type="dxa"/>
              <w:right w:w="0" w:type="dxa"/>
            </w:tcMar>
            <w:vAlign w:val="center"/>
          </w:tcPr>
          <w:p>
            <w:pPr>
              <w:adjustRightInd w:val="0"/>
              <w:snapToGrid w:val="0"/>
              <w:spacing w:line="360" w:lineRule="exact"/>
              <w:jc w:val="center"/>
              <w:rPr>
                <w:bCs/>
                <w:szCs w:val="21"/>
              </w:rPr>
            </w:pPr>
            <w:r>
              <w:rPr>
                <w:bCs/>
                <w:szCs w:val="21"/>
              </w:rPr>
              <w:t>COD</w:t>
            </w:r>
          </w:p>
        </w:tc>
        <w:tc>
          <w:tcPr>
            <w:tcW w:w="1402" w:type="dxa"/>
            <w:vAlign w:val="bottom"/>
          </w:tcPr>
          <w:p>
            <w:pPr>
              <w:jc w:val="center"/>
              <w:rPr>
                <w:bCs/>
                <w:sz w:val="22"/>
                <w:szCs w:val="22"/>
              </w:rPr>
            </w:pPr>
            <w:r>
              <w:rPr>
                <w:bCs/>
                <w:sz w:val="22"/>
                <w:szCs w:val="22"/>
              </w:rPr>
              <w:t>3000</w:t>
            </w:r>
          </w:p>
        </w:tc>
        <w:tc>
          <w:tcPr>
            <w:tcW w:w="1398" w:type="dxa"/>
            <w:tcMar>
              <w:left w:w="0" w:type="dxa"/>
              <w:right w:w="0" w:type="dxa"/>
            </w:tcMar>
            <w:vAlign w:val="bottom"/>
          </w:tcPr>
          <w:p>
            <w:pPr>
              <w:jc w:val="center"/>
              <w:rPr>
                <w:bCs/>
                <w:szCs w:val="21"/>
              </w:rPr>
            </w:pPr>
            <w:r>
              <w:rPr>
                <w:bCs/>
                <w:szCs w:val="21"/>
              </w:rPr>
              <w:t xml:space="preserve">218.21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1274" w:type="dxa"/>
            <w:vMerge w:val="continue"/>
            <w:tcMar>
              <w:left w:w="0" w:type="dxa"/>
              <w:right w:w="0" w:type="dxa"/>
            </w:tcMar>
            <w:vAlign w:val="center"/>
          </w:tcPr>
          <w:p>
            <w:pPr>
              <w:adjustRightInd w:val="0"/>
              <w:snapToGrid w:val="0"/>
              <w:spacing w:line="360" w:lineRule="exact"/>
              <w:jc w:val="center"/>
              <w:rPr>
                <w:bCs/>
                <w:szCs w:val="21"/>
              </w:rPr>
            </w:pPr>
          </w:p>
        </w:tc>
        <w:tc>
          <w:tcPr>
            <w:tcW w:w="1121" w:type="dxa"/>
            <w:vMerge w:val="continue"/>
            <w:vAlign w:val="center"/>
          </w:tcPr>
          <w:p>
            <w:pPr>
              <w:adjustRightInd w:val="0"/>
              <w:snapToGrid w:val="0"/>
              <w:spacing w:line="360" w:lineRule="exact"/>
              <w:jc w:val="center"/>
              <w:rPr>
                <w:bCs/>
                <w:szCs w:val="21"/>
              </w:rPr>
            </w:pPr>
          </w:p>
        </w:tc>
        <w:tc>
          <w:tcPr>
            <w:tcW w:w="1118" w:type="dxa"/>
            <w:tcMar>
              <w:left w:w="0" w:type="dxa"/>
              <w:right w:w="0" w:type="dxa"/>
            </w:tcMar>
            <w:vAlign w:val="center"/>
          </w:tcPr>
          <w:p>
            <w:pPr>
              <w:adjustRightInd w:val="0"/>
              <w:snapToGrid w:val="0"/>
              <w:spacing w:line="360" w:lineRule="exact"/>
              <w:jc w:val="center"/>
              <w:rPr>
                <w:bCs/>
                <w:szCs w:val="21"/>
              </w:rPr>
            </w:pPr>
            <w:r>
              <w:rPr>
                <w:bCs/>
                <w:szCs w:val="21"/>
              </w:rPr>
              <w:t>BOD</w:t>
            </w:r>
            <w:r>
              <w:rPr>
                <w:bCs/>
                <w:szCs w:val="21"/>
                <w:vertAlign w:val="subscript"/>
              </w:rPr>
              <w:t>5</w:t>
            </w:r>
          </w:p>
        </w:tc>
        <w:tc>
          <w:tcPr>
            <w:tcW w:w="1402" w:type="dxa"/>
            <w:vAlign w:val="bottom"/>
          </w:tcPr>
          <w:p>
            <w:pPr>
              <w:jc w:val="center"/>
              <w:rPr>
                <w:bCs/>
                <w:sz w:val="22"/>
                <w:szCs w:val="22"/>
              </w:rPr>
            </w:pPr>
            <w:r>
              <w:rPr>
                <w:bCs/>
                <w:sz w:val="22"/>
                <w:szCs w:val="22"/>
              </w:rPr>
              <w:t>1400</w:t>
            </w:r>
          </w:p>
        </w:tc>
        <w:tc>
          <w:tcPr>
            <w:tcW w:w="1398" w:type="dxa"/>
            <w:tcMar>
              <w:left w:w="0" w:type="dxa"/>
              <w:right w:w="0" w:type="dxa"/>
            </w:tcMar>
            <w:vAlign w:val="bottom"/>
          </w:tcPr>
          <w:p>
            <w:pPr>
              <w:jc w:val="center"/>
              <w:rPr>
                <w:bCs/>
                <w:szCs w:val="21"/>
              </w:rPr>
            </w:pPr>
            <w:r>
              <w:rPr>
                <w:bCs/>
                <w:szCs w:val="21"/>
              </w:rPr>
              <w:t xml:space="preserve">101.83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274" w:type="dxa"/>
            <w:vMerge w:val="continue"/>
            <w:tcMar>
              <w:left w:w="0" w:type="dxa"/>
              <w:right w:w="0" w:type="dxa"/>
            </w:tcMar>
            <w:vAlign w:val="center"/>
          </w:tcPr>
          <w:p>
            <w:pPr>
              <w:adjustRightInd w:val="0"/>
              <w:snapToGrid w:val="0"/>
              <w:spacing w:line="360" w:lineRule="exact"/>
              <w:jc w:val="center"/>
              <w:rPr>
                <w:bCs/>
                <w:szCs w:val="21"/>
              </w:rPr>
            </w:pPr>
          </w:p>
        </w:tc>
        <w:tc>
          <w:tcPr>
            <w:tcW w:w="1121" w:type="dxa"/>
            <w:vMerge w:val="continue"/>
            <w:vAlign w:val="center"/>
          </w:tcPr>
          <w:p>
            <w:pPr>
              <w:adjustRightInd w:val="0"/>
              <w:snapToGrid w:val="0"/>
              <w:spacing w:line="360" w:lineRule="exact"/>
              <w:jc w:val="center"/>
              <w:rPr>
                <w:bCs/>
                <w:szCs w:val="21"/>
              </w:rPr>
            </w:pPr>
          </w:p>
        </w:tc>
        <w:tc>
          <w:tcPr>
            <w:tcW w:w="1118" w:type="dxa"/>
            <w:tcMar>
              <w:left w:w="0" w:type="dxa"/>
              <w:right w:w="0" w:type="dxa"/>
            </w:tcMar>
            <w:vAlign w:val="center"/>
          </w:tcPr>
          <w:p>
            <w:pPr>
              <w:adjustRightInd w:val="0"/>
              <w:snapToGrid w:val="0"/>
              <w:spacing w:line="360" w:lineRule="exact"/>
              <w:jc w:val="center"/>
              <w:rPr>
                <w:bCs/>
                <w:szCs w:val="21"/>
              </w:rPr>
            </w:pPr>
            <w:r>
              <w:rPr>
                <w:bCs/>
                <w:szCs w:val="21"/>
              </w:rPr>
              <w:t>SS</w:t>
            </w:r>
          </w:p>
        </w:tc>
        <w:tc>
          <w:tcPr>
            <w:tcW w:w="1402" w:type="dxa"/>
            <w:vAlign w:val="bottom"/>
          </w:tcPr>
          <w:p>
            <w:pPr>
              <w:jc w:val="center"/>
              <w:rPr>
                <w:bCs/>
                <w:sz w:val="22"/>
                <w:szCs w:val="22"/>
              </w:rPr>
            </w:pPr>
            <w:r>
              <w:rPr>
                <w:bCs/>
                <w:sz w:val="22"/>
                <w:szCs w:val="22"/>
              </w:rPr>
              <w:t>2000</w:t>
            </w:r>
          </w:p>
        </w:tc>
        <w:tc>
          <w:tcPr>
            <w:tcW w:w="1398" w:type="dxa"/>
            <w:tcMar>
              <w:left w:w="0" w:type="dxa"/>
              <w:right w:w="0" w:type="dxa"/>
            </w:tcMar>
            <w:vAlign w:val="bottom"/>
          </w:tcPr>
          <w:p>
            <w:pPr>
              <w:jc w:val="center"/>
              <w:rPr>
                <w:bCs/>
                <w:szCs w:val="21"/>
              </w:rPr>
            </w:pPr>
            <w:r>
              <w:rPr>
                <w:bCs/>
                <w:szCs w:val="21"/>
              </w:rPr>
              <w:t xml:space="preserve">145.47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trPr>
        <w:tc>
          <w:tcPr>
            <w:tcW w:w="1274" w:type="dxa"/>
            <w:vMerge w:val="continue"/>
            <w:tcMar>
              <w:left w:w="0" w:type="dxa"/>
              <w:right w:w="0" w:type="dxa"/>
            </w:tcMar>
            <w:vAlign w:val="center"/>
          </w:tcPr>
          <w:p>
            <w:pPr>
              <w:adjustRightInd w:val="0"/>
              <w:snapToGrid w:val="0"/>
              <w:spacing w:line="360" w:lineRule="exact"/>
              <w:jc w:val="center"/>
              <w:rPr>
                <w:bCs/>
                <w:szCs w:val="21"/>
              </w:rPr>
            </w:pPr>
          </w:p>
        </w:tc>
        <w:tc>
          <w:tcPr>
            <w:tcW w:w="1121" w:type="dxa"/>
            <w:vMerge w:val="continue"/>
            <w:vAlign w:val="center"/>
          </w:tcPr>
          <w:p>
            <w:pPr>
              <w:adjustRightInd w:val="0"/>
              <w:snapToGrid w:val="0"/>
              <w:spacing w:line="360" w:lineRule="exact"/>
              <w:jc w:val="center"/>
              <w:rPr>
                <w:bCs/>
                <w:szCs w:val="21"/>
              </w:rPr>
            </w:pPr>
          </w:p>
        </w:tc>
        <w:tc>
          <w:tcPr>
            <w:tcW w:w="1118" w:type="dxa"/>
            <w:tcMar>
              <w:left w:w="0" w:type="dxa"/>
              <w:right w:w="0" w:type="dxa"/>
            </w:tcMar>
            <w:vAlign w:val="center"/>
          </w:tcPr>
          <w:p>
            <w:pPr>
              <w:adjustRightInd w:val="0"/>
              <w:snapToGrid w:val="0"/>
              <w:spacing w:line="360" w:lineRule="exact"/>
              <w:jc w:val="center"/>
              <w:rPr>
                <w:bCs/>
                <w:szCs w:val="21"/>
              </w:rPr>
            </w:pPr>
            <w:r>
              <w:rPr>
                <w:bCs/>
                <w:szCs w:val="21"/>
              </w:rPr>
              <w:t>NH</w:t>
            </w:r>
            <w:r>
              <w:rPr>
                <w:bCs/>
                <w:szCs w:val="21"/>
                <w:vertAlign w:val="subscript"/>
              </w:rPr>
              <w:t>3</w:t>
            </w:r>
            <w:r>
              <w:rPr>
                <w:bCs/>
                <w:szCs w:val="21"/>
              </w:rPr>
              <w:t>-N</w:t>
            </w:r>
          </w:p>
        </w:tc>
        <w:tc>
          <w:tcPr>
            <w:tcW w:w="1402" w:type="dxa"/>
            <w:vAlign w:val="bottom"/>
          </w:tcPr>
          <w:p>
            <w:pPr>
              <w:jc w:val="center"/>
              <w:rPr>
                <w:bCs/>
                <w:sz w:val="22"/>
                <w:szCs w:val="22"/>
              </w:rPr>
            </w:pPr>
            <w:r>
              <w:rPr>
                <w:bCs/>
                <w:sz w:val="22"/>
                <w:szCs w:val="22"/>
              </w:rPr>
              <w:t>900</w:t>
            </w:r>
          </w:p>
        </w:tc>
        <w:tc>
          <w:tcPr>
            <w:tcW w:w="1398" w:type="dxa"/>
            <w:tcMar>
              <w:left w:w="0" w:type="dxa"/>
              <w:right w:w="0" w:type="dxa"/>
            </w:tcMar>
            <w:vAlign w:val="bottom"/>
          </w:tcPr>
          <w:p>
            <w:pPr>
              <w:jc w:val="center"/>
              <w:rPr>
                <w:bCs/>
                <w:szCs w:val="21"/>
              </w:rPr>
            </w:pPr>
            <w:r>
              <w:rPr>
                <w:bCs/>
                <w:szCs w:val="21"/>
              </w:rPr>
              <w:t xml:space="preserve">65.46 </w:t>
            </w:r>
          </w:p>
        </w:tc>
        <w:tc>
          <w:tcPr>
            <w:tcW w:w="1114" w:type="dxa"/>
            <w:vMerge w:val="continue"/>
            <w:vAlign w:val="center"/>
          </w:tcPr>
          <w:p>
            <w:pPr>
              <w:adjustRightInd w:val="0"/>
              <w:snapToGrid w:val="0"/>
              <w:spacing w:line="360" w:lineRule="exact"/>
              <w:jc w:val="center"/>
              <w:rPr>
                <w:bCs/>
                <w:color w:val="FF0000"/>
                <w:szCs w:val="21"/>
              </w:rPr>
            </w:pPr>
          </w:p>
        </w:tc>
        <w:tc>
          <w:tcPr>
            <w:tcW w:w="1333" w:type="dxa"/>
            <w:vMerge w:val="continue"/>
            <w:tcMar>
              <w:left w:w="0" w:type="dxa"/>
              <w:right w:w="0" w:type="dxa"/>
            </w:tcMar>
            <w:vAlign w:val="center"/>
          </w:tcPr>
          <w:p>
            <w:pPr>
              <w:adjustRightInd w:val="0"/>
              <w:snapToGrid w:val="0"/>
              <w:spacing w:line="360" w:lineRule="exact"/>
              <w:jc w:val="center"/>
              <w:rPr>
                <w:bCs/>
                <w:color w:val="FF0000"/>
                <w:szCs w:val="21"/>
              </w:rPr>
            </w:pPr>
          </w:p>
        </w:tc>
      </w:tr>
    </w:tbl>
    <w:p>
      <w:pPr>
        <w:spacing w:line="520" w:lineRule="exact"/>
        <w:ind w:firstLine="480" w:firstLineChars="200"/>
        <w:rPr>
          <w:sz w:val="24"/>
        </w:rPr>
      </w:pPr>
      <w:r>
        <w:rPr>
          <w:bCs/>
          <w:sz w:val="24"/>
        </w:rPr>
        <w:t>（4）本项目水平衡图</w:t>
      </w:r>
    </w:p>
    <w:p>
      <w:pPr>
        <w:spacing w:line="500" w:lineRule="atLeast"/>
        <w:ind w:firstLine="482" w:firstLineChars="200"/>
        <w:rPr>
          <w:b/>
          <w:bCs/>
          <w:sz w:val="24"/>
          <w:u w:val="single"/>
        </w:rPr>
      </w:pPr>
      <w:r>
        <w:rPr>
          <w:b/>
          <w:bCs/>
          <w:sz w:val="24"/>
          <w:u w:val="single"/>
        </w:rPr>
        <w:t>本项目养殖废水与生活污水混合后废水量为</w:t>
      </w:r>
      <w:r>
        <w:rPr>
          <w:b/>
          <w:bCs/>
          <w:color w:val="000000"/>
          <w:sz w:val="24"/>
          <w:u w:val="single"/>
        </w:rPr>
        <w:t>72737.2</w:t>
      </w:r>
      <w:r>
        <w:rPr>
          <w:b/>
          <w:bCs/>
          <w:sz w:val="24"/>
          <w:u w:val="single"/>
        </w:rPr>
        <w:t>m</w:t>
      </w:r>
      <w:r>
        <w:rPr>
          <w:b/>
          <w:bCs/>
          <w:sz w:val="24"/>
          <w:u w:val="single"/>
          <w:vertAlign w:val="superscript"/>
        </w:rPr>
        <w:t>3</w:t>
      </w:r>
      <w:r>
        <w:rPr>
          <w:b/>
          <w:bCs/>
          <w:sz w:val="24"/>
          <w:u w:val="single"/>
        </w:rPr>
        <w:t>/a，夏季</w:t>
      </w:r>
      <w:r>
        <w:rPr>
          <w:rFonts w:hint="eastAsia"/>
          <w:b/>
          <w:bCs/>
          <w:sz w:val="24"/>
          <w:u w:val="single"/>
        </w:rPr>
        <w:t>255.17</w:t>
      </w:r>
      <w:r>
        <w:rPr>
          <w:b/>
          <w:bCs/>
          <w:sz w:val="24"/>
          <w:u w:val="single"/>
        </w:rPr>
        <w:t>m</w:t>
      </w:r>
      <w:r>
        <w:rPr>
          <w:b/>
          <w:bCs/>
          <w:sz w:val="24"/>
          <w:u w:val="single"/>
          <w:vertAlign w:val="superscript"/>
        </w:rPr>
        <w:t>3</w:t>
      </w:r>
      <w:r>
        <w:rPr>
          <w:b/>
          <w:bCs/>
          <w:sz w:val="24"/>
          <w:u w:val="single"/>
        </w:rPr>
        <w:t>/d，其他季节</w:t>
      </w:r>
      <w:r>
        <w:rPr>
          <w:rFonts w:hint="eastAsia"/>
          <w:b/>
          <w:bCs/>
          <w:sz w:val="24"/>
          <w:u w:val="single"/>
        </w:rPr>
        <w:t>171.22</w:t>
      </w:r>
      <w:r>
        <w:rPr>
          <w:b/>
          <w:bCs/>
          <w:sz w:val="24"/>
          <w:u w:val="single"/>
        </w:rPr>
        <w:t>m</w:t>
      </w:r>
      <w:r>
        <w:rPr>
          <w:b/>
          <w:bCs/>
          <w:sz w:val="24"/>
          <w:u w:val="single"/>
          <w:vertAlign w:val="superscript"/>
        </w:rPr>
        <w:t>3</w:t>
      </w:r>
      <w:r>
        <w:rPr>
          <w:b/>
          <w:bCs/>
          <w:sz w:val="24"/>
          <w:u w:val="single"/>
        </w:rPr>
        <w:t>/d，夏季、其他季节水平衡情况见图2.3-1、2.3-2。</w:t>
      </w:r>
    </w:p>
    <w:p>
      <w:pPr>
        <w:pStyle w:val="2"/>
        <w:ind w:firstLine="400"/>
        <w:rPr>
          <w:u w:val="single"/>
        </w:rPr>
      </w:pPr>
    </w:p>
    <w:p>
      <w:pPr>
        <w:spacing w:line="500" w:lineRule="atLeast"/>
        <w:ind w:firstLine="480" w:firstLineChars="200"/>
        <w:rPr>
          <w:bCs/>
          <w:sz w:val="24"/>
          <w:u w:val="single"/>
        </w:rPr>
      </w:pPr>
    </w:p>
    <w:p>
      <w:pPr>
        <w:pStyle w:val="2"/>
        <w:ind w:firstLine="480"/>
        <w:rPr>
          <w:bCs/>
          <w:sz w:val="24"/>
          <w:u w:val="single"/>
        </w:rPr>
      </w:pPr>
    </w:p>
    <w:p>
      <w:pPr>
        <w:pStyle w:val="2"/>
        <w:ind w:firstLine="480"/>
        <w:rPr>
          <w:bCs/>
          <w:sz w:val="24"/>
          <w:u w:val="single"/>
        </w:rPr>
      </w:pPr>
    </w:p>
    <w:p>
      <w:pPr>
        <w:pStyle w:val="2"/>
        <w:ind w:firstLine="480"/>
        <w:rPr>
          <w:bCs/>
          <w:sz w:val="24"/>
          <w:u w:val="single"/>
        </w:rPr>
      </w:pPr>
    </w:p>
    <w:p>
      <w:pPr>
        <w:pStyle w:val="2"/>
        <w:ind w:firstLine="480"/>
        <w:rPr>
          <w:bCs/>
          <w:sz w:val="24"/>
          <w:u w:val="single"/>
        </w:rPr>
      </w:pPr>
    </w:p>
    <w:p>
      <w:pPr>
        <w:pStyle w:val="2"/>
        <w:ind w:firstLine="480"/>
        <w:rPr>
          <w:bCs/>
          <w:sz w:val="24"/>
          <w:u w:val="single"/>
        </w:rPr>
      </w:pPr>
    </w:p>
    <w:p>
      <w:pPr>
        <w:pStyle w:val="2"/>
        <w:ind w:firstLine="480"/>
        <w:rPr>
          <w:b/>
          <w:color w:val="000000"/>
          <w:sz w:val="24"/>
          <w:u w:val="none"/>
        </w:rPr>
      </w:pPr>
      <w:r>
        <w:rPr>
          <w:rFonts w:hint="eastAsia"/>
          <w:bCs/>
          <w:sz w:val="24"/>
          <w:u w:val="none"/>
        </w:rPr>
        <w:drawing>
          <wp:inline distT="0" distB="0" distL="114300" distR="114300">
            <wp:extent cx="5541645" cy="4023995"/>
            <wp:effectExtent l="0" t="0" r="1905" b="14605"/>
            <wp:docPr id="30" name="图片 30" descr="8561fb014695f8713d57fc6d3c2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561fb014695f8713d57fc6d3c23115"/>
                    <pic:cNvPicPr>
                      <a:picLocks noChangeAspect="1"/>
                    </pic:cNvPicPr>
                  </pic:nvPicPr>
                  <pic:blipFill>
                    <a:blip r:embed="rId23"/>
                    <a:stretch>
                      <a:fillRect/>
                    </a:stretch>
                  </pic:blipFill>
                  <pic:spPr>
                    <a:xfrm>
                      <a:off x="0" y="0"/>
                      <a:ext cx="5541645" cy="4023995"/>
                    </a:xfrm>
                    <a:prstGeom prst="rect">
                      <a:avLst/>
                    </a:prstGeom>
                  </pic:spPr>
                </pic:pic>
              </a:graphicData>
            </a:graphic>
          </wp:inline>
        </w:drawing>
      </w:r>
    </w:p>
    <w:p>
      <w:pPr>
        <w:spacing w:beforeLines="100" w:line="500" w:lineRule="atLeast"/>
        <w:ind w:firstLine="1063" w:firstLineChars="441"/>
        <w:rPr>
          <w:b/>
          <w:color w:val="000000"/>
          <w:sz w:val="24"/>
          <w:u w:val="single"/>
        </w:rPr>
      </w:pPr>
      <w:r>
        <w:rPr>
          <w:b/>
          <w:color w:val="000000"/>
          <w:sz w:val="24"/>
          <w:u w:val="single"/>
        </w:rPr>
        <w:t>图2.3-1  项目春、秋、冬季水平衡图（243天，单位：m</w:t>
      </w:r>
      <w:r>
        <w:rPr>
          <w:b/>
          <w:color w:val="000000"/>
          <w:sz w:val="24"/>
          <w:u w:val="single"/>
          <w:vertAlign w:val="superscript"/>
        </w:rPr>
        <w:t>3</w:t>
      </w:r>
      <w:r>
        <w:rPr>
          <w:b/>
          <w:color w:val="000000"/>
          <w:sz w:val="24"/>
          <w:u w:val="single"/>
        </w:rPr>
        <w:t>/d</w:t>
      </w:r>
    </w:p>
    <w:p>
      <w:pPr>
        <w:pStyle w:val="2"/>
        <w:ind w:firstLine="0" w:firstLineChars="0"/>
        <w:rPr>
          <w:b/>
          <w:color w:val="000000"/>
          <w:sz w:val="24"/>
          <w:u w:val="single"/>
        </w:rPr>
      </w:pPr>
    </w:p>
    <w:p>
      <w:pPr>
        <w:pStyle w:val="2"/>
        <w:ind w:firstLine="0" w:firstLineChars="0"/>
        <w:rPr>
          <w:b/>
          <w:color w:val="000000"/>
          <w:sz w:val="24"/>
          <w:u w:val="single"/>
        </w:rPr>
      </w:pPr>
    </w:p>
    <w:p>
      <w:pPr>
        <w:pStyle w:val="2"/>
        <w:ind w:firstLine="0" w:firstLineChars="0"/>
        <w:rPr>
          <w:b/>
          <w:color w:val="000000"/>
          <w:sz w:val="24"/>
          <w:u w:val="single"/>
        </w:rPr>
      </w:pPr>
    </w:p>
    <w:p>
      <w:pPr>
        <w:pStyle w:val="2"/>
        <w:ind w:firstLine="0" w:firstLineChars="0"/>
        <w:rPr>
          <w:b/>
          <w:color w:val="000000"/>
          <w:sz w:val="24"/>
          <w:u w:val="single"/>
        </w:rPr>
      </w:pPr>
    </w:p>
    <w:p>
      <w:pPr>
        <w:pStyle w:val="2"/>
        <w:ind w:firstLine="0" w:firstLineChars="0"/>
        <w:rPr>
          <w:b/>
          <w:color w:val="000000"/>
          <w:sz w:val="24"/>
          <w:u w:val="single"/>
        </w:rPr>
      </w:pPr>
    </w:p>
    <w:p>
      <w:pPr>
        <w:pStyle w:val="2"/>
        <w:ind w:firstLine="0" w:firstLineChars="0"/>
        <w:rPr>
          <w:b/>
          <w:color w:val="000000"/>
          <w:sz w:val="24"/>
          <w:u w:val="single"/>
        </w:rPr>
      </w:pPr>
    </w:p>
    <w:p>
      <w:pPr>
        <w:pStyle w:val="2"/>
        <w:ind w:firstLine="0" w:firstLineChars="0"/>
        <w:rPr>
          <w:b/>
          <w:color w:val="000000"/>
          <w:sz w:val="24"/>
          <w:u w:val="none"/>
        </w:rPr>
      </w:pPr>
      <w:r>
        <w:rPr>
          <w:rFonts w:hint="eastAsia"/>
          <w:b/>
          <w:color w:val="000000"/>
          <w:sz w:val="24"/>
          <w:u w:val="none"/>
        </w:rPr>
        <w:drawing>
          <wp:inline distT="0" distB="0" distL="114300" distR="114300">
            <wp:extent cx="5540375" cy="4728845"/>
            <wp:effectExtent l="0" t="0" r="3175" b="14605"/>
            <wp:docPr id="32" name="图片 32" descr="bf32a6cd88329f6c78bfda17f02d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f32a6cd88329f6c78bfda17f02dc4e"/>
                    <pic:cNvPicPr>
                      <a:picLocks noChangeAspect="1"/>
                    </pic:cNvPicPr>
                  </pic:nvPicPr>
                  <pic:blipFill>
                    <a:blip r:embed="rId24"/>
                    <a:stretch>
                      <a:fillRect/>
                    </a:stretch>
                  </pic:blipFill>
                  <pic:spPr>
                    <a:xfrm>
                      <a:off x="0" y="0"/>
                      <a:ext cx="5540375" cy="4728845"/>
                    </a:xfrm>
                    <a:prstGeom prst="rect">
                      <a:avLst/>
                    </a:prstGeom>
                  </pic:spPr>
                </pic:pic>
              </a:graphicData>
            </a:graphic>
          </wp:inline>
        </w:drawing>
      </w:r>
    </w:p>
    <w:p>
      <w:pPr>
        <w:spacing w:beforeLines="100" w:line="500" w:lineRule="exact"/>
        <w:ind w:firstLine="1687" w:firstLineChars="700"/>
        <w:jc w:val="left"/>
        <w:rPr>
          <w:b/>
          <w:bCs/>
          <w:sz w:val="24"/>
          <w:u w:val="single"/>
        </w:rPr>
      </w:pPr>
      <w:r>
        <w:rPr>
          <w:b/>
          <w:color w:val="000000"/>
          <w:sz w:val="24"/>
          <w:u w:val="single"/>
        </w:rPr>
        <w:t>图2.3-2   项目夏季水平衡图（122天，单位：m</w:t>
      </w:r>
      <w:r>
        <w:rPr>
          <w:b/>
          <w:color w:val="000000"/>
          <w:sz w:val="24"/>
          <w:u w:val="single"/>
          <w:vertAlign w:val="superscript"/>
        </w:rPr>
        <w:t>3</w:t>
      </w:r>
      <w:r>
        <w:rPr>
          <w:b/>
          <w:color w:val="000000"/>
          <w:sz w:val="24"/>
          <w:u w:val="single"/>
        </w:rPr>
        <w:t>/d）</w:t>
      </w:r>
      <w:bookmarkEnd w:id="158"/>
      <w:bookmarkEnd w:id="159"/>
      <w:bookmarkEnd w:id="160"/>
      <w:bookmarkEnd w:id="161"/>
      <w:bookmarkEnd w:id="162"/>
      <w:bookmarkEnd w:id="163"/>
      <w:bookmarkEnd w:id="164"/>
      <w:bookmarkEnd w:id="165"/>
      <w:bookmarkStart w:id="166" w:name="_Toc311979864"/>
      <w:bookmarkStart w:id="167" w:name="_Toc269400719"/>
      <w:bookmarkStart w:id="168" w:name="_Toc311979819"/>
      <w:bookmarkStart w:id="169" w:name="_Toc311979932"/>
    </w:p>
    <w:p>
      <w:pPr>
        <w:pStyle w:val="7"/>
        <w:spacing w:before="0" w:after="0" w:line="520" w:lineRule="exact"/>
        <w:rPr>
          <w:sz w:val="24"/>
          <w:szCs w:val="24"/>
        </w:rPr>
      </w:pPr>
      <w:r>
        <w:rPr>
          <w:sz w:val="24"/>
          <w:szCs w:val="24"/>
        </w:rPr>
        <w:t>2.3.2.3噪声排放情况</w:t>
      </w:r>
    </w:p>
    <w:p>
      <w:pPr>
        <w:spacing w:line="520" w:lineRule="exact"/>
        <w:ind w:firstLine="480" w:firstLineChars="200"/>
        <w:rPr>
          <w:b/>
          <w:sz w:val="24"/>
        </w:rPr>
      </w:pPr>
      <w:r>
        <w:rPr>
          <w:bCs/>
          <w:sz w:val="24"/>
        </w:rPr>
        <w:t>噪声主要为猪叫声、猪舍降温配套负压风机、粪污处理设施等设备运行时产生的噪声，根据类比调查，其源强为70～85dB(A)。工程主要噪声设施源强情况见表2.3-10。</w:t>
      </w:r>
    </w:p>
    <w:p>
      <w:pPr>
        <w:spacing w:afterLines="30" w:line="520" w:lineRule="exact"/>
        <w:jc w:val="center"/>
        <w:rPr>
          <w:b/>
          <w:sz w:val="24"/>
        </w:rPr>
      </w:pPr>
      <w:r>
        <w:rPr>
          <w:b/>
          <w:sz w:val="24"/>
        </w:rPr>
        <w:t>表2.3-10   工程主要噪声源强一览表</w:t>
      </w:r>
    </w:p>
    <w:tbl>
      <w:tblPr>
        <w:tblStyle w:val="44"/>
        <w:tblW w:w="91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258"/>
        <w:gridCol w:w="1222"/>
        <w:gridCol w:w="909"/>
        <w:gridCol w:w="661"/>
        <w:gridCol w:w="2871"/>
        <w:gridCol w:w="12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blHeader/>
        </w:trPr>
        <w:tc>
          <w:tcPr>
            <w:tcW w:w="2258" w:type="dxa"/>
            <w:vAlign w:val="center"/>
          </w:tcPr>
          <w:p>
            <w:pPr>
              <w:adjustRightInd w:val="0"/>
              <w:jc w:val="center"/>
              <w:rPr>
                <w:bCs/>
                <w:szCs w:val="21"/>
              </w:rPr>
            </w:pPr>
            <w:r>
              <w:rPr>
                <w:bCs/>
                <w:szCs w:val="21"/>
              </w:rPr>
              <w:t>噪声来源</w:t>
            </w:r>
          </w:p>
        </w:tc>
        <w:tc>
          <w:tcPr>
            <w:tcW w:w="1222" w:type="dxa"/>
            <w:vAlign w:val="center"/>
          </w:tcPr>
          <w:p>
            <w:pPr>
              <w:adjustRightInd w:val="0"/>
              <w:jc w:val="center"/>
              <w:rPr>
                <w:bCs/>
                <w:szCs w:val="21"/>
              </w:rPr>
            </w:pPr>
            <w:r>
              <w:rPr>
                <w:bCs/>
                <w:szCs w:val="21"/>
              </w:rPr>
              <w:t>种类</w:t>
            </w:r>
          </w:p>
        </w:tc>
        <w:tc>
          <w:tcPr>
            <w:tcW w:w="909" w:type="dxa"/>
            <w:vAlign w:val="center"/>
          </w:tcPr>
          <w:p>
            <w:pPr>
              <w:adjustRightInd w:val="0"/>
              <w:jc w:val="center"/>
              <w:rPr>
                <w:bCs/>
                <w:szCs w:val="21"/>
              </w:rPr>
            </w:pPr>
            <w:r>
              <w:rPr>
                <w:bCs/>
                <w:szCs w:val="21"/>
              </w:rPr>
              <w:t>产生</w:t>
            </w:r>
          </w:p>
          <w:p>
            <w:pPr>
              <w:adjustRightInd w:val="0"/>
              <w:jc w:val="center"/>
              <w:rPr>
                <w:bCs/>
                <w:szCs w:val="21"/>
              </w:rPr>
            </w:pPr>
            <w:r>
              <w:rPr>
                <w:bCs/>
                <w:szCs w:val="21"/>
              </w:rPr>
              <w:t>方式</w:t>
            </w:r>
          </w:p>
        </w:tc>
        <w:tc>
          <w:tcPr>
            <w:tcW w:w="661" w:type="dxa"/>
            <w:vAlign w:val="center"/>
          </w:tcPr>
          <w:p>
            <w:pPr>
              <w:adjustRightInd w:val="0"/>
              <w:jc w:val="center"/>
              <w:rPr>
                <w:bCs/>
                <w:szCs w:val="21"/>
              </w:rPr>
            </w:pPr>
            <w:r>
              <w:rPr>
                <w:bCs/>
                <w:szCs w:val="21"/>
              </w:rPr>
              <w:t>源强</w:t>
            </w:r>
          </w:p>
        </w:tc>
        <w:tc>
          <w:tcPr>
            <w:tcW w:w="2871" w:type="dxa"/>
            <w:vAlign w:val="center"/>
          </w:tcPr>
          <w:p>
            <w:pPr>
              <w:adjustRightInd w:val="0"/>
              <w:jc w:val="center"/>
              <w:rPr>
                <w:bCs/>
                <w:szCs w:val="21"/>
              </w:rPr>
            </w:pPr>
            <w:r>
              <w:rPr>
                <w:bCs/>
                <w:szCs w:val="21"/>
              </w:rPr>
              <w:t>治理措施</w:t>
            </w:r>
          </w:p>
        </w:tc>
        <w:tc>
          <w:tcPr>
            <w:tcW w:w="1264" w:type="dxa"/>
            <w:vAlign w:val="center"/>
          </w:tcPr>
          <w:p>
            <w:pPr>
              <w:adjustRightInd w:val="0"/>
              <w:jc w:val="center"/>
              <w:rPr>
                <w:bCs/>
                <w:szCs w:val="21"/>
              </w:rPr>
            </w:pPr>
            <w:r>
              <w:rPr>
                <w:bCs/>
                <w:szCs w:val="21"/>
              </w:rPr>
              <w:t>排放源强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rPr>
        <w:tc>
          <w:tcPr>
            <w:tcW w:w="2258" w:type="dxa"/>
            <w:vMerge w:val="restart"/>
            <w:vAlign w:val="center"/>
          </w:tcPr>
          <w:p>
            <w:pPr>
              <w:adjustRightInd w:val="0"/>
              <w:jc w:val="center"/>
              <w:rPr>
                <w:bCs/>
                <w:szCs w:val="21"/>
              </w:rPr>
            </w:pPr>
            <w:r>
              <w:rPr>
                <w:bCs/>
                <w:szCs w:val="21"/>
              </w:rPr>
              <w:t>养殖区猪舍</w:t>
            </w:r>
          </w:p>
        </w:tc>
        <w:tc>
          <w:tcPr>
            <w:tcW w:w="1222" w:type="dxa"/>
            <w:vAlign w:val="center"/>
          </w:tcPr>
          <w:p>
            <w:pPr>
              <w:adjustRightInd w:val="0"/>
              <w:jc w:val="center"/>
              <w:rPr>
                <w:bCs/>
                <w:szCs w:val="21"/>
              </w:rPr>
            </w:pPr>
            <w:r>
              <w:rPr>
                <w:bCs/>
                <w:szCs w:val="21"/>
              </w:rPr>
              <w:t>猪叫</w:t>
            </w:r>
          </w:p>
        </w:tc>
        <w:tc>
          <w:tcPr>
            <w:tcW w:w="909" w:type="dxa"/>
            <w:vAlign w:val="center"/>
          </w:tcPr>
          <w:p>
            <w:pPr>
              <w:adjustRightInd w:val="0"/>
              <w:jc w:val="center"/>
              <w:rPr>
                <w:bCs/>
                <w:szCs w:val="21"/>
              </w:rPr>
            </w:pPr>
            <w:r>
              <w:rPr>
                <w:bCs/>
                <w:szCs w:val="21"/>
              </w:rPr>
              <w:t>间断</w:t>
            </w:r>
          </w:p>
        </w:tc>
        <w:tc>
          <w:tcPr>
            <w:tcW w:w="661" w:type="dxa"/>
            <w:vAlign w:val="center"/>
          </w:tcPr>
          <w:p>
            <w:pPr>
              <w:adjustRightInd w:val="0"/>
              <w:jc w:val="center"/>
              <w:rPr>
                <w:bCs/>
                <w:szCs w:val="21"/>
              </w:rPr>
            </w:pPr>
            <w:r>
              <w:rPr>
                <w:bCs/>
                <w:szCs w:val="21"/>
              </w:rPr>
              <w:t>70</w:t>
            </w:r>
          </w:p>
        </w:tc>
        <w:tc>
          <w:tcPr>
            <w:tcW w:w="2871" w:type="dxa"/>
            <w:vAlign w:val="center"/>
          </w:tcPr>
          <w:p>
            <w:pPr>
              <w:adjustRightInd w:val="0"/>
              <w:jc w:val="center"/>
              <w:rPr>
                <w:bCs/>
                <w:szCs w:val="21"/>
              </w:rPr>
            </w:pPr>
            <w:r>
              <w:rPr>
                <w:bCs/>
                <w:szCs w:val="21"/>
              </w:rPr>
              <w:t>隔声降噪</w:t>
            </w:r>
          </w:p>
        </w:tc>
        <w:tc>
          <w:tcPr>
            <w:tcW w:w="1264" w:type="dxa"/>
            <w:vAlign w:val="center"/>
          </w:tcPr>
          <w:p>
            <w:pPr>
              <w:adjustRightInd w:val="0"/>
              <w:jc w:val="center"/>
              <w:rPr>
                <w:bCs/>
                <w:szCs w:val="21"/>
              </w:rPr>
            </w:pPr>
            <w:r>
              <w:rPr>
                <w:bCs/>
                <w:szCs w:val="21"/>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rPr>
        <w:tc>
          <w:tcPr>
            <w:tcW w:w="2258" w:type="dxa"/>
            <w:vMerge w:val="continue"/>
            <w:vAlign w:val="center"/>
          </w:tcPr>
          <w:p>
            <w:pPr>
              <w:adjustRightInd w:val="0"/>
              <w:jc w:val="center"/>
              <w:rPr>
                <w:bCs/>
                <w:szCs w:val="21"/>
              </w:rPr>
            </w:pPr>
          </w:p>
        </w:tc>
        <w:tc>
          <w:tcPr>
            <w:tcW w:w="1222" w:type="dxa"/>
            <w:vAlign w:val="center"/>
          </w:tcPr>
          <w:p>
            <w:pPr>
              <w:adjustRightInd w:val="0"/>
              <w:jc w:val="center"/>
              <w:rPr>
                <w:bCs/>
                <w:szCs w:val="21"/>
              </w:rPr>
            </w:pPr>
            <w:r>
              <w:rPr>
                <w:bCs/>
                <w:szCs w:val="21"/>
              </w:rPr>
              <w:t>风机</w:t>
            </w:r>
          </w:p>
        </w:tc>
        <w:tc>
          <w:tcPr>
            <w:tcW w:w="909" w:type="dxa"/>
            <w:vAlign w:val="center"/>
          </w:tcPr>
          <w:p>
            <w:pPr>
              <w:adjustRightInd w:val="0"/>
              <w:jc w:val="center"/>
              <w:rPr>
                <w:bCs/>
                <w:szCs w:val="21"/>
              </w:rPr>
            </w:pPr>
            <w:r>
              <w:rPr>
                <w:bCs/>
                <w:szCs w:val="21"/>
              </w:rPr>
              <w:t>连续</w:t>
            </w:r>
          </w:p>
        </w:tc>
        <w:tc>
          <w:tcPr>
            <w:tcW w:w="661" w:type="dxa"/>
            <w:vAlign w:val="center"/>
          </w:tcPr>
          <w:p>
            <w:pPr>
              <w:adjustRightInd w:val="0"/>
              <w:jc w:val="center"/>
              <w:rPr>
                <w:bCs/>
                <w:szCs w:val="21"/>
              </w:rPr>
            </w:pPr>
            <w:r>
              <w:rPr>
                <w:bCs/>
                <w:szCs w:val="21"/>
              </w:rPr>
              <w:t>85</w:t>
            </w:r>
          </w:p>
        </w:tc>
        <w:tc>
          <w:tcPr>
            <w:tcW w:w="2871" w:type="dxa"/>
            <w:vAlign w:val="center"/>
          </w:tcPr>
          <w:p>
            <w:pPr>
              <w:adjustRightInd w:val="0"/>
              <w:jc w:val="center"/>
              <w:rPr>
                <w:bCs/>
                <w:szCs w:val="21"/>
              </w:rPr>
            </w:pPr>
            <w:r>
              <w:rPr>
                <w:bCs/>
                <w:szCs w:val="21"/>
              </w:rPr>
              <w:t>厂房隔声</w:t>
            </w:r>
          </w:p>
        </w:tc>
        <w:tc>
          <w:tcPr>
            <w:tcW w:w="1264" w:type="dxa"/>
            <w:vAlign w:val="center"/>
          </w:tcPr>
          <w:p>
            <w:pPr>
              <w:adjustRightInd w:val="0"/>
              <w:jc w:val="center"/>
              <w:rPr>
                <w:bCs/>
                <w:szCs w:val="21"/>
              </w:rPr>
            </w:pPr>
            <w:r>
              <w:rPr>
                <w:bCs/>
                <w:szCs w:val="21"/>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rPr>
        <w:tc>
          <w:tcPr>
            <w:tcW w:w="2258" w:type="dxa"/>
            <w:vMerge w:val="restart"/>
            <w:vAlign w:val="center"/>
          </w:tcPr>
          <w:p>
            <w:pPr>
              <w:adjustRightInd w:val="0"/>
              <w:jc w:val="center"/>
              <w:rPr>
                <w:bCs/>
                <w:szCs w:val="21"/>
              </w:rPr>
            </w:pPr>
            <w:r>
              <w:rPr>
                <w:bCs/>
                <w:szCs w:val="21"/>
              </w:rPr>
              <w:t>固粪处理区</w:t>
            </w:r>
          </w:p>
        </w:tc>
        <w:tc>
          <w:tcPr>
            <w:tcW w:w="1222" w:type="dxa"/>
            <w:vAlign w:val="center"/>
          </w:tcPr>
          <w:p>
            <w:pPr>
              <w:adjustRightInd w:val="0"/>
              <w:jc w:val="center"/>
              <w:rPr>
                <w:bCs/>
                <w:szCs w:val="21"/>
              </w:rPr>
            </w:pPr>
            <w:r>
              <w:rPr>
                <w:bCs/>
                <w:szCs w:val="21"/>
              </w:rPr>
              <w:t>水泵</w:t>
            </w:r>
          </w:p>
        </w:tc>
        <w:tc>
          <w:tcPr>
            <w:tcW w:w="909" w:type="dxa"/>
            <w:vAlign w:val="center"/>
          </w:tcPr>
          <w:p>
            <w:pPr>
              <w:adjustRightInd w:val="0"/>
              <w:jc w:val="center"/>
              <w:rPr>
                <w:bCs/>
                <w:szCs w:val="21"/>
              </w:rPr>
            </w:pPr>
            <w:r>
              <w:rPr>
                <w:bCs/>
                <w:szCs w:val="21"/>
              </w:rPr>
              <w:t>连续</w:t>
            </w:r>
          </w:p>
        </w:tc>
        <w:tc>
          <w:tcPr>
            <w:tcW w:w="661" w:type="dxa"/>
            <w:vAlign w:val="center"/>
          </w:tcPr>
          <w:p>
            <w:pPr>
              <w:adjustRightInd w:val="0"/>
              <w:jc w:val="center"/>
              <w:rPr>
                <w:bCs/>
                <w:szCs w:val="21"/>
              </w:rPr>
            </w:pPr>
            <w:r>
              <w:rPr>
                <w:bCs/>
                <w:szCs w:val="21"/>
              </w:rPr>
              <w:t>85</w:t>
            </w:r>
          </w:p>
        </w:tc>
        <w:tc>
          <w:tcPr>
            <w:tcW w:w="2871" w:type="dxa"/>
            <w:vMerge w:val="restart"/>
            <w:vAlign w:val="center"/>
          </w:tcPr>
          <w:p>
            <w:pPr>
              <w:adjustRightInd w:val="0"/>
              <w:jc w:val="center"/>
              <w:rPr>
                <w:bCs/>
                <w:szCs w:val="21"/>
              </w:rPr>
            </w:pPr>
            <w:r>
              <w:rPr>
                <w:bCs/>
                <w:szCs w:val="21"/>
              </w:rPr>
              <w:t>选低噪声设备、隔声、减振</w:t>
            </w:r>
          </w:p>
        </w:tc>
        <w:tc>
          <w:tcPr>
            <w:tcW w:w="1264" w:type="dxa"/>
            <w:vAlign w:val="center"/>
          </w:tcPr>
          <w:p>
            <w:pPr>
              <w:adjustRightInd w:val="0"/>
              <w:jc w:val="center"/>
              <w:rPr>
                <w:bCs/>
                <w:szCs w:val="21"/>
              </w:rPr>
            </w:pPr>
            <w:r>
              <w:rPr>
                <w:bCs/>
                <w:szCs w:val="21"/>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rPr>
        <w:tc>
          <w:tcPr>
            <w:tcW w:w="2258" w:type="dxa"/>
            <w:vMerge w:val="continue"/>
            <w:vAlign w:val="center"/>
          </w:tcPr>
          <w:p>
            <w:pPr>
              <w:adjustRightInd w:val="0"/>
              <w:jc w:val="center"/>
              <w:rPr>
                <w:bCs/>
                <w:szCs w:val="21"/>
              </w:rPr>
            </w:pPr>
          </w:p>
        </w:tc>
        <w:tc>
          <w:tcPr>
            <w:tcW w:w="1222" w:type="dxa"/>
            <w:vAlign w:val="center"/>
          </w:tcPr>
          <w:p>
            <w:pPr>
              <w:adjustRightInd w:val="0"/>
              <w:snapToGrid w:val="0"/>
              <w:jc w:val="center"/>
              <w:rPr>
                <w:bCs/>
                <w:szCs w:val="21"/>
              </w:rPr>
            </w:pPr>
            <w:r>
              <w:rPr>
                <w:bCs/>
                <w:szCs w:val="21"/>
              </w:rPr>
              <w:t>固液分离机</w:t>
            </w:r>
          </w:p>
        </w:tc>
        <w:tc>
          <w:tcPr>
            <w:tcW w:w="909" w:type="dxa"/>
            <w:vAlign w:val="center"/>
          </w:tcPr>
          <w:p>
            <w:pPr>
              <w:adjustRightInd w:val="0"/>
              <w:snapToGrid w:val="0"/>
              <w:jc w:val="center"/>
              <w:rPr>
                <w:bCs/>
                <w:szCs w:val="21"/>
              </w:rPr>
            </w:pPr>
            <w:r>
              <w:rPr>
                <w:bCs/>
                <w:szCs w:val="21"/>
              </w:rPr>
              <w:t>连续</w:t>
            </w:r>
          </w:p>
        </w:tc>
        <w:tc>
          <w:tcPr>
            <w:tcW w:w="661" w:type="dxa"/>
            <w:vAlign w:val="center"/>
          </w:tcPr>
          <w:p>
            <w:pPr>
              <w:adjustRightInd w:val="0"/>
              <w:snapToGrid w:val="0"/>
              <w:jc w:val="center"/>
              <w:rPr>
                <w:bCs/>
                <w:szCs w:val="21"/>
              </w:rPr>
            </w:pPr>
            <w:r>
              <w:rPr>
                <w:bCs/>
                <w:szCs w:val="21"/>
              </w:rPr>
              <w:t>75</w:t>
            </w:r>
          </w:p>
        </w:tc>
        <w:tc>
          <w:tcPr>
            <w:tcW w:w="2871" w:type="dxa"/>
            <w:vMerge w:val="continue"/>
            <w:vAlign w:val="center"/>
          </w:tcPr>
          <w:p>
            <w:pPr>
              <w:adjustRightInd w:val="0"/>
              <w:jc w:val="center"/>
              <w:rPr>
                <w:bCs/>
                <w:szCs w:val="21"/>
              </w:rPr>
            </w:pPr>
          </w:p>
        </w:tc>
        <w:tc>
          <w:tcPr>
            <w:tcW w:w="1264" w:type="dxa"/>
            <w:vAlign w:val="center"/>
          </w:tcPr>
          <w:p>
            <w:pPr>
              <w:adjustRightInd w:val="0"/>
              <w:jc w:val="center"/>
              <w:rPr>
                <w:bCs/>
                <w:szCs w:val="21"/>
              </w:rPr>
            </w:pPr>
            <w:r>
              <w:rPr>
                <w:bCs/>
                <w:szCs w:val="21"/>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rPr>
        <w:tc>
          <w:tcPr>
            <w:tcW w:w="2258" w:type="dxa"/>
            <w:vMerge w:val="continue"/>
            <w:vAlign w:val="center"/>
          </w:tcPr>
          <w:p>
            <w:pPr>
              <w:adjustRightInd w:val="0"/>
              <w:jc w:val="center"/>
              <w:rPr>
                <w:bCs/>
                <w:szCs w:val="21"/>
              </w:rPr>
            </w:pPr>
          </w:p>
        </w:tc>
        <w:tc>
          <w:tcPr>
            <w:tcW w:w="1222" w:type="dxa"/>
            <w:vAlign w:val="center"/>
          </w:tcPr>
          <w:p>
            <w:pPr>
              <w:adjustRightInd w:val="0"/>
              <w:snapToGrid w:val="0"/>
              <w:jc w:val="center"/>
              <w:rPr>
                <w:bCs/>
                <w:szCs w:val="21"/>
              </w:rPr>
            </w:pPr>
            <w:r>
              <w:rPr>
                <w:bCs/>
                <w:szCs w:val="21"/>
              </w:rPr>
              <w:t>翻抛机</w:t>
            </w:r>
          </w:p>
        </w:tc>
        <w:tc>
          <w:tcPr>
            <w:tcW w:w="909" w:type="dxa"/>
            <w:vAlign w:val="center"/>
          </w:tcPr>
          <w:p>
            <w:pPr>
              <w:adjustRightInd w:val="0"/>
              <w:snapToGrid w:val="0"/>
              <w:jc w:val="center"/>
              <w:rPr>
                <w:bCs/>
                <w:szCs w:val="21"/>
              </w:rPr>
            </w:pPr>
            <w:r>
              <w:rPr>
                <w:bCs/>
                <w:szCs w:val="21"/>
              </w:rPr>
              <w:t>间断</w:t>
            </w:r>
          </w:p>
        </w:tc>
        <w:tc>
          <w:tcPr>
            <w:tcW w:w="661" w:type="dxa"/>
            <w:vAlign w:val="center"/>
          </w:tcPr>
          <w:p>
            <w:pPr>
              <w:adjustRightInd w:val="0"/>
              <w:snapToGrid w:val="0"/>
              <w:jc w:val="center"/>
              <w:rPr>
                <w:bCs/>
                <w:szCs w:val="21"/>
              </w:rPr>
            </w:pPr>
            <w:r>
              <w:rPr>
                <w:bCs/>
                <w:szCs w:val="21"/>
              </w:rPr>
              <w:t>75</w:t>
            </w:r>
          </w:p>
        </w:tc>
        <w:tc>
          <w:tcPr>
            <w:tcW w:w="2871" w:type="dxa"/>
            <w:vMerge w:val="continue"/>
            <w:vAlign w:val="center"/>
          </w:tcPr>
          <w:p>
            <w:pPr>
              <w:adjustRightInd w:val="0"/>
              <w:jc w:val="center"/>
              <w:rPr>
                <w:bCs/>
                <w:szCs w:val="21"/>
              </w:rPr>
            </w:pPr>
          </w:p>
        </w:tc>
        <w:tc>
          <w:tcPr>
            <w:tcW w:w="1264" w:type="dxa"/>
            <w:vAlign w:val="center"/>
          </w:tcPr>
          <w:p>
            <w:pPr>
              <w:adjustRightInd w:val="0"/>
              <w:jc w:val="center"/>
              <w:rPr>
                <w:bCs/>
                <w:szCs w:val="21"/>
              </w:rPr>
            </w:pPr>
            <w:r>
              <w:rPr>
                <w:bCs/>
                <w:szCs w:val="21"/>
              </w:rPr>
              <w:t>60</w:t>
            </w:r>
          </w:p>
        </w:tc>
      </w:tr>
      <w:bookmarkEnd w:id="166"/>
      <w:bookmarkEnd w:id="167"/>
      <w:bookmarkEnd w:id="168"/>
      <w:bookmarkEnd w:id="169"/>
    </w:tbl>
    <w:p>
      <w:pPr>
        <w:pStyle w:val="7"/>
        <w:spacing w:before="0" w:after="0" w:line="520" w:lineRule="exact"/>
        <w:rPr>
          <w:snapToGrid w:val="0"/>
          <w:sz w:val="24"/>
          <w:szCs w:val="24"/>
        </w:rPr>
      </w:pPr>
      <w:r>
        <w:rPr>
          <w:snapToGrid w:val="0"/>
          <w:sz w:val="24"/>
          <w:szCs w:val="24"/>
        </w:rPr>
        <w:t>2.3.2.4固体废物排放情况</w:t>
      </w:r>
    </w:p>
    <w:p>
      <w:pPr>
        <w:spacing w:line="520" w:lineRule="exact"/>
        <w:ind w:firstLine="480" w:firstLineChars="200"/>
        <w:rPr>
          <w:bCs/>
          <w:sz w:val="24"/>
        </w:rPr>
      </w:pPr>
      <w:r>
        <w:rPr>
          <w:bCs/>
          <w:sz w:val="24"/>
        </w:rPr>
        <w:t>本项目产生的固体废物主要包括猪粪固形物、厌氧发酵后的沼渣、养殖过程产生的少量病死猪尸、疾病防疫产生的医疗废物、废脱硫剂</w:t>
      </w:r>
      <w:r>
        <w:rPr>
          <w:sz w:val="24"/>
        </w:rPr>
        <w:t>及</w:t>
      </w:r>
      <w:r>
        <w:rPr>
          <w:bCs/>
          <w:sz w:val="24"/>
        </w:rPr>
        <w:t>职工生活垃圾等。</w:t>
      </w:r>
    </w:p>
    <w:p>
      <w:pPr>
        <w:spacing w:line="520" w:lineRule="exact"/>
        <w:ind w:firstLine="480" w:firstLineChars="200"/>
        <w:rPr>
          <w:bCs/>
          <w:sz w:val="24"/>
        </w:rPr>
      </w:pPr>
      <w:r>
        <w:rPr>
          <w:bCs/>
          <w:sz w:val="24"/>
        </w:rPr>
        <w:t>（一）猪粪和沼渣</w:t>
      </w:r>
    </w:p>
    <w:p>
      <w:pPr>
        <w:spacing w:line="520" w:lineRule="exact"/>
        <w:ind w:firstLine="480" w:firstLineChars="200"/>
        <w:rPr>
          <w:bCs/>
          <w:sz w:val="24"/>
        </w:rPr>
      </w:pPr>
      <w:r>
        <w:rPr>
          <w:bCs/>
          <w:sz w:val="24"/>
        </w:rPr>
        <w:t>（1）猪粪(S</w:t>
      </w:r>
      <w:r>
        <w:rPr>
          <w:bCs/>
          <w:sz w:val="24"/>
          <w:vertAlign w:val="subscript"/>
        </w:rPr>
        <w:t>1</w:t>
      </w:r>
      <w:r>
        <w:rPr>
          <w:bCs/>
          <w:sz w:val="24"/>
        </w:rPr>
        <w:t>)</w:t>
      </w:r>
    </w:p>
    <w:p>
      <w:pPr>
        <w:spacing w:line="520" w:lineRule="exact"/>
        <w:ind w:firstLine="480" w:firstLineChars="200"/>
        <w:rPr>
          <w:bCs/>
          <w:sz w:val="24"/>
        </w:rPr>
      </w:pPr>
      <w:r>
        <w:rPr>
          <w:bCs/>
          <w:sz w:val="24"/>
        </w:rPr>
        <w:t>根据</w:t>
      </w:r>
      <w:r>
        <w:rPr>
          <w:sz w:val="24"/>
        </w:rPr>
        <w:t>《规模畜禽养殖场污染防治最佳可行技术指南（试行）》（HJ-BAT-10）</w:t>
      </w:r>
      <w:r>
        <w:rPr>
          <w:bCs/>
          <w:sz w:val="24"/>
        </w:rPr>
        <w:t>，猪粪排泄量计算公式为：</w:t>
      </w:r>
    </w:p>
    <w:p>
      <w:pPr>
        <w:spacing w:line="520" w:lineRule="exact"/>
        <w:ind w:firstLine="480" w:firstLineChars="200"/>
        <w:jc w:val="center"/>
        <w:rPr>
          <w:bCs/>
          <w:sz w:val="24"/>
        </w:rPr>
      </w:pPr>
      <w:r>
        <w:rPr>
          <w:bCs/>
          <w:sz w:val="24"/>
        </w:rPr>
        <w:t>Yf=0.530F-0.049</w:t>
      </w:r>
    </w:p>
    <w:p>
      <w:pPr>
        <w:spacing w:line="520" w:lineRule="exact"/>
        <w:ind w:firstLine="480" w:firstLineChars="200"/>
        <w:rPr>
          <w:bCs/>
          <w:sz w:val="24"/>
        </w:rPr>
      </w:pPr>
      <w:r>
        <w:rPr>
          <w:bCs/>
          <w:sz w:val="24"/>
        </w:rPr>
        <w:t>式中：Y</w:t>
      </w:r>
      <w:r>
        <w:rPr>
          <w:bCs/>
          <w:sz w:val="24"/>
          <w:vertAlign w:val="subscript"/>
        </w:rPr>
        <w:t>f</w:t>
      </w:r>
      <w:r>
        <w:rPr>
          <w:bCs/>
          <w:sz w:val="24"/>
        </w:rPr>
        <w:t>——为猪粪排泄量（kg/头</w:t>
      </w:r>
      <w:r>
        <w:rPr>
          <w:sz w:val="24"/>
        </w:rPr>
        <w:t>·</w:t>
      </w:r>
      <w:r>
        <w:rPr>
          <w:bCs/>
          <w:sz w:val="24"/>
        </w:rPr>
        <w:t>d）；</w:t>
      </w:r>
    </w:p>
    <w:p>
      <w:pPr>
        <w:spacing w:line="520" w:lineRule="exact"/>
        <w:ind w:firstLine="1200" w:firstLineChars="500"/>
        <w:rPr>
          <w:bCs/>
          <w:sz w:val="24"/>
        </w:rPr>
      </w:pPr>
      <w:r>
        <w:rPr>
          <w:bCs/>
          <w:sz w:val="24"/>
        </w:rPr>
        <w:t>F——为饲料采食量（kg/头</w:t>
      </w:r>
      <w:r>
        <w:rPr>
          <w:sz w:val="24"/>
        </w:rPr>
        <w:t>·</w:t>
      </w:r>
      <w:r>
        <w:rPr>
          <w:bCs/>
          <w:sz w:val="24"/>
        </w:rPr>
        <w:t>d）。</w:t>
      </w:r>
    </w:p>
    <w:p>
      <w:pPr>
        <w:spacing w:line="520" w:lineRule="exact"/>
        <w:ind w:firstLine="480" w:firstLineChars="200"/>
        <w:rPr>
          <w:bCs/>
          <w:sz w:val="24"/>
        </w:rPr>
      </w:pPr>
      <w:r>
        <w:rPr>
          <w:bCs/>
          <w:sz w:val="24"/>
        </w:rPr>
        <w:t>通过计算，项目猪粪产生情况见表2.3-11，饲料平衡见图2.3-3。</w:t>
      </w:r>
    </w:p>
    <w:p>
      <w:pPr>
        <w:spacing w:afterLines="30" w:line="520" w:lineRule="exact"/>
        <w:jc w:val="center"/>
        <w:rPr>
          <w:b/>
          <w:sz w:val="24"/>
        </w:rPr>
      </w:pPr>
      <w:r>
        <w:rPr>
          <w:b/>
          <w:sz w:val="24"/>
        </w:rPr>
        <w:t>表2.3-11   猪粪产生情况一览表</w:t>
      </w:r>
    </w:p>
    <w:tbl>
      <w:tblPr>
        <w:tblStyle w:val="44"/>
        <w:tblW w:w="88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1095"/>
        <w:gridCol w:w="1079"/>
        <w:gridCol w:w="1543"/>
        <w:gridCol w:w="965"/>
        <w:gridCol w:w="821"/>
        <w:gridCol w:w="1232"/>
        <w:gridCol w:w="10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79" w:type="dxa"/>
            <w:vMerge w:val="restart"/>
            <w:tcMar>
              <w:left w:w="28" w:type="dxa"/>
              <w:right w:w="28" w:type="dxa"/>
            </w:tcMar>
            <w:vAlign w:val="center"/>
          </w:tcPr>
          <w:p>
            <w:pPr>
              <w:adjustRightInd w:val="0"/>
              <w:snapToGrid w:val="0"/>
              <w:jc w:val="center"/>
              <w:rPr>
                <w:szCs w:val="21"/>
              </w:rPr>
            </w:pPr>
            <w:r>
              <w:rPr>
                <w:szCs w:val="21"/>
              </w:rPr>
              <w:t>种类</w:t>
            </w:r>
          </w:p>
        </w:tc>
        <w:tc>
          <w:tcPr>
            <w:tcW w:w="1095" w:type="dxa"/>
            <w:vMerge w:val="restart"/>
            <w:tcMar>
              <w:left w:w="28" w:type="dxa"/>
              <w:right w:w="28" w:type="dxa"/>
            </w:tcMar>
            <w:vAlign w:val="center"/>
          </w:tcPr>
          <w:p>
            <w:pPr>
              <w:adjustRightInd w:val="0"/>
              <w:snapToGrid w:val="0"/>
              <w:jc w:val="center"/>
              <w:rPr>
                <w:szCs w:val="21"/>
              </w:rPr>
            </w:pPr>
            <w:r>
              <w:rPr>
                <w:szCs w:val="21"/>
              </w:rPr>
              <w:t>存栏数（头）</w:t>
            </w:r>
          </w:p>
        </w:tc>
        <w:tc>
          <w:tcPr>
            <w:tcW w:w="1079" w:type="dxa"/>
            <w:vMerge w:val="restart"/>
            <w:tcMar>
              <w:left w:w="28" w:type="dxa"/>
              <w:right w:w="28" w:type="dxa"/>
            </w:tcMar>
            <w:vAlign w:val="center"/>
          </w:tcPr>
          <w:p>
            <w:pPr>
              <w:adjustRightInd w:val="0"/>
              <w:snapToGrid w:val="0"/>
              <w:jc w:val="center"/>
              <w:rPr>
                <w:szCs w:val="21"/>
              </w:rPr>
            </w:pPr>
            <w:r>
              <w:rPr>
                <w:szCs w:val="21"/>
              </w:rPr>
              <w:t>饲料定额</w:t>
            </w:r>
          </w:p>
          <w:p>
            <w:pPr>
              <w:adjustRightInd w:val="0"/>
              <w:snapToGrid w:val="0"/>
              <w:jc w:val="center"/>
              <w:rPr>
                <w:szCs w:val="21"/>
              </w:rPr>
            </w:pPr>
            <w:r>
              <w:rPr>
                <w:szCs w:val="21"/>
              </w:rPr>
              <w:t>（kg/头.d）</w:t>
            </w:r>
          </w:p>
        </w:tc>
        <w:tc>
          <w:tcPr>
            <w:tcW w:w="1543" w:type="dxa"/>
            <w:vMerge w:val="restart"/>
            <w:tcMar>
              <w:left w:w="28" w:type="dxa"/>
              <w:right w:w="28" w:type="dxa"/>
            </w:tcMar>
            <w:vAlign w:val="center"/>
          </w:tcPr>
          <w:p>
            <w:pPr>
              <w:adjustRightInd w:val="0"/>
              <w:snapToGrid w:val="0"/>
              <w:jc w:val="center"/>
              <w:rPr>
                <w:szCs w:val="21"/>
              </w:rPr>
            </w:pPr>
            <w:r>
              <w:rPr>
                <w:szCs w:val="21"/>
              </w:rPr>
              <w:t>单头猪粪便产生量（kg/头.d）</w:t>
            </w:r>
          </w:p>
        </w:tc>
        <w:tc>
          <w:tcPr>
            <w:tcW w:w="1786" w:type="dxa"/>
            <w:gridSpan w:val="2"/>
            <w:tcMar>
              <w:left w:w="28" w:type="dxa"/>
              <w:right w:w="28" w:type="dxa"/>
            </w:tcMar>
            <w:vAlign w:val="center"/>
          </w:tcPr>
          <w:p>
            <w:pPr>
              <w:adjustRightInd w:val="0"/>
              <w:snapToGrid w:val="0"/>
              <w:jc w:val="center"/>
              <w:rPr>
                <w:szCs w:val="21"/>
              </w:rPr>
            </w:pPr>
            <w:r>
              <w:rPr>
                <w:szCs w:val="21"/>
              </w:rPr>
              <w:t>饲料用量</w:t>
            </w:r>
          </w:p>
        </w:tc>
        <w:tc>
          <w:tcPr>
            <w:tcW w:w="2271" w:type="dxa"/>
            <w:gridSpan w:val="2"/>
            <w:tcMar>
              <w:left w:w="28" w:type="dxa"/>
              <w:right w:w="28" w:type="dxa"/>
            </w:tcMar>
            <w:vAlign w:val="center"/>
          </w:tcPr>
          <w:p>
            <w:pPr>
              <w:adjustRightInd w:val="0"/>
              <w:snapToGrid w:val="0"/>
              <w:jc w:val="center"/>
              <w:rPr>
                <w:szCs w:val="21"/>
              </w:rPr>
            </w:pPr>
            <w:r>
              <w:rPr>
                <w:szCs w:val="21"/>
              </w:rPr>
              <w:t>猪粪便产生量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79" w:type="dxa"/>
            <w:vMerge w:val="continue"/>
            <w:tcMar>
              <w:left w:w="28" w:type="dxa"/>
              <w:right w:w="28" w:type="dxa"/>
            </w:tcMar>
            <w:vAlign w:val="center"/>
          </w:tcPr>
          <w:p>
            <w:pPr>
              <w:adjustRightInd w:val="0"/>
              <w:snapToGrid w:val="0"/>
              <w:jc w:val="center"/>
              <w:rPr>
                <w:szCs w:val="21"/>
              </w:rPr>
            </w:pPr>
          </w:p>
        </w:tc>
        <w:tc>
          <w:tcPr>
            <w:tcW w:w="1095" w:type="dxa"/>
            <w:vMerge w:val="continue"/>
            <w:tcMar>
              <w:left w:w="28" w:type="dxa"/>
              <w:right w:w="28" w:type="dxa"/>
            </w:tcMar>
            <w:vAlign w:val="center"/>
          </w:tcPr>
          <w:p>
            <w:pPr>
              <w:adjustRightInd w:val="0"/>
              <w:snapToGrid w:val="0"/>
              <w:jc w:val="center"/>
              <w:rPr>
                <w:szCs w:val="21"/>
              </w:rPr>
            </w:pPr>
          </w:p>
        </w:tc>
        <w:tc>
          <w:tcPr>
            <w:tcW w:w="1079" w:type="dxa"/>
            <w:vMerge w:val="continue"/>
            <w:tcMar>
              <w:left w:w="28" w:type="dxa"/>
              <w:right w:w="28" w:type="dxa"/>
            </w:tcMar>
            <w:vAlign w:val="center"/>
          </w:tcPr>
          <w:p>
            <w:pPr>
              <w:adjustRightInd w:val="0"/>
              <w:snapToGrid w:val="0"/>
              <w:jc w:val="center"/>
              <w:rPr>
                <w:szCs w:val="21"/>
              </w:rPr>
            </w:pPr>
          </w:p>
        </w:tc>
        <w:tc>
          <w:tcPr>
            <w:tcW w:w="1543" w:type="dxa"/>
            <w:vMerge w:val="continue"/>
            <w:tcMar>
              <w:left w:w="28" w:type="dxa"/>
              <w:right w:w="28" w:type="dxa"/>
            </w:tcMar>
            <w:vAlign w:val="center"/>
          </w:tcPr>
          <w:p>
            <w:pPr>
              <w:adjustRightInd w:val="0"/>
              <w:snapToGrid w:val="0"/>
              <w:jc w:val="center"/>
              <w:rPr>
                <w:szCs w:val="21"/>
              </w:rPr>
            </w:pPr>
          </w:p>
        </w:tc>
        <w:tc>
          <w:tcPr>
            <w:tcW w:w="965" w:type="dxa"/>
            <w:tcMar>
              <w:left w:w="28" w:type="dxa"/>
              <w:right w:w="28" w:type="dxa"/>
            </w:tcMar>
            <w:vAlign w:val="center"/>
          </w:tcPr>
          <w:p>
            <w:pPr>
              <w:adjustRightInd w:val="0"/>
              <w:snapToGrid w:val="0"/>
              <w:jc w:val="center"/>
              <w:rPr>
                <w:szCs w:val="21"/>
              </w:rPr>
            </w:pPr>
            <w:r>
              <w:rPr>
                <w:szCs w:val="21"/>
              </w:rPr>
              <w:t>（t/d）</w:t>
            </w:r>
          </w:p>
        </w:tc>
        <w:tc>
          <w:tcPr>
            <w:tcW w:w="821" w:type="dxa"/>
            <w:tcMar>
              <w:left w:w="28" w:type="dxa"/>
              <w:right w:w="28" w:type="dxa"/>
            </w:tcMar>
            <w:vAlign w:val="center"/>
          </w:tcPr>
          <w:p>
            <w:pPr>
              <w:adjustRightInd w:val="0"/>
              <w:snapToGrid w:val="0"/>
              <w:jc w:val="center"/>
              <w:rPr>
                <w:szCs w:val="21"/>
              </w:rPr>
            </w:pPr>
            <w:r>
              <w:rPr>
                <w:szCs w:val="21"/>
              </w:rPr>
              <w:t>（t/a）</w:t>
            </w:r>
          </w:p>
        </w:tc>
        <w:tc>
          <w:tcPr>
            <w:tcW w:w="1232" w:type="dxa"/>
            <w:tcMar>
              <w:left w:w="28" w:type="dxa"/>
              <w:right w:w="28" w:type="dxa"/>
            </w:tcMar>
            <w:vAlign w:val="center"/>
          </w:tcPr>
          <w:p>
            <w:pPr>
              <w:adjustRightInd w:val="0"/>
              <w:snapToGrid w:val="0"/>
              <w:jc w:val="center"/>
              <w:rPr>
                <w:szCs w:val="21"/>
              </w:rPr>
            </w:pPr>
            <w:r>
              <w:rPr>
                <w:szCs w:val="21"/>
              </w:rPr>
              <w:t>（t/d）</w:t>
            </w:r>
          </w:p>
        </w:tc>
        <w:tc>
          <w:tcPr>
            <w:tcW w:w="1039" w:type="dxa"/>
            <w:tcMar>
              <w:left w:w="28" w:type="dxa"/>
              <w:right w:w="28" w:type="dxa"/>
            </w:tcMar>
            <w:vAlign w:val="center"/>
          </w:tcPr>
          <w:p>
            <w:pPr>
              <w:adjustRightInd w:val="0"/>
              <w:snapToGrid w:val="0"/>
              <w:jc w:val="center"/>
              <w:rPr>
                <w:szCs w:val="21"/>
              </w:rPr>
            </w:pPr>
            <w:r>
              <w:rPr>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9" w:type="dxa"/>
            <w:tcMar>
              <w:left w:w="28" w:type="dxa"/>
              <w:right w:w="28" w:type="dxa"/>
            </w:tcMar>
            <w:vAlign w:val="center"/>
          </w:tcPr>
          <w:p>
            <w:pPr>
              <w:jc w:val="center"/>
              <w:rPr>
                <w:color w:val="000000"/>
                <w:szCs w:val="21"/>
              </w:rPr>
            </w:pPr>
            <w:r>
              <w:rPr>
                <w:color w:val="000000"/>
                <w:szCs w:val="21"/>
              </w:rPr>
              <w:t>保育猪</w:t>
            </w:r>
          </w:p>
        </w:tc>
        <w:tc>
          <w:tcPr>
            <w:tcW w:w="1095" w:type="dxa"/>
            <w:tcMar>
              <w:left w:w="28" w:type="dxa"/>
              <w:right w:w="28" w:type="dxa"/>
            </w:tcMar>
            <w:vAlign w:val="center"/>
          </w:tcPr>
          <w:p>
            <w:pPr>
              <w:jc w:val="center"/>
              <w:rPr>
                <w:szCs w:val="21"/>
              </w:rPr>
            </w:pPr>
            <w:r>
              <w:rPr>
                <w:rFonts w:hint="eastAsia"/>
                <w:szCs w:val="21"/>
              </w:rPr>
              <w:t>16667</w:t>
            </w:r>
          </w:p>
        </w:tc>
        <w:tc>
          <w:tcPr>
            <w:tcW w:w="1079" w:type="dxa"/>
            <w:tcMar>
              <w:left w:w="28" w:type="dxa"/>
              <w:right w:w="28" w:type="dxa"/>
            </w:tcMar>
            <w:vAlign w:val="center"/>
          </w:tcPr>
          <w:p>
            <w:pPr>
              <w:jc w:val="center"/>
              <w:rPr>
                <w:color w:val="000000"/>
                <w:szCs w:val="21"/>
              </w:rPr>
            </w:pPr>
            <w:r>
              <w:rPr>
                <w:color w:val="000000"/>
                <w:szCs w:val="21"/>
              </w:rPr>
              <w:t>0.8</w:t>
            </w:r>
          </w:p>
        </w:tc>
        <w:tc>
          <w:tcPr>
            <w:tcW w:w="1543" w:type="dxa"/>
            <w:tcMar>
              <w:left w:w="28" w:type="dxa"/>
              <w:right w:w="28" w:type="dxa"/>
            </w:tcMar>
            <w:vAlign w:val="center"/>
          </w:tcPr>
          <w:p>
            <w:pPr>
              <w:jc w:val="center"/>
              <w:rPr>
                <w:color w:val="000000"/>
                <w:szCs w:val="21"/>
              </w:rPr>
            </w:pPr>
            <w:r>
              <w:rPr>
                <w:color w:val="000000"/>
                <w:szCs w:val="21"/>
              </w:rPr>
              <w:t>0.375</w:t>
            </w:r>
          </w:p>
        </w:tc>
        <w:tc>
          <w:tcPr>
            <w:tcW w:w="965" w:type="dxa"/>
            <w:tcMar>
              <w:left w:w="28" w:type="dxa"/>
              <w:right w:w="28" w:type="dxa"/>
            </w:tcMar>
            <w:vAlign w:val="bottom"/>
          </w:tcPr>
          <w:p>
            <w:pPr>
              <w:jc w:val="center"/>
              <w:rPr>
                <w:color w:val="000000"/>
                <w:szCs w:val="21"/>
              </w:rPr>
            </w:pPr>
            <w:r>
              <w:rPr>
                <w:color w:val="000000"/>
                <w:szCs w:val="21"/>
              </w:rPr>
              <w:t xml:space="preserve">13 </w:t>
            </w:r>
          </w:p>
        </w:tc>
        <w:tc>
          <w:tcPr>
            <w:tcW w:w="821" w:type="dxa"/>
            <w:tcMar>
              <w:left w:w="28" w:type="dxa"/>
              <w:right w:w="28" w:type="dxa"/>
            </w:tcMar>
            <w:vAlign w:val="bottom"/>
          </w:tcPr>
          <w:p>
            <w:pPr>
              <w:jc w:val="center"/>
              <w:rPr>
                <w:sz w:val="22"/>
                <w:szCs w:val="22"/>
              </w:rPr>
            </w:pPr>
            <w:r>
              <w:rPr>
                <w:sz w:val="22"/>
                <w:szCs w:val="22"/>
              </w:rPr>
              <w:t xml:space="preserve">4867 </w:t>
            </w:r>
          </w:p>
        </w:tc>
        <w:tc>
          <w:tcPr>
            <w:tcW w:w="1232" w:type="dxa"/>
            <w:tcMar>
              <w:left w:w="28" w:type="dxa"/>
              <w:right w:w="28" w:type="dxa"/>
            </w:tcMar>
            <w:vAlign w:val="bottom"/>
          </w:tcPr>
          <w:p>
            <w:pPr>
              <w:jc w:val="center"/>
              <w:rPr>
                <w:color w:val="000000"/>
                <w:szCs w:val="21"/>
              </w:rPr>
            </w:pPr>
            <w:r>
              <w:rPr>
                <w:color w:val="000000"/>
                <w:szCs w:val="21"/>
              </w:rPr>
              <w:t xml:space="preserve">6.25 </w:t>
            </w:r>
          </w:p>
        </w:tc>
        <w:tc>
          <w:tcPr>
            <w:tcW w:w="1039" w:type="dxa"/>
            <w:tcMar>
              <w:left w:w="28" w:type="dxa"/>
              <w:right w:w="28" w:type="dxa"/>
            </w:tcMar>
            <w:vAlign w:val="bottom"/>
          </w:tcPr>
          <w:p>
            <w:pPr>
              <w:jc w:val="center"/>
              <w:rPr>
                <w:sz w:val="22"/>
                <w:szCs w:val="22"/>
              </w:rPr>
            </w:pPr>
            <w:r>
              <w:rPr>
                <w:sz w:val="22"/>
                <w:szCs w:val="22"/>
              </w:rPr>
              <w:t xml:space="preserve">2281.30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9" w:type="dxa"/>
            <w:tcMar>
              <w:left w:w="28" w:type="dxa"/>
              <w:right w:w="28" w:type="dxa"/>
            </w:tcMar>
            <w:vAlign w:val="center"/>
          </w:tcPr>
          <w:p>
            <w:pPr>
              <w:jc w:val="center"/>
              <w:rPr>
                <w:color w:val="000000"/>
                <w:szCs w:val="21"/>
              </w:rPr>
            </w:pPr>
            <w:r>
              <w:rPr>
                <w:color w:val="000000"/>
                <w:szCs w:val="21"/>
              </w:rPr>
              <w:t>育肥猪</w:t>
            </w:r>
          </w:p>
        </w:tc>
        <w:tc>
          <w:tcPr>
            <w:tcW w:w="1095" w:type="dxa"/>
            <w:tcMar>
              <w:left w:w="28" w:type="dxa"/>
              <w:right w:w="28" w:type="dxa"/>
            </w:tcMar>
            <w:vAlign w:val="center"/>
          </w:tcPr>
          <w:p>
            <w:pPr>
              <w:jc w:val="center"/>
              <w:rPr>
                <w:szCs w:val="21"/>
              </w:rPr>
            </w:pPr>
            <w:r>
              <w:rPr>
                <w:rFonts w:hint="eastAsia"/>
                <w:szCs w:val="21"/>
              </w:rPr>
              <w:t>33333</w:t>
            </w:r>
          </w:p>
        </w:tc>
        <w:tc>
          <w:tcPr>
            <w:tcW w:w="1079" w:type="dxa"/>
            <w:tcMar>
              <w:left w:w="28" w:type="dxa"/>
              <w:right w:w="28" w:type="dxa"/>
            </w:tcMar>
            <w:vAlign w:val="center"/>
          </w:tcPr>
          <w:p>
            <w:pPr>
              <w:jc w:val="center"/>
              <w:rPr>
                <w:color w:val="000000"/>
                <w:szCs w:val="21"/>
              </w:rPr>
            </w:pPr>
            <w:r>
              <w:rPr>
                <w:color w:val="000000"/>
                <w:szCs w:val="21"/>
              </w:rPr>
              <w:t>2</w:t>
            </w:r>
          </w:p>
        </w:tc>
        <w:tc>
          <w:tcPr>
            <w:tcW w:w="1543" w:type="dxa"/>
            <w:tcMar>
              <w:left w:w="28" w:type="dxa"/>
              <w:right w:w="28" w:type="dxa"/>
            </w:tcMar>
            <w:vAlign w:val="center"/>
          </w:tcPr>
          <w:p>
            <w:pPr>
              <w:jc w:val="center"/>
              <w:rPr>
                <w:color w:val="000000"/>
                <w:szCs w:val="21"/>
              </w:rPr>
            </w:pPr>
            <w:r>
              <w:rPr>
                <w:color w:val="000000"/>
                <w:szCs w:val="21"/>
              </w:rPr>
              <w:t>1.01</w:t>
            </w:r>
          </w:p>
        </w:tc>
        <w:tc>
          <w:tcPr>
            <w:tcW w:w="965" w:type="dxa"/>
            <w:tcMar>
              <w:left w:w="28" w:type="dxa"/>
              <w:right w:w="28" w:type="dxa"/>
            </w:tcMar>
            <w:vAlign w:val="bottom"/>
          </w:tcPr>
          <w:p>
            <w:pPr>
              <w:jc w:val="center"/>
              <w:rPr>
                <w:color w:val="000000"/>
                <w:szCs w:val="21"/>
              </w:rPr>
            </w:pPr>
            <w:r>
              <w:rPr>
                <w:color w:val="000000"/>
                <w:szCs w:val="21"/>
              </w:rPr>
              <w:t xml:space="preserve">67 </w:t>
            </w:r>
          </w:p>
        </w:tc>
        <w:tc>
          <w:tcPr>
            <w:tcW w:w="821" w:type="dxa"/>
            <w:tcMar>
              <w:left w:w="28" w:type="dxa"/>
              <w:right w:w="28" w:type="dxa"/>
            </w:tcMar>
            <w:vAlign w:val="bottom"/>
          </w:tcPr>
          <w:p>
            <w:pPr>
              <w:jc w:val="center"/>
              <w:rPr>
                <w:sz w:val="22"/>
                <w:szCs w:val="22"/>
              </w:rPr>
            </w:pPr>
            <w:r>
              <w:rPr>
                <w:sz w:val="22"/>
                <w:szCs w:val="22"/>
              </w:rPr>
              <w:t xml:space="preserve">24333 </w:t>
            </w:r>
          </w:p>
        </w:tc>
        <w:tc>
          <w:tcPr>
            <w:tcW w:w="1232" w:type="dxa"/>
            <w:tcMar>
              <w:left w:w="28" w:type="dxa"/>
              <w:right w:w="28" w:type="dxa"/>
            </w:tcMar>
            <w:vAlign w:val="bottom"/>
          </w:tcPr>
          <w:p>
            <w:pPr>
              <w:jc w:val="center"/>
              <w:rPr>
                <w:color w:val="000000"/>
                <w:szCs w:val="21"/>
              </w:rPr>
            </w:pPr>
            <w:r>
              <w:rPr>
                <w:color w:val="000000"/>
                <w:szCs w:val="21"/>
              </w:rPr>
              <w:t xml:space="preserve">33.67 </w:t>
            </w:r>
          </w:p>
        </w:tc>
        <w:tc>
          <w:tcPr>
            <w:tcW w:w="1039" w:type="dxa"/>
            <w:tcMar>
              <w:left w:w="28" w:type="dxa"/>
              <w:right w:w="28" w:type="dxa"/>
            </w:tcMar>
            <w:vAlign w:val="bottom"/>
          </w:tcPr>
          <w:p>
            <w:pPr>
              <w:jc w:val="center"/>
              <w:rPr>
                <w:sz w:val="22"/>
                <w:szCs w:val="22"/>
              </w:rPr>
            </w:pPr>
            <w:r>
              <w:rPr>
                <w:sz w:val="22"/>
                <w:szCs w:val="22"/>
              </w:rPr>
              <w:t xml:space="preserve">12288.21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4" w:type="dxa"/>
            <w:gridSpan w:val="2"/>
            <w:tcMar>
              <w:left w:w="28" w:type="dxa"/>
              <w:right w:w="28" w:type="dxa"/>
            </w:tcMar>
            <w:vAlign w:val="center"/>
          </w:tcPr>
          <w:p>
            <w:pPr>
              <w:jc w:val="center"/>
              <w:rPr>
                <w:szCs w:val="21"/>
              </w:rPr>
            </w:pPr>
            <w:r>
              <w:rPr>
                <w:szCs w:val="21"/>
              </w:rPr>
              <w:t>合计</w:t>
            </w:r>
          </w:p>
        </w:tc>
        <w:tc>
          <w:tcPr>
            <w:tcW w:w="1079" w:type="dxa"/>
            <w:tcMar>
              <w:left w:w="28" w:type="dxa"/>
              <w:right w:w="28" w:type="dxa"/>
            </w:tcMar>
            <w:vAlign w:val="center"/>
          </w:tcPr>
          <w:p>
            <w:pPr>
              <w:adjustRightInd w:val="0"/>
              <w:snapToGrid w:val="0"/>
              <w:jc w:val="center"/>
              <w:rPr>
                <w:szCs w:val="21"/>
              </w:rPr>
            </w:pPr>
            <w:r>
              <w:rPr>
                <w:szCs w:val="21"/>
              </w:rPr>
              <w:t>/</w:t>
            </w:r>
          </w:p>
        </w:tc>
        <w:tc>
          <w:tcPr>
            <w:tcW w:w="1543" w:type="dxa"/>
            <w:tcMar>
              <w:left w:w="28" w:type="dxa"/>
              <w:right w:w="28" w:type="dxa"/>
            </w:tcMar>
            <w:vAlign w:val="center"/>
          </w:tcPr>
          <w:p>
            <w:pPr>
              <w:adjustRightInd w:val="0"/>
              <w:snapToGrid w:val="0"/>
              <w:jc w:val="center"/>
              <w:rPr>
                <w:szCs w:val="21"/>
              </w:rPr>
            </w:pPr>
            <w:r>
              <w:rPr>
                <w:szCs w:val="21"/>
              </w:rPr>
              <w:t>/</w:t>
            </w:r>
          </w:p>
        </w:tc>
        <w:tc>
          <w:tcPr>
            <w:tcW w:w="965" w:type="dxa"/>
            <w:tcMar>
              <w:left w:w="28" w:type="dxa"/>
              <w:right w:w="28" w:type="dxa"/>
            </w:tcMar>
            <w:vAlign w:val="bottom"/>
          </w:tcPr>
          <w:p>
            <w:pPr>
              <w:jc w:val="center"/>
              <w:rPr>
                <w:rFonts w:ascii="Calibri" w:hAnsi="Calibri" w:cs="宋体"/>
                <w:sz w:val="22"/>
                <w:szCs w:val="22"/>
              </w:rPr>
            </w:pPr>
            <w:r>
              <w:rPr>
                <w:rFonts w:ascii="Calibri" w:hAnsi="Calibri"/>
                <w:sz w:val="22"/>
                <w:szCs w:val="22"/>
              </w:rPr>
              <w:t>80</w:t>
            </w:r>
          </w:p>
        </w:tc>
        <w:tc>
          <w:tcPr>
            <w:tcW w:w="821" w:type="dxa"/>
            <w:tcMar>
              <w:left w:w="28" w:type="dxa"/>
              <w:right w:w="28" w:type="dxa"/>
            </w:tcMar>
            <w:vAlign w:val="bottom"/>
          </w:tcPr>
          <w:p>
            <w:pPr>
              <w:jc w:val="center"/>
              <w:rPr>
                <w:rFonts w:ascii="Calibri" w:hAnsi="Calibri" w:cs="宋体"/>
                <w:sz w:val="22"/>
                <w:szCs w:val="22"/>
              </w:rPr>
            </w:pPr>
            <w:r>
              <w:rPr>
                <w:rFonts w:ascii="Calibri" w:hAnsi="Calibri"/>
                <w:sz w:val="22"/>
                <w:szCs w:val="22"/>
              </w:rPr>
              <w:t>29200</w:t>
            </w:r>
          </w:p>
        </w:tc>
        <w:tc>
          <w:tcPr>
            <w:tcW w:w="1232" w:type="dxa"/>
            <w:tcMar>
              <w:left w:w="28" w:type="dxa"/>
              <w:right w:w="28" w:type="dxa"/>
            </w:tcMar>
            <w:vAlign w:val="bottom"/>
          </w:tcPr>
          <w:p>
            <w:pPr>
              <w:jc w:val="center"/>
              <w:rPr>
                <w:rFonts w:ascii="Calibri" w:hAnsi="Calibri" w:cs="宋体"/>
                <w:sz w:val="22"/>
                <w:szCs w:val="22"/>
              </w:rPr>
            </w:pPr>
            <w:r>
              <w:rPr>
                <w:rFonts w:ascii="Calibri" w:hAnsi="Calibri"/>
                <w:sz w:val="22"/>
                <w:szCs w:val="22"/>
              </w:rPr>
              <w:t>39.92</w:t>
            </w:r>
          </w:p>
        </w:tc>
        <w:tc>
          <w:tcPr>
            <w:tcW w:w="1039" w:type="dxa"/>
            <w:tcMar>
              <w:left w:w="28" w:type="dxa"/>
              <w:right w:w="28" w:type="dxa"/>
            </w:tcMar>
            <w:vAlign w:val="bottom"/>
          </w:tcPr>
          <w:p>
            <w:pPr>
              <w:jc w:val="center"/>
              <w:rPr>
                <w:rFonts w:ascii="Calibri" w:hAnsi="Calibri" w:cs="宋体"/>
                <w:sz w:val="22"/>
                <w:szCs w:val="22"/>
              </w:rPr>
            </w:pPr>
            <w:r>
              <w:rPr>
                <w:rFonts w:ascii="Calibri" w:hAnsi="Calibri"/>
                <w:sz w:val="22"/>
                <w:szCs w:val="22"/>
              </w:rPr>
              <w:t>14570.80</w:t>
            </w:r>
          </w:p>
        </w:tc>
      </w:tr>
    </w:tbl>
    <w:p>
      <w:pPr>
        <w:spacing w:before="156" w:after="156" w:line="500" w:lineRule="exact"/>
        <w:ind w:firstLine="482" w:firstLineChars="200"/>
        <w:jc w:val="center"/>
        <w:rPr>
          <w:b/>
          <w:bCs/>
          <w:color w:val="000000"/>
          <w:sz w:val="24"/>
        </w:rPr>
      </w:pPr>
    </w:p>
    <w:p>
      <w:pPr>
        <w:pStyle w:val="2"/>
        <w:ind w:firstLine="400"/>
      </w:pPr>
      <w:r>
        <w:rPr>
          <w:rFonts w:hint="eastAsia"/>
        </w:rPr>
        <w:drawing>
          <wp:inline distT="0" distB="0" distL="114300" distR="114300">
            <wp:extent cx="5438775" cy="4705350"/>
            <wp:effectExtent l="0" t="0" r="9525" b="0"/>
            <wp:docPr id="33" name="图片 33" descr="a70d0134643802f89b2003ad1ba4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70d0134643802f89b2003ad1ba4ad0"/>
                    <pic:cNvPicPr>
                      <a:picLocks noChangeAspect="1"/>
                    </pic:cNvPicPr>
                  </pic:nvPicPr>
                  <pic:blipFill>
                    <a:blip r:embed="rId25"/>
                    <a:stretch>
                      <a:fillRect/>
                    </a:stretch>
                  </pic:blipFill>
                  <pic:spPr>
                    <a:xfrm>
                      <a:off x="0" y="0"/>
                      <a:ext cx="5438775" cy="4705350"/>
                    </a:xfrm>
                    <a:prstGeom prst="rect">
                      <a:avLst/>
                    </a:prstGeom>
                  </pic:spPr>
                </pic:pic>
              </a:graphicData>
            </a:graphic>
          </wp:inline>
        </w:drawing>
      </w:r>
    </w:p>
    <w:p>
      <w:pPr>
        <w:spacing w:before="156" w:after="156" w:line="500" w:lineRule="exact"/>
        <w:ind w:firstLine="482" w:firstLineChars="200"/>
        <w:jc w:val="center"/>
        <w:rPr>
          <w:b/>
          <w:snapToGrid w:val="0"/>
          <w:color w:val="000000"/>
          <w:kern w:val="0"/>
          <w:szCs w:val="28"/>
          <w:u w:val="single"/>
        </w:rPr>
      </w:pPr>
      <w:r>
        <w:rPr>
          <w:b/>
          <w:bCs/>
          <w:color w:val="000000"/>
          <w:sz w:val="24"/>
          <w:u w:val="single"/>
        </w:rPr>
        <w:t xml:space="preserve">图2.3-3    项目物料（饲料）平衡图  </w:t>
      </w:r>
      <w:r>
        <w:rPr>
          <w:b/>
          <w:color w:val="000000"/>
          <w:szCs w:val="21"/>
          <w:u w:val="single"/>
        </w:rPr>
        <w:t>（单位：干t/d）</w:t>
      </w:r>
    </w:p>
    <w:p>
      <w:pPr>
        <w:spacing w:line="520" w:lineRule="exact"/>
        <w:ind w:firstLine="480" w:firstLineChars="200"/>
        <w:rPr>
          <w:bCs/>
          <w:sz w:val="24"/>
        </w:rPr>
      </w:pPr>
      <w:r>
        <w:rPr>
          <w:bCs/>
          <w:sz w:val="24"/>
        </w:rPr>
        <w:t>新鲜猪粪含水率为80%，养殖粪污在污水前处理区进行固液分离，固液分离效率按50%计，经分离后猪粪总重（以含水量65%计）为4163.09t/a，在堆肥区发酵生产有机肥基肥，剩余溶解在废水里的猪粪进入盖泻湖沼气池进行处理。</w:t>
      </w:r>
    </w:p>
    <w:p>
      <w:pPr>
        <w:spacing w:line="520" w:lineRule="exact"/>
        <w:ind w:firstLine="480" w:firstLineChars="200"/>
        <w:rPr>
          <w:sz w:val="24"/>
        </w:rPr>
      </w:pPr>
      <w:r>
        <w:rPr>
          <w:sz w:val="24"/>
        </w:rPr>
        <w:t>拟建项目产生的粪便及去向详见表2.3-12。</w:t>
      </w:r>
    </w:p>
    <w:p>
      <w:pPr>
        <w:spacing w:afterLines="30" w:line="500" w:lineRule="exact"/>
        <w:jc w:val="center"/>
        <w:rPr>
          <w:b/>
          <w:bCs/>
          <w:sz w:val="24"/>
        </w:rPr>
      </w:pPr>
      <w:r>
        <w:rPr>
          <w:b/>
          <w:bCs/>
          <w:sz w:val="24"/>
        </w:rPr>
        <w:t>表2.3-12   拟建项目猪粪产生及去向一览表</w:t>
      </w:r>
    </w:p>
    <w:tbl>
      <w:tblPr>
        <w:tblStyle w:val="44"/>
        <w:tblW w:w="884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475"/>
        <w:gridCol w:w="1397"/>
        <w:gridCol w:w="1151"/>
        <w:gridCol w:w="1292"/>
        <w:gridCol w:w="1006"/>
        <w:gridCol w:w="1399"/>
        <w:gridCol w:w="11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97" w:hRule="atLeast"/>
          <w:jc w:val="center"/>
        </w:trPr>
        <w:tc>
          <w:tcPr>
            <w:tcW w:w="1475" w:type="dxa"/>
            <w:vMerge w:val="restart"/>
            <w:tcBorders>
              <w:top w:val="single" w:color="auto" w:sz="4" w:space="0"/>
              <w:left w:val="single" w:color="auto" w:sz="4" w:space="0"/>
              <w:bottom w:val="single" w:color="auto" w:sz="6" w:space="0"/>
              <w:tl2br w:val="single" w:color="auto" w:sz="6" w:space="0"/>
            </w:tcBorders>
            <w:vAlign w:val="center"/>
          </w:tcPr>
          <w:p>
            <w:pPr>
              <w:jc w:val="right"/>
              <w:rPr>
                <w:szCs w:val="21"/>
              </w:rPr>
            </w:pPr>
            <w:r>
              <w:rPr>
                <w:szCs w:val="21"/>
              </w:rPr>
              <w:t>产生/去向</w:t>
            </w:r>
          </w:p>
          <w:p>
            <w:pPr>
              <w:jc w:val="left"/>
              <w:rPr>
                <w:szCs w:val="21"/>
              </w:rPr>
            </w:pPr>
            <w:r>
              <w:rPr>
                <w:szCs w:val="21"/>
              </w:rPr>
              <w:t>类别</w:t>
            </w:r>
          </w:p>
        </w:tc>
        <w:tc>
          <w:tcPr>
            <w:tcW w:w="2548" w:type="dxa"/>
            <w:gridSpan w:val="2"/>
            <w:tcBorders>
              <w:top w:val="single" w:color="auto" w:sz="4" w:space="0"/>
              <w:bottom w:val="single" w:color="auto" w:sz="6" w:space="0"/>
            </w:tcBorders>
            <w:vAlign w:val="center"/>
          </w:tcPr>
          <w:p>
            <w:pPr>
              <w:jc w:val="center"/>
              <w:rPr>
                <w:szCs w:val="21"/>
              </w:rPr>
            </w:pPr>
            <w:r>
              <w:rPr>
                <w:szCs w:val="21"/>
              </w:rPr>
              <w:t>猪粪总产生量(含水率80%)</w:t>
            </w:r>
          </w:p>
        </w:tc>
        <w:tc>
          <w:tcPr>
            <w:tcW w:w="2298" w:type="dxa"/>
            <w:gridSpan w:val="2"/>
            <w:tcBorders>
              <w:top w:val="single" w:color="auto" w:sz="4" w:space="0"/>
              <w:bottom w:val="single" w:color="auto" w:sz="6" w:space="0"/>
            </w:tcBorders>
            <w:vAlign w:val="center"/>
          </w:tcPr>
          <w:p>
            <w:pPr>
              <w:jc w:val="center"/>
              <w:rPr>
                <w:szCs w:val="21"/>
              </w:rPr>
            </w:pPr>
            <w:r>
              <w:rPr>
                <w:szCs w:val="21"/>
              </w:rPr>
              <w:t>分离后堆肥（含水率65%））</w:t>
            </w:r>
          </w:p>
        </w:tc>
        <w:tc>
          <w:tcPr>
            <w:tcW w:w="2525" w:type="dxa"/>
            <w:gridSpan w:val="2"/>
            <w:tcBorders>
              <w:top w:val="single" w:color="auto" w:sz="4" w:space="0"/>
              <w:bottom w:val="single" w:color="auto" w:sz="6" w:space="0"/>
              <w:right w:val="single" w:color="auto" w:sz="4" w:space="0"/>
            </w:tcBorders>
            <w:vAlign w:val="center"/>
          </w:tcPr>
          <w:p>
            <w:pPr>
              <w:jc w:val="center"/>
              <w:rPr>
                <w:szCs w:val="21"/>
              </w:rPr>
            </w:pPr>
            <w:r>
              <w:rPr>
                <w:szCs w:val="21"/>
              </w:rPr>
              <w:t>进入盖泻湖沼气池的猪粪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97" w:hRule="atLeast"/>
          <w:jc w:val="center"/>
        </w:trPr>
        <w:tc>
          <w:tcPr>
            <w:tcW w:w="1475" w:type="dxa"/>
            <w:vMerge w:val="continue"/>
            <w:tcBorders>
              <w:top w:val="single" w:color="auto" w:sz="6" w:space="0"/>
              <w:left w:val="single" w:color="auto" w:sz="4" w:space="0"/>
              <w:bottom w:val="single" w:color="auto" w:sz="6" w:space="0"/>
              <w:tl2br w:val="single" w:color="auto" w:sz="6" w:space="0"/>
            </w:tcBorders>
            <w:vAlign w:val="center"/>
          </w:tcPr>
          <w:p>
            <w:pPr>
              <w:jc w:val="center"/>
              <w:rPr>
                <w:szCs w:val="21"/>
              </w:rPr>
            </w:pPr>
          </w:p>
        </w:tc>
        <w:tc>
          <w:tcPr>
            <w:tcW w:w="1397" w:type="dxa"/>
            <w:tcBorders>
              <w:top w:val="single" w:color="auto" w:sz="6" w:space="0"/>
              <w:bottom w:val="single" w:color="auto" w:sz="6" w:space="0"/>
            </w:tcBorders>
            <w:vAlign w:val="center"/>
          </w:tcPr>
          <w:p>
            <w:pPr>
              <w:jc w:val="center"/>
              <w:rPr>
                <w:szCs w:val="21"/>
              </w:rPr>
            </w:pPr>
            <w:r>
              <w:rPr>
                <w:szCs w:val="21"/>
              </w:rPr>
              <w:t>t/d</w:t>
            </w:r>
          </w:p>
        </w:tc>
        <w:tc>
          <w:tcPr>
            <w:tcW w:w="1151" w:type="dxa"/>
            <w:tcBorders>
              <w:top w:val="single" w:color="auto" w:sz="6" w:space="0"/>
              <w:bottom w:val="single" w:color="auto" w:sz="6" w:space="0"/>
            </w:tcBorders>
            <w:vAlign w:val="center"/>
          </w:tcPr>
          <w:p>
            <w:pPr>
              <w:jc w:val="center"/>
              <w:rPr>
                <w:szCs w:val="21"/>
              </w:rPr>
            </w:pPr>
            <w:r>
              <w:rPr>
                <w:szCs w:val="21"/>
              </w:rPr>
              <w:t>t/a</w:t>
            </w:r>
          </w:p>
        </w:tc>
        <w:tc>
          <w:tcPr>
            <w:tcW w:w="1292" w:type="dxa"/>
            <w:tcBorders>
              <w:top w:val="single" w:color="auto" w:sz="6" w:space="0"/>
              <w:bottom w:val="single" w:color="auto" w:sz="6" w:space="0"/>
            </w:tcBorders>
            <w:vAlign w:val="center"/>
          </w:tcPr>
          <w:p>
            <w:pPr>
              <w:jc w:val="center"/>
              <w:rPr>
                <w:szCs w:val="21"/>
              </w:rPr>
            </w:pPr>
            <w:r>
              <w:rPr>
                <w:szCs w:val="21"/>
              </w:rPr>
              <w:t>t/d</w:t>
            </w:r>
          </w:p>
        </w:tc>
        <w:tc>
          <w:tcPr>
            <w:tcW w:w="1006" w:type="dxa"/>
            <w:tcBorders>
              <w:top w:val="single" w:color="auto" w:sz="6" w:space="0"/>
              <w:bottom w:val="single" w:color="auto" w:sz="6" w:space="0"/>
            </w:tcBorders>
            <w:vAlign w:val="center"/>
          </w:tcPr>
          <w:p>
            <w:pPr>
              <w:jc w:val="center"/>
              <w:rPr>
                <w:szCs w:val="21"/>
              </w:rPr>
            </w:pPr>
            <w:r>
              <w:rPr>
                <w:szCs w:val="21"/>
              </w:rPr>
              <w:t>t/a</w:t>
            </w:r>
          </w:p>
        </w:tc>
        <w:tc>
          <w:tcPr>
            <w:tcW w:w="1399" w:type="dxa"/>
            <w:tcBorders>
              <w:top w:val="single" w:color="auto" w:sz="6" w:space="0"/>
              <w:bottom w:val="single" w:color="auto" w:sz="6" w:space="0"/>
            </w:tcBorders>
            <w:vAlign w:val="center"/>
          </w:tcPr>
          <w:p>
            <w:pPr>
              <w:jc w:val="center"/>
              <w:rPr>
                <w:szCs w:val="21"/>
              </w:rPr>
            </w:pPr>
            <w:r>
              <w:rPr>
                <w:szCs w:val="21"/>
              </w:rPr>
              <w:t>t/d</w:t>
            </w:r>
          </w:p>
        </w:tc>
        <w:tc>
          <w:tcPr>
            <w:tcW w:w="1126" w:type="dxa"/>
            <w:tcBorders>
              <w:top w:val="single" w:color="auto" w:sz="6" w:space="0"/>
              <w:bottom w:val="single" w:color="auto" w:sz="6" w:space="0"/>
              <w:right w:val="single" w:color="auto" w:sz="4" w:space="0"/>
            </w:tcBorders>
            <w:vAlign w:val="center"/>
          </w:tcPr>
          <w:p>
            <w:pPr>
              <w:jc w:val="center"/>
              <w:rPr>
                <w:szCs w:val="21"/>
              </w:rPr>
            </w:pPr>
            <w:r>
              <w:rPr>
                <w:szCs w:val="21"/>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97" w:hRule="atLeast"/>
          <w:jc w:val="center"/>
        </w:trPr>
        <w:tc>
          <w:tcPr>
            <w:tcW w:w="1475" w:type="dxa"/>
            <w:tcBorders>
              <w:top w:val="single" w:color="auto" w:sz="6" w:space="0"/>
              <w:left w:val="single" w:color="auto" w:sz="4" w:space="0"/>
              <w:bottom w:val="single" w:color="auto" w:sz="6" w:space="0"/>
            </w:tcBorders>
            <w:vAlign w:val="center"/>
          </w:tcPr>
          <w:p>
            <w:pPr>
              <w:jc w:val="center"/>
              <w:rPr>
                <w:szCs w:val="21"/>
              </w:rPr>
            </w:pPr>
            <w:r>
              <w:rPr>
                <w:szCs w:val="21"/>
              </w:rPr>
              <w:t>湿重</w:t>
            </w:r>
          </w:p>
        </w:tc>
        <w:tc>
          <w:tcPr>
            <w:tcW w:w="1397" w:type="dxa"/>
            <w:tcBorders>
              <w:top w:val="single" w:color="auto" w:sz="6" w:space="0"/>
              <w:bottom w:val="single" w:color="auto" w:sz="6" w:space="0"/>
            </w:tcBorders>
            <w:vAlign w:val="center"/>
          </w:tcPr>
          <w:p>
            <w:pPr>
              <w:jc w:val="center"/>
              <w:rPr>
                <w:bCs/>
                <w:color w:val="000000"/>
                <w:szCs w:val="21"/>
              </w:rPr>
            </w:pPr>
            <w:r>
              <w:rPr>
                <w:bCs/>
                <w:color w:val="000000"/>
                <w:szCs w:val="21"/>
              </w:rPr>
              <w:t>39.92</w:t>
            </w:r>
          </w:p>
        </w:tc>
        <w:tc>
          <w:tcPr>
            <w:tcW w:w="1151" w:type="dxa"/>
            <w:tcBorders>
              <w:top w:val="single" w:color="auto" w:sz="6" w:space="0"/>
              <w:bottom w:val="single" w:color="auto" w:sz="6" w:space="0"/>
            </w:tcBorders>
            <w:vAlign w:val="center"/>
          </w:tcPr>
          <w:p>
            <w:pPr>
              <w:jc w:val="center"/>
              <w:rPr>
                <w:bCs/>
                <w:color w:val="000000"/>
                <w:szCs w:val="21"/>
              </w:rPr>
            </w:pPr>
            <w:r>
              <w:rPr>
                <w:bCs/>
                <w:color w:val="000000"/>
                <w:szCs w:val="21"/>
              </w:rPr>
              <w:t>14570.80</w:t>
            </w:r>
          </w:p>
        </w:tc>
        <w:tc>
          <w:tcPr>
            <w:tcW w:w="1292" w:type="dxa"/>
            <w:tcBorders>
              <w:top w:val="single" w:color="auto" w:sz="6" w:space="0"/>
              <w:bottom w:val="single" w:color="auto" w:sz="6" w:space="0"/>
            </w:tcBorders>
            <w:vAlign w:val="center"/>
          </w:tcPr>
          <w:p>
            <w:pPr>
              <w:jc w:val="center"/>
              <w:rPr>
                <w:bCs/>
                <w:color w:val="000000"/>
                <w:szCs w:val="21"/>
              </w:rPr>
            </w:pPr>
            <w:r>
              <w:rPr>
                <w:bCs/>
                <w:color w:val="000000"/>
                <w:szCs w:val="21"/>
              </w:rPr>
              <w:t>11.41</w:t>
            </w:r>
          </w:p>
        </w:tc>
        <w:tc>
          <w:tcPr>
            <w:tcW w:w="1006" w:type="dxa"/>
            <w:tcBorders>
              <w:top w:val="single" w:color="auto" w:sz="6" w:space="0"/>
              <w:bottom w:val="single" w:color="auto" w:sz="6" w:space="0"/>
            </w:tcBorders>
            <w:vAlign w:val="center"/>
          </w:tcPr>
          <w:p>
            <w:pPr>
              <w:jc w:val="center"/>
              <w:rPr>
                <w:bCs/>
                <w:color w:val="000000"/>
                <w:szCs w:val="21"/>
              </w:rPr>
            </w:pPr>
            <w:r>
              <w:rPr>
                <w:bCs/>
                <w:color w:val="000000"/>
                <w:szCs w:val="21"/>
              </w:rPr>
              <w:t>4163.09</w:t>
            </w:r>
          </w:p>
        </w:tc>
        <w:tc>
          <w:tcPr>
            <w:tcW w:w="1399" w:type="dxa"/>
            <w:tcBorders>
              <w:top w:val="single" w:color="auto" w:sz="6" w:space="0"/>
              <w:bottom w:val="single" w:color="auto" w:sz="6" w:space="0"/>
            </w:tcBorders>
            <w:vAlign w:val="center"/>
          </w:tcPr>
          <w:p>
            <w:pPr>
              <w:jc w:val="center"/>
              <w:rPr>
                <w:bCs/>
                <w:color w:val="000000"/>
                <w:szCs w:val="21"/>
              </w:rPr>
            </w:pPr>
            <w:r>
              <w:rPr>
                <w:bCs/>
                <w:color w:val="000000"/>
                <w:szCs w:val="21"/>
              </w:rPr>
              <w:t>19.96</w:t>
            </w:r>
          </w:p>
        </w:tc>
        <w:tc>
          <w:tcPr>
            <w:tcW w:w="1126" w:type="dxa"/>
            <w:tcBorders>
              <w:top w:val="single" w:color="auto" w:sz="6" w:space="0"/>
              <w:bottom w:val="single" w:color="auto" w:sz="6" w:space="0"/>
              <w:right w:val="single" w:color="auto" w:sz="4" w:space="0"/>
            </w:tcBorders>
            <w:vAlign w:val="center"/>
          </w:tcPr>
          <w:p>
            <w:pPr>
              <w:jc w:val="center"/>
              <w:rPr>
                <w:bCs/>
                <w:color w:val="000000"/>
                <w:szCs w:val="21"/>
              </w:rPr>
            </w:pPr>
            <w:r>
              <w:rPr>
                <w:bCs/>
                <w:color w:val="000000"/>
                <w:szCs w:val="21"/>
              </w:rPr>
              <w:t>7285.40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cantSplit/>
          <w:trHeight w:val="397" w:hRule="atLeast"/>
          <w:jc w:val="center"/>
        </w:trPr>
        <w:tc>
          <w:tcPr>
            <w:tcW w:w="1475" w:type="dxa"/>
            <w:tcBorders>
              <w:top w:val="single" w:color="auto" w:sz="6" w:space="0"/>
              <w:left w:val="single" w:color="auto" w:sz="4" w:space="0"/>
              <w:bottom w:val="single" w:color="auto" w:sz="4" w:space="0"/>
            </w:tcBorders>
            <w:vAlign w:val="center"/>
          </w:tcPr>
          <w:p>
            <w:pPr>
              <w:jc w:val="center"/>
              <w:rPr>
                <w:szCs w:val="21"/>
              </w:rPr>
            </w:pPr>
            <w:r>
              <w:rPr>
                <w:szCs w:val="21"/>
              </w:rPr>
              <w:t>干重</w:t>
            </w:r>
          </w:p>
        </w:tc>
        <w:tc>
          <w:tcPr>
            <w:tcW w:w="1397" w:type="dxa"/>
            <w:tcBorders>
              <w:top w:val="single" w:color="auto" w:sz="6" w:space="0"/>
              <w:bottom w:val="single" w:color="auto" w:sz="4" w:space="0"/>
            </w:tcBorders>
            <w:vAlign w:val="center"/>
          </w:tcPr>
          <w:p>
            <w:pPr>
              <w:jc w:val="center"/>
              <w:rPr>
                <w:bCs/>
                <w:color w:val="000000"/>
                <w:szCs w:val="21"/>
              </w:rPr>
            </w:pPr>
            <w:r>
              <w:rPr>
                <w:bCs/>
                <w:color w:val="000000"/>
                <w:szCs w:val="21"/>
              </w:rPr>
              <w:t>7.98</w:t>
            </w:r>
          </w:p>
        </w:tc>
        <w:tc>
          <w:tcPr>
            <w:tcW w:w="1151" w:type="dxa"/>
            <w:tcBorders>
              <w:top w:val="single" w:color="auto" w:sz="6" w:space="0"/>
              <w:bottom w:val="single" w:color="auto" w:sz="4" w:space="0"/>
            </w:tcBorders>
            <w:vAlign w:val="center"/>
          </w:tcPr>
          <w:p>
            <w:pPr>
              <w:jc w:val="center"/>
              <w:rPr>
                <w:bCs/>
                <w:color w:val="000000"/>
                <w:szCs w:val="21"/>
              </w:rPr>
            </w:pPr>
            <w:r>
              <w:rPr>
                <w:bCs/>
                <w:color w:val="000000"/>
                <w:szCs w:val="21"/>
              </w:rPr>
              <w:t>2914.16</w:t>
            </w:r>
          </w:p>
        </w:tc>
        <w:tc>
          <w:tcPr>
            <w:tcW w:w="1292" w:type="dxa"/>
            <w:tcBorders>
              <w:top w:val="single" w:color="auto" w:sz="6" w:space="0"/>
              <w:bottom w:val="single" w:color="auto" w:sz="4" w:space="0"/>
            </w:tcBorders>
            <w:vAlign w:val="center"/>
          </w:tcPr>
          <w:p>
            <w:pPr>
              <w:jc w:val="center"/>
              <w:rPr>
                <w:bCs/>
                <w:color w:val="000000"/>
                <w:szCs w:val="21"/>
              </w:rPr>
            </w:pPr>
            <w:r>
              <w:rPr>
                <w:bCs/>
                <w:color w:val="000000"/>
                <w:szCs w:val="21"/>
              </w:rPr>
              <w:t>3.99</w:t>
            </w:r>
          </w:p>
        </w:tc>
        <w:tc>
          <w:tcPr>
            <w:tcW w:w="1006" w:type="dxa"/>
            <w:tcBorders>
              <w:top w:val="single" w:color="auto" w:sz="6" w:space="0"/>
              <w:bottom w:val="single" w:color="auto" w:sz="4" w:space="0"/>
            </w:tcBorders>
            <w:vAlign w:val="center"/>
          </w:tcPr>
          <w:p>
            <w:pPr>
              <w:jc w:val="center"/>
              <w:rPr>
                <w:bCs/>
                <w:color w:val="000000"/>
                <w:szCs w:val="21"/>
              </w:rPr>
            </w:pPr>
            <w:r>
              <w:rPr>
                <w:bCs/>
                <w:color w:val="000000"/>
                <w:szCs w:val="21"/>
              </w:rPr>
              <w:t>1457.08</w:t>
            </w:r>
          </w:p>
        </w:tc>
        <w:tc>
          <w:tcPr>
            <w:tcW w:w="1399" w:type="dxa"/>
            <w:tcBorders>
              <w:top w:val="single" w:color="auto" w:sz="6" w:space="0"/>
              <w:bottom w:val="single" w:color="auto" w:sz="4" w:space="0"/>
            </w:tcBorders>
            <w:vAlign w:val="center"/>
          </w:tcPr>
          <w:p>
            <w:pPr>
              <w:jc w:val="center"/>
              <w:rPr>
                <w:bCs/>
                <w:color w:val="000000"/>
                <w:szCs w:val="21"/>
              </w:rPr>
            </w:pPr>
            <w:r>
              <w:rPr>
                <w:bCs/>
                <w:color w:val="000000"/>
                <w:szCs w:val="21"/>
              </w:rPr>
              <w:t>3.99</w:t>
            </w:r>
          </w:p>
        </w:tc>
        <w:tc>
          <w:tcPr>
            <w:tcW w:w="1126" w:type="dxa"/>
            <w:tcBorders>
              <w:top w:val="single" w:color="auto" w:sz="6" w:space="0"/>
              <w:bottom w:val="single" w:color="auto" w:sz="4" w:space="0"/>
              <w:right w:val="single" w:color="auto" w:sz="4" w:space="0"/>
            </w:tcBorders>
            <w:vAlign w:val="center"/>
          </w:tcPr>
          <w:p>
            <w:pPr>
              <w:jc w:val="center"/>
              <w:rPr>
                <w:bCs/>
                <w:color w:val="000000"/>
                <w:szCs w:val="21"/>
              </w:rPr>
            </w:pPr>
            <w:r>
              <w:rPr>
                <w:bCs/>
                <w:color w:val="000000"/>
                <w:szCs w:val="21"/>
              </w:rPr>
              <w:t>1457.08</w:t>
            </w:r>
          </w:p>
        </w:tc>
      </w:tr>
    </w:tbl>
    <w:p>
      <w:pPr>
        <w:pStyle w:val="17"/>
        <w:spacing w:after="0" w:line="520" w:lineRule="exact"/>
        <w:ind w:left="0" w:leftChars="0" w:firstLine="480" w:firstLineChars="200"/>
        <w:rPr>
          <w:sz w:val="24"/>
        </w:rPr>
      </w:pPr>
      <w:r>
        <w:rPr>
          <w:sz w:val="24"/>
        </w:rPr>
        <w:t>经分离后的猪粪通过接种有机肥半成品通过发酵生成有机肥基肥。有机肥基肥产生量按原料总量的50%计，项目发酵后的固体有机肥基肥，经过腐熟度检测、质量检测、安全检测后在通过自然风干、晾晒等方法把含水量降至30%以下定期外售，有机肥基肥产生量为</w:t>
      </w:r>
      <w:r>
        <w:rPr>
          <w:rFonts w:hint="eastAsia"/>
          <w:sz w:val="24"/>
        </w:rPr>
        <w:t>625.71</w:t>
      </w:r>
      <w:r>
        <w:rPr>
          <w:sz w:val="24"/>
        </w:rPr>
        <w:t>t/a。</w:t>
      </w:r>
    </w:p>
    <w:p>
      <w:pPr>
        <w:pStyle w:val="17"/>
        <w:spacing w:after="0" w:line="520" w:lineRule="exact"/>
        <w:ind w:left="0" w:leftChars="0" w:firstLine="480" w:firstLineChars="200"/>
        <w:rPr>
          <w:bCs/>
          <w:sz w:val="24"/>
        </w:rPr>
      </w:pPr>
      <w:r>
        <w:rPr>
          <w:bCs/>
          <w:sz w:val="24"/>
        </w:rPr>
        <w:t>（2）沼渣</w:t>
      </w:r>
    </w:p>
    <w:p>
      <w:pPr>
        <w:pStyle w:val="17"/>
        <w:spacing w:line="520" w:lineRule="exact"/>
        <w:ind w:left="0" w:leftChars="0" w:firstLine="480" w:firstLineChars="200"/>
        <w:rPr>
          <w:sz w:val="24"/>
        </w:rPr>
      </w:pPr>
      <w:r>
        <w:rPr>
          <w:sz w:val="24"/>
        </w:rPr>
        <w:t xml:space="preserve">项目进入盖泻湖沼气池猪粪干重为1457.08 </w:t>
      </w:r>
      <w:r>
        <w:rPr>
          <w:bCs/>
          <w:sz w:val="24"/>
        </w:rPr>
        <w:t>t/a</w:t>
      </w:r>
      <w:r>
        <w:rPr>
          <w:sz w:val="24"/>
        </w:rPr>
        <w:t>，粪便中的有机物质在厌氧反应阶段被降解50%，20%进入沼液，30%转化为沼渣，厌氧反应处理后沼渣实际含水率为85%，故沼渣产生量（总重）为1489.2t/a。沼渣收集后送至</w:t>
      </w:r>
      <w:r>
        <w:rPr>
          <w:rFonts w:hint="eastAsia"/>
          <w:sz w:val="24"/>
          <w:lang w:eastAsia="zh-CN"/>
        </w:rPr>
        <w:t>收集池，经固液分离后在</w:t>
      </w:r>
      <w:r>
        <w:rPr>
          <w:sz w:val="24"/>
        </w:rPr>
        <w:t>固粪处理区</w:t>
      </w:r>
      <w:r>
        <w:rPr>
          <w:rFonts w:hint="eastAsia"/>
          <w:sz w:val="24"/>
          <w:lang w:eastAsia="zh-CN"/>
        </w:rPr>
        <w:t>制取有机肥基肥</w:t>
      </w:r>
      <w:r>
        <w:rPr>
          <w:sz w:val="24"/>
        </w:rPr>
        <w:t>，作为有机肥基肥外售，有机肥基肥产生量为</w:t>
      </w:r>
      <w:r>
        <w:rPr>
          <w:rFonts w:hint="eastAsia"/>
          <w:sz w:val="24"/>
        </w:rPr>
        <w:t>1095</w:t>
      </w:r>
      <w:r>
        <w:rPr>
          <w:sz w:val="24"/>
        </w:rPr>
        <w:t>t/a。</w:t>
      </w:r>
    </w:p>
    <w:p>
      <w:pPr>
        <w:spacing w:line="500" w:lineRule="exact"/>
        <w:ind w:firstLine="480" w:firstLineChars="200"/>
        <w:rPr>
          <w:sz w:val="24"/>
        </w:rPr>
      </w:pPr>
      <w:r>
        <w:rPr>
          <w:sz w:val="24"/>
        </w:rPr>
        <w:t>项目猪粪、沼渣平衡见图2.3-4。</w:t>
      </w:r>
    </w:p>
    <w:p>
      <w:pPr>
        <w:pStyle w:val="2"/>
        <w:ind w:firstLine="480"/>
        <w:rPr>
          <w:sz w:val="24"/>
        </w:rPr>
      </w:pPr>
    </w:p>
    <w:p>
      <w:pPr>
        <w:pStyle w:val="2"/>
        <w:ind w:firstLine="480"/>
        <w:rPr>
          <w:sz w:val="24"/>
        </w:rPr>
      </w:pPr>
    </w:p>
    <w:p>
      <w:pPr>
        <w:pStyle w:val="2"/>
        <w:ind w:firstLine="482"/>
        <w:rPr>
          <w:sz w:val="24"/>
        </w:rPr>
      </w:pPr>
      <w:r>
        <w:rPr>
          <w:rFonts w:hint="eastAsia"/>
          <w:b/>
          <w:sz w:val="24"/>
        </w:rPr>
        <w:drawing>
          <wp:anchor distT="0" distB="0" distL="114300" distR="114300" simplePos="0" relativeHeight="251765760" behindDoc="0" locked="0" layoutInCell="1" allowOverlap="1">
            <wp:simplePos x="0" y="0"/>
            <wp:positionH relativeFrom="column">
              <wp:posOffset>-9525</wp:posOffset>
            </wp:positionH>
            <wp:positionV relativeFrom="paragraph">
              <wp:posOffset>81280</wp:posOffset>
            </wp:positionV>
            <wp:extent cx="5257800" cy="1362075"/>
            <wp:effectExtent l="0" t="0" r="0" b="9525"/>
            <wp:wrapSquare wrapText="bothSides"/>
            <wp:docPr id="34" name="图片 34" descr="ca2eb0ffc2eefa69b4ad1f5a4c61f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a2eb0ffc2eefa69b4ad1f5a4c61f7e"/>
                    <pic:cNvPicPr>
                      <a:picLocks noChangeAspect="1"/>
                    </pic:cNvPicPr>
                  </pic:nvPicPr>
                  <pic:blipFill>
                    <a:blip r:embed="rId26"/>
                    <a:stretch>
                      <a:fillRect/>
                    </a:stretch>
                  </pic:blipFill>
                  <pic:spPr>
                    <a:xfrm>
                      <a:off x="0" y="0"/>
                      <a:ext cx="5257800" cy="1362075"/>
                    </a:xfrm>
                    <a:prstGeom prst="rect">
                      <a:avLst/>
                    </a:prstGeom>
                  </pic:spPr>
                </pic:pic>
              </a:graphicData>
            </a:graphic>
          </wp:anchor>
        </w:drawing>
      </w:r>
    </w:p>
    <w:p>
      <w:pPr>
        <w:pStyle w:val="17"/>
        <w:spacing w:line="520" w:lineRule="exact"/>
        <w:ind w:left="0" w:leftChars="0" w:firstLine="2168" w:firstLineChars="900"/>
        <w:rPr>
          <w:b/>
          <w:bCs/>
          <w:color w:val="000000"/>
          <w:sz w:val="24"/>
        </w:rPr>
      </w:pPr>
      <w:r>
        <w:rPr>
          <w:b/>
          <w:sz w:val="24"/>
        </w:rPr>
        <w:t>图</w:t>
      </w:r>
      <w:r>
        <w:rPr>
          <w:b/>
          <w:bCs/>
          <w:color w:val="000000"/>
          <w:sz w:val="24"/>
        </w:rPr>
        <w:t xml:space="preserve">2.3-4 </w:t>
      </w:r>
      <w:r>
        <w:rPr>
          <w:b/>
          <w:sz w:val="24"/>
        </w:rPr>
        <w:t xml:space="preserve">  项目猪粪、沼渣平衡图单位：t/d</w:t>
      </w:r>
    </w:p>
    <w:p>
      <w:pPr>
        <w:spacing w:line="520" w:lineRule="exact"/>
        <w:ind w:firstLine="480" w:firstLineChars="200"/>
        <w:rPr>
          <w:bCs/>
          <w:color w:val="000000"/>
          <w:sz w:val="24"/>
        </w:rPr>
      </w:pPr>
      <w:r>
        <w:rPr>
          <w:bCs/>
          <w:color w:val="000000"/>
          <w:sz w:val="24"/>
        </w:rPr>
        <w:t>（二）病死猪</w:t>
      </w:r>
    </w:p>
    <w:p>
      <w:pPr>
        <w:spacing w:line="520" w:lineRule="exact"/>
        <w:ind w:firstLine="480" w:firstLineChars="200"/>
        <w:jc w:val="left"/>
        <w:rPr>
          <w:b/>
          <w:sz w:val="24"/>
        </w:rPr>
      </w:pPr>
      <w:r>
        <w:rPr>
          <w:bCs/>
          <w:color w:val="000000"/>
          <w:sz w:val="24"/>
        </w:rPr>
        <w:t>由于养殖场采用科学化管理与养殖，病死猪产生量很小。死猪主要来源为病死猪，根据目前规模化养殖场的管理水平，出现病死猪的几率和数量较低。</w:t>
      </w:r>
      <w:r>
        <w:rPr>
          <w:bCs/>
          <w:sz w:val="24"/>
        </w:rPr>
        <w:t>类比现有规模化养殖场生产情况，评价按表2.3-13中死亡率及重量计。</w:t>
      </w:r>
    </w:p>
    <w:p>
      <w:pPr>
        <w:spacing w:line="520" w:lineRule="exact"/>
        <w:ind w:firstLine="482" w:firstLineChars="200"/>
        <w:jc w:val="center"/>
        <w:rPr>
          <w:b/>
          <w:sz w:val="24"/>
          <w:u w:val="single"/>
        </w:rPr>
      </w:pPr>
      <w:r>
        <w:rPr>
          <w:b/>
          <w:sz w:val="24"/>
        </w:rPr>
        <w:t>表2.3-13   各种类猪死亡率及平均重量一览表</w:t>
      </w:r>
    </w:p>
    <w:tbl>
      <w:tblPr>
        <w:tblStyle w:val="44"/>
        <w:tblW w:w="894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1560"/>
        <w:gridCol w:w="1559"/>
        <w:gridCol w:w="1417"/>
        <w:gridCol w:w="1418"/>
        <w:gridCol w:w="11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09" w:type="dxa"/>
            <w:tcBorders>
              <w:right w:val="single" w:color="auto" w:sz="4" w:space="0"/>
            </w:tcBorders>
            <w:vAlign w:val="center"/>
          </w:tcPr>
          <w:p>
            <w:pPr>
              <w:jc w:val="center"/>
              <w:rPr>
                <w:b/>
                <w:szCs w:val="21"/>
              </w:rPr>
            </w:pPr>
            <w:r>
              <w:rPr>
                <w:b/>
                <w:szCs w:val="21"/>
              </w:rPr>
              <w:t>种类</w:t>
            </w:r>
          </w:p>
        </w:tc>
        <w:tc>
          <w:tcPr>
            <w:tcW w:w="1560" w:type="dxa"/>
            <w:vAlign w:val="center"/>
          </w:tcPr>
          <w:p>
            <w:pPr>
              <w:jc w:val="center"/>
              <w:rPr>
                <w:b/>
                <w:szCs w:val="21"/>
              </w:rPr>
            </w:pPr>
            <w:r>
              <w:rPr>
                <w:b/>
                <w:szCs w:val="21"/>
              </w:rPr>
              <w:t>数量（头）</w:t>
            </w:r>
          </w:p>
        </w:tc>
        <w:tc>
          <w:tcPr>
            <w:tcW w:w="1559" w:type="dxa"/>
            <w:vAlign w:val="center"/>
          </w:tcPr>
          <w:p>
            <w:pPr>
              <w:jc w:val="center"/>
              <w:rPr>
                <w:b/>
                <w:szCs w:val="21"/>
              </w:rPr>
            </w:pPr>
            <w:r>
              <w:rPr>
                <w:b/>
                <w:szCs w:val="21"/>
              </w:rPr>
              <w:t>平均死亡率（</w:t>
            </w:r>
            <w:r>
              <w:rPr>
                <w:szCs w:val="21"/>
              </w:rPr>
              <w:t>%）</w:t>
            </w:r>
          </w:p>
        </w:tc>
        <w:tc>
          <w:tcPr>
            <w:tcW w:w="1417" w:type="dxa"/>
            <w:tcBorders>
              <w:right w:val="single" w:color="auto" w:sz="4" w:space="0"/>
            </w:tcBorders>
            <w:vAlign w:val="center"/>
          </w:tcPr>
          <w:p>
            <w:pPr>
              <w:jc w:val="center"/>
              <w:rPr>
                <w:b/>
                <w:szCs w:val="21"/>
              </w:rPr>
            </w:pPr>
            <w:r>
              <w:rPr>
                <w:b/>
                <w:szCs w:val="21"/>
              </w:rPr>
              <w:t>平均重量（</w:t>
            </w:r>
            <w:r>
              <w:rPr>
                <w:szCs w:val="21"/>
              </w:rPr>
              <w:t>kg/头）</w:t>
            </w:r>
          </w:p>
        </w:tc>
        <w:tc>
          <w:tcPr>
            <w:tcW w:w="1418" w:type="dxa"/>
            <w:tcBorders>
              <w:left w:val="single" w:color="auto" w:sz="4" w:space="0"/>
              <w:right w:val="single" w:color="auto" w:sz="4" w:space="0"/>
            </w:tcBorders>
            <w:vAlign w:val="center"/>
          </w:tcPr>
          <w:p>
            <w:pPr>
              <w:jc w:val="center"/>
              <w:rPr>
                <w:b/>
                <w:szCs w:val="21"/>
              </w:rPr>
            </w:pPr>
            <w:r>
              <w:rPr>
                <w:b/>
                <w:szCs w:val="21"/>
              </w:rPr>
              <w:t>病死猪产生量</w:t>
            </w:r>
          </w:p>
          <w:p>
            <w:pPr>
              <w:jc w:val="center"/>
              <w:rPr>
                <w:b/>
                <w:szCs w:val="21"/>
              </w:rPr>
            </w:pPr>
            <w:r>
              <w:rPr>
                <w:b/>
                <w:szCs w:val="21"/>
              </w:rPr>
              <w:t>（头）</w:t>
            </w:r>
          </w:p>
        </w:tc>
        <w:tc>
          <w:tcPr>
            <w:tcW w:w="1185" w:type="dxa"/>
            <w:tcBorders>
              <w:left w:val="single" w:color="auto" w:sz="4" w:space="0"/>
            </w:tcBorders>
            <w:vAlign w:val="center"/>
          </w:tcPr>
          <w:p>
            <w:pPr>
              <w:jc w:val="center"/>
              <w:rPr>
                <w:b/>
                <w:szCs w:val="21"/>
              </w:rPr>
            </w:pPr>
            <w:r>
              <w:rPr>
                <w:b/>
                <w:szCs w:val="21"/>
              </w:rPr>
              <w:t>病死猪产生重量</w:t>
            </w:r>
          </w:p>
          <w:p>
            <w:pPr>
              <w:jc w:val="center"/>
              <w:rPr>
                <w:b/>
                <w:szCs w:val="21"/>
              </w:rPr>
            </w:pPr>
            <w:r>
              <w:rPr>
                <w:bCs/>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09" w:type="dxa"/>
            <w:tcBorders>
              <w:right w:val="single" w:color="auto" w:sz="4" w:space="0"/>
            </w:tcBorders>
            <w:vAlign w:val="center"/>
          </w:tcPr>
          <w:p>
            <w:pPr>
              <w:jc w:val="center"/>
              <w:rPr>
                <w:szCs w:val="21"/>
              </w:rPr>
            </w:pPr>
            <w:r>
              <w:rPr>
                <w:szCs w:val="21"/>
              </w:rPr>
              <w:t>保育猪</w:t>
            </w:r>
          </w:p>
        </w:tc>
        <w:tc>
          <w:tcPr>
            <w:tcW w:w="1560" w:type="dxa"/>
            <w:vAlign w:val="bottom"/>
          </w:tcPr>
          <w:p>
            <w:pPr>
              <w:jc w:val="center"/>
              <w:rPr>
                <w:szCs w:val="21"/>
              </w:rPr>
            </w:pPr>
            <w:r>
              <w:rPr>
                <w:szCs w:val="21"/>
              </w:rPr>
              <w:t>16667</w:t>
            </w:r>
          </w:p>
        </w:tc>
        <w:tc>
          <w:tcPr>
            <w:tcW w:w="1559" w:type="dxa"/>
            <w:vAlign w:val="bottom"/>
          </w:tcPr>
          <w:p>
            <w:pPr>
              <w:jc w:val="center"/>
              <w:rPr>
                <w:szCs w:val="21"/>
              </w:rPr>
            </w:pPr>
            <w:r>
              <w:rPr>
                <w:szCs w:val="21"/>
              </w:rPr>
              <w:t>2</w:t>
            </w:r>
          </w:p>
        </w:tc>
        <w:tc>
          <w:tcPr>
            <w:tcW w:w="1417" w:type="dxa"/>
            <w:tcBorders>
              <w:right w:val="single" w:color="auto" w:sz="4" w:space="0"/>
            </w:tcBorders>
            <w:vAlign w:val="bottom"/>
          </w:tcPr>
          <w:p>
            <w:pPr>
              <w:jc w:val="center"/>
              <w:rPr>
                <w:szCs w:val="21"/>
              </w:rPr>
            </w:pPr>
            <w:r>
              <w:rPr>
                <w:szCs w:val="21"/>
              </w:rPr>
              <w:t>10</w:t>
            </w:r>
          </w:p>
        </w:tc>
        <w:tc>
          <w:tcPr>
            <w:tcW w:w="1418" w:type="dxa"/>
            <w:tcBorders>
              <w:left w:val="single" w:color="auto" w:sz="4" w:space="0"/>
              <w:right w:val="single" w:color="auto" w:sz="4" w:space="0"/>
            </w:tcBorders>
            <w:vAlign w:val="bottom"/>
          </w:tcPr>
          <w:p>
            <w:pPr>
              <w:jc w:val="center"/>
              <w:rPr>
                <w:szCs w:val="21"/>
              </w:rPr>
            </w:pPr>
            <w:r>
              <w:rPr>
                <w:szCs w:val="21"/>
              </w:rPr>
              <w:t>333</w:t>
            </w:r>
          </w:p>
        </w:tc>
        <w:tc>
          <w:tcPr>
            <w:tcW w:w="1185" w:type="dxa"/>
            <w:tcBorders>
              <w:left w:val="single" w:color="auto" w:sz="4" w:space="0"/>
            </w:tcBorders>
            <w:vAlign w:val="bottom"/>
          </w:tcPr>
          <w:p>
            <w:pPr>
              <w:jc w:val="center"/>
              <w:rPr>
                <w:szCs w:val="21"/>
              </w:rPr>
            </w:pPr>
            <w:r>
              <w:rPr>
                <w:szCs w:val="21"/>
              </w:rPr>
              <w:t xml:space="preserve">3.33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09" w:type="dxa"/>
            <w:tcBorders>
              <w:right w:val="single" w:color="auto" w:sz="4" w:space="0"/>
            </w:tcBorders>
            <w:vAlign w:val="center"/>
          </w:tcPr>
          <w:p>
            <w:pPr>
              <w:jc w:val="center"/>
              <w:rPr>
                <w:szCs w:val="21"/>
              </w:rPr>
            </w:pPr>
            <w:r>
              <w:rPr>
                <w:szCs w:val="21"/>
              </w:rPr>
              <w:t>育肥猪</w:t>
            </w:r>
          </w:p>
        </w:tc>
        <w:tc>
          <w:tcPr>
            <w:tcW w:w="1560" w:type="dxa"/>
            <w:vAlign w:val="bottom"/>
          </w:tcPr>
          <w:p>
            <w:pPr>
              <w:jc w:val="center"/>
              <w:rPr>
                <w:szCs w:val="21"/>
              </w:rPr>
            </w:pPr>
            <w:r>
              <w:rPr>
                <w:szCs w:val="21"/>
              </w:rPr>
              <w:t>33333</w:t>
            </w:r>
          </w:p>
        </w:tc>
        <w:tc>
          <w:tcPr>
            <w:tcW w:w="1559" w:type="dxa"/>
            <w:vAlign w:val="bottom"/>
          </w:tcPr>
          <w:p>
            <w:pPr>
              <w:jc w:val="center"/>
              <w:rPr>
                <w:szCs w:val="21"/>
              </w:rPr>
            </w:pPr>
            <w:r>
              <w:rPr>
                <w:szCs w:val="21"/>
              </w:rPr>
              <w:t>1</w:t>
            </w:r>
          </w:p>
        </w:tc>
        <w:tc>
          <w:tcPr>
            <w:tcW w:w="1417" w:type="dxa"/>
            <w:tcBorders>
              <w:right w:val="single" w:color="auto" w:sz="4" w:space="0"/>
            </w:tcBorders>
            <w:vAlign w:val="bottom"/>
          </w:tcPr>
          <w:p>
            <w:pPr>
              <w:jc w:val="center"/>
              <w:rPr>
                <w:szCs w:val="21"/>
              </w:rPr>
            </w:pPr>
            <w:r>
              <w:rPr>
                <w:szCs w:val="21"/>
              </w:rPr>
              <w:t>40</w:t>
            </w:r>
          </w:p>
        </w:tc>
        <w:tc>
          <w:tcPr>
            <w:tcW w:w="1418" w:type="dxa"/>
            <w:tcBorders>
              <w:left w:val="single" w:color="auto" w:sz="4" w:space="0"/>
              <w:right w:val="single" w:color="auto" w:sz="4" w:space="0"/>
            </w:tcBorders>
            <w:vAlign w:val="bottom"/>
          </w:tcPr>
          <w:p>
            <w:pPr>
              <w:jc w:val="center"/>
              <w:rPr>
                <w:szCs w:val="21"/>
              </w:rPr>
            </w:pPr>
            <w:r>
              <w:rPr>
                <w:szCs w:val="21"/>
              </w:rPr>
              <w:t>333</w:t>
            </w:r>
          </w:p>
        </w:tc>
        <w:tc>
          <w:tcPr>
            <w:tcW w:w="1185" w:type="dxa"/>
            <w:tcBorders>
              <w:left w:val="single" w:color="auto" w:sz="4" w:space="0"/>
            </w:tcBorders>
            <w:vAlign w:val="bottom"/>
          </w:tcPr>
          <w:p>
            <w:pPr>
              <w:jc w:val="center"/>
              <w:rPr>
                <w:szCs w:val="21"/>
              </w:rPr>
            </w:pPr>
            <w:r>
              <w:rPr>
                <w:szCs w:val="21"/>
              </w:rPr>
              <w:t xml:space="preserve">13.33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09" w:type="dxa"/>
            <w:tcBorders>
              <w:right w:val="single" w:color="auto" w:sz="4" w:space="0"/>
            </w:tcBorders>
            <w:vAlign w:val="center"/>
          </w:tcPr>
          <w:p>
            <w:pPr>
              <w:jc w:val="center"/>
              <w:rPr>
                <w:szCs w:val="21"/>
              </w:rPr>
            </w:pPr>
            <w:r>
              <w:rPr>
                <w:szCs w:val="21"/>
              </w:rPr>
              <w:t>总计</w:t>
            </w:r>
          </w:p>
        </w:tc>
        <w:tc>
          <w:tcPr>
            <w:tcW w:w="1560" w:type="dxa"/>
            <w:vAlign w:val="bottom"/>
          </w:tcPr>
          <w:p>
            <w:pPr>
              <w:jc w:val="center"/>
              <w:rPr>
                <w:szCs w:val="21"/>
              </w:rPr>
            </w:pPr>
            <w:r>
              <w:rPr>
                <w:szCs w:val="21"/>
              </w:rPr>
              <w:t>/</w:t>
            </w:r>
          </w:p>
        </w:tc>
        <w:tc>
          <w:tcPr>
            <w:tcW w:w="1559" w:type="dxa"/>
            <w:vAlign w:val="bottom"/>
          </w:tcPr>
          <w:p>
            <w:pPr>
              <w:jc w:val="center"/>
              <w:rPr>
                <w:szCs w:val="21"/>
              </w:rPr>
            </w:pPr>
            <w:r>
              <w:rPr>
                <w:szCs w:val="21"/>
              </w:rPr>
              <w:t>/</w:t>
            </w:r>
          </w:p>
        </w:tc>
        <w:tc>
          <w:tcPr>
            <w:tcW w:w="1417" w:type="dxa"/>
            <w:tcBorders>
              <w:right w:val="single" w:color="auto" w:sz="4" w:space="0"/>
            </w:tcBorders>
            <w:vAlign w:val="bottom"/>
          </w:tcPr>
          <w:p>
            <w:pPr>
              <w:jc w:val="center"/>
              <w:rPr>
                <w:szCs w:val="21"/>
              </w:rPr>
            </w:pPr>
            <w:r>
              <w:rPr>
                <w:szCs w:val="21"/>
              </w:rPr>
              <w:t>/</w:t>
            </w:r>
          </w:p>
        </w:tc>
        <w:tc>
          <w:tcPr>
            <w:tcW w:w="1418" w:type="dxa"/>
            <w:tcBorders>
              <w:left w:val="single" w:color="auto" w:sz="4" w:space="0"/>
              <w:right w:val="single" w:color="auto" w:sz="4" w:space="0"/>
            </w:tcBorders>
            <w:vAlign w:val="bottom"/>
          </w:tcPr>
          <w:p>
            <w:pPr>
              <w:jc w:val="center"/>
              <w:rPr>
                <w:szCs w:val="21"/>
              </w:rPr>
            </w:pPr>
            <w:r>
              <w:rPr>
                <w:rFonts w:hint="eastAsia"/>
                <w:szCs w:val="21"/>
              </w:rPr>
              <w:t>666</w:t>
            </w:r>
          </w:p>
        </w:tc>
        <w:tc>
          <w:tcPr>
            <w:tcW w:w="1185" w:type="dxa"/>
            <w:tcBorders>
              <w:left w:val="single" w:color="auto" w:sz="4" w:space="0"/>
            </w:tcBorders>
            <w:vAlign w:val="bottom"/>
          </w:tcPr>
          <w:p>
            <w:pPr>
              <w:jc w:val="center"/>
              <w:rPr>
                <w:szCs w:val="21"/>
              </w:rPr>
            </w:pPr>
            <w:r>
              <w:rPr>
                <w:rFonts w:hint="eastAsia"/>
                <w:szCs w:val="21"/>
              </w:rPr>
              <w:t>16.67</w:t>
            </w:r>
          </w:p>
        </w:tc>
      </w:tr>
    </w:tbl>
    <w:p>
      <w:pPr>
        <w:spacing w:line="520" w:lineRule="exact"/>
        <w:ind w:firstLine="480" w:firstLineChars="200"/>
        <w:jc w:val="left"/>
        <w:rPr>
          <w:bCs/>
          <w:sz w:val="24"/>
        </w:rPr>
      </w:pPr>
      <w:r>
        <w:rPr>
          <w:bCs/>
          <w:sz w:val="24"/>
        </w:rPr>
        <w:t>经计算项目产生病死猪尸体</w:t>
      </w:r>
      <w:r>
        <w:rPr>
          <w:rFonts w:hint="eastAsia"/>
          <w:bCs/>
          <w:sz w:val="24"/>
        </w:rPr>
        <w:t>16.67</w:t>
      </w:r>
      <w:r>
        <w:rPr>
          <w:bCs/>
          <w:sz w:val="24"/>
        </w:rPr>
        <w:t>t/a，运送到场区内自建无害化处理中心处理。</w:t>
      </w:r>
    </w:p>
    <w:p>
      <w:pPr>
        <w:spacing w:line="480" w:lineRule="exact"/>
        <w:ind w:firstLine="480" w:firstLineChars="200"/>
        <w:rPr>
          <w:bCs/>
          <w:sz w:val="24"/>
        </w:rPr>
      </w:pPr>
      <w:r>
        <w:rPr>
          <w:bCs/>
          <w:sz w:val="24"/>
        </w:rPr>
        <w:t>(三) 疾病防疫产生的医疗废物</w:t>
      </w:r>
    </w:p>
    <w:p>
      <w:pPr>
        <w:spacing w:line="520" w:lineRule="exact"/>
        <w:ind w:firstLine="480" w:firstLineChars="200"/>
        <w:rPr>
          <w:bCs/>
          <w:snapToGrid w:val="0"/>
          <w:sz w:val="24"/>
        </w:rPr>
      </w:pPr>
      <w:r>
        <w:rPr>
          <w:bCs/>
          <w:snapToGrid w:val="0"/>
          <w:sz w:val="24"/>
        </w:rPr>
        <w:t>生猪在生长过程接种免疫或发病期接受治疗产生的少量医疗废物，每头猪防疫产生医疗废物量约为0.005kg/a，全场产生量约为0.625t/a，</w:t>
      </w:r>
      <w:r>
        <w:rPr>
          <w:snapToGrid w:val="0"/>
          <w:sz w:val="24"/>
        </w:rPr>
        <w:t>评价要求</w:t>
      </w:r>
      <w:r>
        <w:rPr>
          <w:bCs/>
          <w:snapToGrid w:val="0"/>
          <w:sz w:val="24"/>
        </w:rPr>
        <w:t>场区内建设具备“三防”措施的暂存场所，并设置危险废物识别标志，医疗废物在厂区内暂存后，定期交</w:t>
      </w:r>
      <w:r>
        <w:rPr>
          <w:snapToGrid w:val="0"/>
          <w:sz w:val="24"/>
        </w:rPr>
        <w:t>由</w:t>
      </w:r>
      <w:r>
        <w:rPr>
          <w:bCs/>
          <w:snapToGrid w:val="0"/>
          <w:sz w:val="24"/>
        </w:rPr>
        <w:t>交由</w:t>
      </w:r>
      <w:r>
        <w:rPr>
          <w:bCs/>
          <w:color w:val="000000"/>
          <w:sz w:val="24"/>
        </w:rPr>
        <w:t>新蔡县中绿环保科技有限公司处置</w:t>
      </w:r>
      <w:r>
        <w:rPr>
          <w:bCs/>
          <w:snapToGrid w:val="0"/>
          <w:sz w:val="24"/>
        </w:rPr>
        <w:t>。</w:t>
      </w:r>
    </w:p>
    <w:p>
      <w:pPr>
        <w:spacing w:line="480" w:lineRule="exact"/>
        <w:ind w:firstLine="480" w:firstLineChars="200"/>
        <w:rPr>
          <w:sz w:val="24"/>
        </w:rPr>
      </w:pPr>
      <w:r>
        <w:rPr>
          <w:sz w:val="24"/>
        </w:rPr>
        <w:t>(四)废脱硫剂</w:t>
      </w:r>
    </w:p>
    <w:p>
      <w:pPr>
        <w:spacing w:line="520" w:lineRule="exact"/>
        <w:ind w:firstLine="480" w:firstLineChars="200"/>
        <w:rPr>
          <w:bCs/>
          <w:sz w:val="24"/>
        </w:rPr>
      </w:pPr>
      <w:r>
        <w:rPr>
          <w:bCs/>
          <w:sz w:val="24"/>
        </w:rPr>
        <w:t>沼气脱硫装置中失去活性的废脱硫剂由生产厂家统一回收处置，年产生量约为0.5t。</w:t>
      </w:r>
    </w:p>
    <w:p>
      <w:pPr>
        <w:spacing w:line="480" w:lineRule="exact"/>
        <w:ind w:firstLine="480" w:firstLineChars="200"/>
        <w:rPr>
          <w:bCs/>
          <w:sz w:val="24"/>
        </w:rPr>
      </w:pPr>
      <w:r>
        <w:rPr>
          <w:bCs/>
          <w:sz w:val="24"/>
        </w:rPr>
        <w:t>(六)生活垃圾</w:t>
      </w:r>
    </w:p>
    <w:p>
      <w:pPr>
        <w:spacing w:line="520" w:lineRule="exact"/>
        <w:ind w:firstLine="480" w:firstLineChars="200"/>
        <w:rPr>
          <w:bCs/>
          <w:sz w:val="24"/>
        </w:rPr>
      </w:pPr>
      <w:r>
        <w:rPr>
          <w:bCs/>
          <w:sz w:val="24"/>
        </w:rPr>
        <w:t>生活垃圾产生系数按1.25kg/d人计，本项目建成后拟聘职工</w:t>
      </w:r>
      <w:r>
        <w:rPr>
          <w:rFonts w:hint="eastAsia"/>
          <w:bCs/>
          <w:sz w:val="24"/>
        </w:rPr>
        <w:t>49</w:t>
      </w:r>
      <w:r>
        <w:rPr>
          <w:bCs/>
          <w:sz w:val="24"/>
        </w:rPr>
        <w:t>人，则场区职工生活垃圾产生量为</w:t>
      </w:r>
      <w:r>
        <w:rPr>
          <w:rFonts w:hint="eastAsia"/>
          <w:bCs/>
          <w:sz w:val="24"/>
        </w:rPr>
        <w:t>61.25</w:t>
      </w:r>
      <w:r>
        <w:rPr>
          <w:bCs/>
          <w:sz w:val="24"/>
        </w:rPr>
        <w:t>kg/d、</w:t>
      </w:r>
      <w:r>
        <w:rPr>
          <w:rFonts w:hint="eastAsia"/>
          <w:bCs/>
          <w:sz w:val="24"/>
        </w:rPr>
        <w:t>22.36</w:t>
      </w:r>
      <w:r>
        <w:rPr>
          <w:bCs/>
          <w:sz w:val="24"/>
        </w:rPr>
        <w:t>t/a。生活垃圾由环卫部门定期收集后运往当地生活垃圾填埋场处置。</w:t>
      </w:r>
    </w:p>
    <w:p>
      <w:pPr>
        <w:spacing w:line="480" w:lineRule="exact"/>
        <w:ind w:firstLine="480" w:firstLineChars="200"/>
        <w:rPr>
          <w:bCs/>
          <w:sz w:val="24"/>
        </w:rPr>
      </w:pPr>
      <w:r>
        <w:rPr>
          <w:bCs/>
          <w:sz w:val="24"/>
        </w:rPr>
        <w:t>项目固体废物产排情况及处置措施见表2.3-14。</w:t>
      </w:r>
    </w:p>
    <w:p>
      <w:pPr>
        <w:spacing w:afterLines="30" w:line="500" w:lineRule="exact"/>
        <w:jc w:val="center"/>
        <w:rPr>
          <w:b/>
          <w:sz w:val="24"/>
        </w:rPr>
      </w:pPr>
      <w:r>
        <w:rPr>
          <w:b/>
          <w:sz w:val="24"/>
        </w:rPr>
        <w:t>表2.3-14     固体废物产排情况及处置措施一览表</w:t>
      </w:r>
    </w:p>
    <w:tbl>
      <w:tblPr>
        <w:tblStyle w:val="44"/>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566"/>
        <w:gridCol w:w="1276"/>
        <w:gridCol w:w="1274"/>
        <w:gridCol w:w="993"/>
        <w:gridCol w:w="2614"/>
        <w:gridCol w:w="6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27" w:type="dxa"/>
            <w:tcMar>
              <w:top w:w="0" w:type="dxa"/>
              <w:left w:w="28" w:type="dxa"/>
              <w:bottom w:w="0" w:type="dxa"/>
              <w:right w:w="28" w:type="dxa"/>
            </w:tcMar>
            <w:vAlign w:val="center"/>
          </w:tcPr>
          <w:p>
            <w:pPr>
              <w:jc w:val="center"/>
              <w:rPr>
                <w:b/>
                <w:bCs/>
                <w:szCs w:val="21"/>
              </w:rPr>
            </w:pPr>
            <w:r>
              <w:rPr>
                <w:b/>
                <w:bCs/>
                <w:szCs w:val="21"/>
              </w:rPr>
              <w:t>序号</w:t>
            </w:r>
          </w:p>
        </w:tc>
        <w:tc>
          <w:tcPr>
            <w:tcW w:w="1566" w:type="dxa"/>
            <w:tcMar>
              <w:top w:w="0" w:type="dxa"/>
              <w:left w:w="28" w:type="dxa"/>
              <w:bottom w:w="0" w:type="dxa"/>
              <w:right w:w="28" w:type="dxa"/>
            </w:tcMar>
            <w:vAlign w:val="center"/>
          </w:tcPr>
          <w:p>
            <w:pPr>
              <w:jc w:val="center"/>
              <w:rPr>
                <w:b/>
                <w:bCs/>
                <w:szCs w:val="21"/>
              </w:rPr>
            </w:pPr>
            <w:r>
              <w:rPr>
                <w:b/>
                <w:bCs/>
                <w:szCs w:val="21"/>
              </w:rPr>
              <w:t>产生环节</w:t>
            </w:r>
          </w:p>
        </w:tc>
        <w:tc>
          <w:tcPr>
            <w:tcW w:w="1276" w:type="dxa"/>
            <w:tcMar>
              <w:top w:w="0" w:type="dxa"/>
              <w:left w:w="28" w:type="dxa"/>
              <w:bottom w:w="0" w:type="dxa"/>
              <w:right w:w="28" w:type="dxa"/>
            </w:tcMar>
            <w:vAlign w:val="center"/>
          </w:tcPr>
          <w:p>
            <w:pPr>
              <w:jc w:val="center"/>
              <w:rPr>
                <w:b/>
                <w:bCs/>
                <w:szCs w:val="21"/>
              </w:rPr>
            </w:pPr>
            <w:r>
              <w:rPr>
                <w:b/>
                <w:bCs/>
                <w:szCs w:val="21"/>
              </w:rPr>
              <w:t>名称</w:t>
            </w:r>
          </w:p>
        </w:tc>
        <w:tc>
          <w:tcPr>
            <w:tcW w:w="1274" w:type="dxa"/>
            <w:tcMar>
              <w:top w:w="0" w:type="dxa"/>
              <w:left w:w="28" w:type="dxa"/>
              <w:bottom w:w="0" w:type="dxa"/>
              <w:right w:w="28" w:type="dxa"/>
            </w:tcMar>
            <w:vAlign w:val="center"/>
          </w:tcPr>
          <w:p>
            <w:pPr>
              <w:jc w:val="center"/>
              <w:rPr>
                <w:b/>
                <w:bCs/>
                <w:szCs w:val="21"/>
              </w:rPr>
            </w:pPr>
            <w:r>
              <w:rPr>
                <w:b/>
                <w:bCs/>
                <w:szCs w:val="21"/>
              </w:rPr>
              <w:t>固废性质</w:t>
            </w:r>
          </w:p>
        </w:tc>
        <w:tc>
          <w:tcPr>
            <w:tcW w:w="993"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产生量（t/a）</w:t>
            </w:r>
          </w:p>
        </w:tc>
        <w:tc>
          <w:tcPr>
            <w:tcW w:w="2614"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处置措施</w:t>
            </w:r>
          </w:p>
        </w:tc>
        <w:tc>
          <w:tcPr>
            <w:tcW w:w="696"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527" w:type="dxa"/>
            <w:tcMar>
              <w:top w:w="0" w:type="dxa"/>
              <w:left w:w="28" w:type="dxa"/>
              <w:bottom w:w="0" w:type="dxa"/>
              <w:right w:w="28" w:type="dxa"/>
            </w:tcMar>
            <w:vAlign w:val="center"/>
          </w:tcPr>
          <w:p>
            <w:pPr>
              <w:jc w:val="center"/>
              <w:rPr>
                <w:bCs/>
                <w:szCs w:val="21"/>
              </w:rPr>
            </w:pPr>
            <w:r>
              <w:rPr>
                <w:bCs/>
                <w:szCs w:val="21"/>
              </w:rPr>
              <w:t>1</w:t>
            </w:r>
          </w:p>
        </w:tc>
        <w:tc>
          <w:tcPr>
            <w:tcW w:w="1566" w:type="dxa"/>
            <w:tcMar>
              <w:top w:w="0" w:type="dxa"/>
              <w:left w:w="28" w:type="dxa"/>
              <w:bottom w:w="0" w:type="dxa"/>
              <w:right w:w="28" w:type="dxa"/>
            </w:tcMar>
            <w:vAlign w:val="center"/>
          </w:tcPr>
          <w:p>
            <w:pPr>
              <w:jc w:val="center"/>
              <w:rPr>
                <w:bCs/>
                <w:szCs w:val="21"/>
              </w:rPr>
            </w:pPr>
            <w:r>
              <w:rPr>
                <w:bCs/>
                <w:szCs w:val="21"/>
              </w:rPr>
              <w:t>猪舍</w:t>
            </w:r>
          </w:p>
        </w:tc>
        <w:tc>
          <w:tcPr>
            <w:tcW w:w="1276" w:type="dxa"/>
            <w:tcMar>
              <w:top w:w="0" w:type="dxa"/>
              <w:left w:w="28" w:type="dxa"/>
              <w:bottom w:w="0" w:type="dxa"/>
              <w:right w:w="28" w:type="dxa"/>
            </w:tcMar>
            <w:vAlign w:val="center"/>
          </w:tcPr>
          <w:p>
            <w:pPr>
              <w:jc w:val="center"/>
              <w:rPr>
                <w:bCs/>
                <w:szCs w:val="21"/>
              </w:rPr>
            </w:pPr>
            <w:r>
              <w:rPr>
                <w:szCs w:val="21"/>
              </w:rPr>
              <w:t>猪粪固形物</w:t>
            </w:r>
          </w:p>
        </w:tc>
        <w:tc>
          <w:tcPr>
            <w:tcW w:w="1274" w:type="dxa"/>
            <w:tcMar>
              <w:top w:w="0" w:type="dxa"/>
              <w:left w:w="28" w:type="dxa"/>
              <w:bottom w:w="0" w:type="dxa"/>
              <w:right w:w="28" w:type="dxa"/>
            </w:tcMar>
            <w:vAlign w:val="center"/>
          </w:tcPr>
          <w:p>
            <w:pPr>
              <w:jc w:val="center"/>
              <w:rPr>
                <w:bCs/>
                <w:szCs w:val="21"/>
              </w:rPr>
            </w:pPr>
            <w:r>
              <w:rPr>
                <w:szCs w:val="21"/>
              </w:rPr>
              <w:t>一般固废</w:t>
            </w:r>
          </w:p>
        </w:tc>
        <w:tc>
          <w:tcPr>
            <w:tcW w:w="993" w:type="dxa"/>
            <w:tcMar>
              <w:top w:w="0" w:type="dxa"/>
              <w:left w:w="28" w:type="dxa"/>
              <w:bottom w:w="0" w:type="dxa"/>
              <w:right w:w="28" w:type="dxa"/>
            </w:tcMar>
            <w:vAlign w:val="center"/>
          </w:tcPr>
          <w:p>
            <w:pPr>
              <w:jc w:val="center"/>
              <w:rPr>
                <w:bCs/>
                <w:szCs w:val="21"/>
              </w:rPr>
            </w:pPr>
            <w:r>
              <w:rPr>
                <w:color w:val="000000"/>
                <w:szCs w:val="21"/>
              </w:rPr>
              <w:t>4163.09</w:t>
            </w:r>
          </w:p>
        </w:tc>
        <w:tc>
          <w:tcPr>
            <w:tcW w:w="2614" w:type="dxa"/>
            <w:tcMar>
              <w:top w:w="0" w:type="dxa"/>
              <w:left w:w="28" w:type="dxa"/>
              <w:bottom w:w="0" w:type="dxa"/>
              <w:right w:w="28" w:type="dxa"/>
            </w:tcMar>
            <w:vAlign w:val="center"/>
          </w:tcPr>
          <w:p>
            <w:pPr>
              <w:jc w:val="center"/>
              <w:rPr>
                <w:bCs/>
                <w:szCs w:val="21"/>
              </w:rPr>
            </w:pPr>
            <w:r>
              <w:rPr>
                <w:bCs/>
                <w:szCs w:val="21"/>
              </w:rPr>
              <w:t>生产有机肥基肥</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527" w:type="dxa"/>
            <w:tcMar>
              <w:top w:w="0" w:type="dxa"/>
              <w:left w:w="28" w:type="dxa"/>
              <w:bottom w:w="0" w:type="dxa"/>
              <w:right w:w="28" w:type="dxa"/>
            </w:tcMar>
            <w:vAlign w:val="center"/>
          </w:tcPr>
          <w:p>
            <w:pPr>
              <w:jc w:val="center"/>
              <w:rPr>
                <w:bCs/>
                <w:szCs w:val="21"/>
              </w:rPr>
            </w:pPr>
            <w:r>
              <w:rPr>
                <w:bCs/>
                <w:szCs w:val="21"/>
              </w:rPr>
              <w:t>2</w:t>
            </w:r>
          </w:p>
        </w:tc>
        <w:tc>
          <w:tcPr>
            <w:tcW w:w="1566" w:type="dxa"/>
            <w:tcMar>
              <w:top w:w="0" w:type="dxa"/>
              <w:left w:w="28" w:type="dxa"/>
              <w:bottom w:w="0" w:type="dxa"/>
              <w:right w:w="28" w:type="dxa"/>
            </w:tcMar>
            <w:vAlign w:val="center"/>
          </w:tcPr>
          <w:p>
            <w:pPr>
              <w:jc w:val="center"/>
              <w:rPr>
                <w:szCs w:val="21"/>
              </w:rPr>
            </w:pPr>
            <w:r>
              <w:rPr>
                <w:szCs w:val="21"/>
              </w:rPr>
              <w:t>盖泻湖沼气池</w:t>
            </w:r>
          </w:p>
        </w:tc>
        <w:tc>
          <w:tcPr>
            <w:tcW w:w="1276" w:type="dxa"/>
            <w:tcMar>
              <w:top w:w="0" w:type="dxa"/>
              <w:left w:w="28" w:type="dxa"/>
              <w:bottom w:w="0" w:type="dxa"/>
              <w:right w:w="28" w:type="dxa"/>
            </w:tcMar>
            <w:vAlign w:val="center"/>
          </w:tcPr>
          <w:p>
            <w:pPr>
              <w:jc w:val="center"/>
              <w:rPr>
                <w:szCs w:val="21"/>
              </w:rPr>
            </w:pPr>
            <w:r>
              <w:rPr>
                <w:szCs w:val="21"/>
              </w:rPr>
              <w:t>沼渣</w:t>
            </w:r>
          </w:p>
        </w:tc>
        <w:tc>
          <w:tcPr>
            <w:tcW w:w="1274" w:type="dxa"/>
            <w:tcMar>
              <w:top w:w="0" w:type="dxa"/>
              <w:left w:w="28" w:type="dxa"/>
              <w:bottom w:w="0" w:type="dxa"/>
              <w:right w:w="28" w:type="dxa"/>
            </w:tcMar>
            <w:vAlign w:val="center"/>
          </w:tcPr>
          <w:p>
            <w:pPr>
              <w:jc w:val="center"/>
              <w:rPr>
                <w:bCs/>
                <w:szCs w:val="21"/>
              </w:rPr>
            </w:pPr>
            <w:r>
              <w:rPr>
                <w:szCs w:val="21"/>
              </w:rPr>
              <w:t>一般固废</w:t>
            </w:r>
          </w:p>
        </w:tc>
        <w:tc>
          <w:tcPr>
            <w:tcW w:w="993" w:type="dxa"/>
            <w:tcMar>
              <w:top w:w="0" w:type="dxa"/>
              <w:left w:w="28" w:type="dxa"/>
              <w:bottom w:w="0" w:type="dxa"/>
              <w:right w:w="28" w:type="dxa"/>
            </w:tcMar>
            <w:vAlign w:val="center"/>
          </w:tcPr>
          <w:p>
            <w:pPr>
              <w:jc w:val="center"/>
              <w:rPr>
                <w:szCs w:val="21"/>
              </w:rPr>
            </w:pPr>
            <w:r>
              <w:rPr>
                <w:szCs w:val="21"/>
              </w:rPr>
              <w:t>1095</w:t>
            </w:r>
          </w:p>
        </w:tc>
        <w:tc>
          <w:tcPr>
            <w:tcW w:w="2614" w:type="dxa"/>
            <w:tcMar>
              <w:top w:w="0" w:type="dxa"/>
              <w:left w:w="28" w:type="dxa"/>
              <w:bottom w:w="0" w:type="dxa"/>
              <w:right w:w="28" w:type="dxa"/>
            </w:tcMar>
            <w:vAlign w:val="center"/>
          </w:tcPr>
          <w:p>
            <w:pPr>
              <w:jc w:val="center"/>
              <w:rPr>
                <w:bCs/>
                <w:szCs w:val="21"/>
              </w:rPr>
            </w:pPr>
            <w:r>
              <w:rPr>
                <w:bCs/>
                <w:szCs w:val="21"/>
              </w:rPr>
              <w:t>干化后作为基肥外售</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3</w:t>
            </w:r>
          </w:p>
        </w:tc>
        <w:tc>
          <w:tcPr>
            <w:tcW w:w="1566" w:type="dxa"/>
            <w:tcMar>
              <w:top w:w="0" w:type="dxa"/>
              <w:left w:w="28" w:type="dxa"/>
              <w:bottom w:w="0" w:type="dxa"/>
              <w:right w:w="28" w:type="dxa"/>
            </w:tcMar>
            <w:vAlign w:val="center"/>
          </w:tcPr>
          <w:p>
            <w:pPr>
              <w:jc w:val="center"/>
              <w:rPr>
                <w:szCs w:val="21"/>
              </w:rPr>
            </w:pPr>
            <w:r>
              <w:rPr>
                <w:szCs w:val="21"/>
              </w:rPr>
              <w:t>养殖过程</w:t>
            </w:r>
          </w:p>
        </w:tc>
        <w:tc>
          <w:tcPr>
            <w:tcW w:w="1276" w:type="dxa"/>
            <w:tcMar>
              <w:top w:w="0" w:type="dxa"/>
              <w:left w:w="28" w:type="dxa"/>
              <w:bottom w:w="0" w:type="dxa"/>
              <w:right w:w="28" w:type="dxa"/>
            </w:tcMar>
            <w:vAlign w:val="center"/>
          </w:tcPr>
          <w:p>
            <w:pPr>
              <w:jc w:val="center"/>
              <w:rPr>
                <w:szCs w:val="21"/>
              </w:rPr>
            </w:pPr>
            <w:r>
              <w:rPr>
                <w:szCs w:val="21"/>
              </w:rPr>
              <w:t>病死猪</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bCs/>
                <w:szCs w:val="21"/>
              </w:rPr>
            </w:pPr>
            <w:r>
              <w:rPr>
                <w:bCs/>
                <w:szCs w:val="21"/>
              </w:rPr>
              <w:t>16.67</w:t>
            </w:r>
          </w:p>
        </w:tc>
        <w:tc>
          <w:tcPr>
            <w:tcW w:w="2614" w:type="dxa"/>
            <w:tcMar>
              <w:top w:w="0" w:type="dxa"/>
              <w:left w:w="28" w:type="dxa"/>
              <w:bottom w:w="0" w:type="dxa"/>
              <w:right w:w="28" w:type="dxa"/>
            </w:tcMar>
            <w:vAlign w:val="center"/>
          </w:tcPr>
          <w:p>
            <w:pPr>
              <w:jc w:val="center"/>
              <w:rPr>
                <w:bCs/>
                <w:szCs w:val="21"/>
              </w:rPr>
            </w:pPr>
            <w:r>
              <w:rPr>
                <w:bCs/>
                <w:szCs w:val="21"/>
              </w:rPr>
              <w:t>交场区内自建无害化处理中心处置</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4</w:t>
            </w:r>
          </w:p>
        </w:tc>
        <w:tc>
          <w:tcPr>
            <w:tcW w:w="1566" w:type="dxa"/>
            <w:tcMar>
              <w:top w:w="0" w:type="dxa"/>
              <w:left w:w="28" w:type="dxa"/>
              <w:bottom w:w="0" w:type="dxa"/>
              <w:right w:w="28" w:type="dxa"/>
            </w:tcMar>
            <w:vAlign w:val="center"/>
          </w:tcPr>
          <w:p>
            <w:pPr>
              <w:jc w:val="center"/>
              <w:rPr>
                <w:szCs w:val="21"/>
              </w:rPr>
            </w:pPr>
            <w:r>
              <w:rPr>
                <w:szCs w:val="21"/>
              </w:rPr>
              <w:t>防疫</w:t>
            </w:r>
          </w:p>
        </w:tc>
        <w:tc>
          <w:tcPr>
            <w:tcW w:w="1276" w:type="dxa"/>
            <w:tcMar>
              <w:top w:w="0" w:type="dxa"/>
              <w:left w:w="28" w:type="dxa"/>
              <w:bottom w:w="0" w:type="dxa"/>
              <w:right w:w="28" w:type="dxa"/>
            </w:tcMar>
            <w:vAlign w:val="center"/>
          </w:tcPr>
          <w:p>
            <w:pPr>
              <w:jc w:val="center"/>
              <w:rPr>
                <w:szCs w:val="21"/>
              </w:rPr>
            </w:pPr>
            <w:r>
              <w:rPr>
                <w:szCs w:val="21"/>
              </w:rPr>
              <w:t>医疗固废</w:t>
            </w:r>
          </w:p>
        </w:tc>
        <w:tc>
          <w:tcPr>
            <w:tcW w:w="1274" w:type="dxa"/>
            <w:tcMar>
              <w:top w:w="0" w:type="dxa"/>
              <w:left w:w="28" w:type="dxa"/>
              <w:bottom w:w="0" w:type="dxa"/>
              <w:right w:w="28" w:type="dxa"/>
            </w:tcMar>
            <w:vAlign w:val="center"/>
          </w:tcPr>
          <w:p>
            <w:pPr>
              <w:jc w:val="center"/>
              <w:rPr>
                <w:szCs w:val="21"/>
              </w:rPr>
            </w:pPr>
            <w:r>
              <w:rPr>
                <w:szCs w:val="21"/>
              </w:rPr>
              <w:t>危险废物</w:t>
            </w:r>
          </w:p>
          <w:p>
            <w:pPr>
              <w:jc w:val="center"/>
              <w:rPr>
                <w:szCs w:val="21"/>
              </w:rPr>
            </w:pPr>
            <w:r>
              <w:rPr>
                <w:szCs w:val="21"/>
              </w:rPr>
              <w:t>（HW01）</w:t>
            </w:r>
          </w:p>
        </w:tc>
        <w:tc>
          <w:tcPr>
            <w:tcW w:w="993" w:type="dxa"/>
            <w:tcMar>
              <w:top w:w="0" w:type="dxa"/>
              <w:left w:w="28" w:type="dxa"/>
              <w:bottom w:w="0" w:type="dxa"/>
              <w:right w:w="28" w:type="dxa"/>
            </w:tcMar>
            <w:vAlign w:val="center"/>
          </w:tcPr>
          <w:p>
            <w:pPr>
              <w:jc w:val="center"/>
              <w:rPr>
                <w:szCs w:val="21"/>
              </w:rPr>
            </w:pPr>
            <w:r>
              <w:rPr>
                <w:szCs w:val="21"/>
              </w:rPr>
              <w:t>0.625</w:t>
            </w:r>
          </w:p>
        </w:tc>
        <w:tc>
          <w:tcPr>
            <w:tcW w:w="2614" w:type="dxa"/>
            <w:tcMar>
              <w:top w:w="0" w:type="dxa"/>
              <w:left w:w="28" w:type="dxa"/>
              <w:bottom w:w="0" w:type="dxa"/>
              <w:right w:w="28" w:type="dxa"/>
            </w:tcMar>
            <w:vAlign w:val="center"/>
          </w:tcPr>
          <w:p>
            <w:pPr>
              <w:jc w:val="center"/>
              <w:rPr>
                <w:szCs w:val="21"/>
              </w:rPr>
            </w:pPr>
            <w:r>
              <w:rPr>
                <w:kern w:val="0"/>
                <w:szCs w:val="21"/>
              </w:rPr>
              <w:t>交由有资质的单位进行处理</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5</w:t>
            </w:r>
          </w:p>
        </w:tc>
        <w:tc>
          <w:tcPr>
            <w:tcW w:w="1566" w:type="dxa"/>
            <w:tcMar>
              <w:top w:w="0" w:type="dxa"/>
              <w:left w:w="28" w:type="dxa"/>
              <w:bottom w:w="0" w:type="dxa"/>
              <w:right w:w="28" w:type="dxa"/>
            </w:tcMar>
            <w:vAlign w:val="center"/>
          </w:tcPr>
          <w:p>
            <w:pPr>
              <w:jc w:val="center"/>
              <w:rPr>
                <w:szCs w:val="21"/>
              </w:rPr>
            </w:pPr>
            <w:r>
              <w:rPr>
                <w:szCs w:val="21"/>
              </w:rPr>
              <w:t>职工生活</w:t>
            </w:r>
          </w:p>
        </w:tc>
        <w:tc>
          <w:tcPr>
            <w:tcW w:w="1276" w:type="dxa"/>
            <w:tcMar>
              <w:top w:w="0" w:type="dxa"/>
              <w:left w:w="28" w:type="dxa"/>
              <w:bottom w:w="0" w:type="dxa"/>
              <w:right w:w="28" w:type="dxa"/>
            </w:tcMar>
            <w:vAlign w:val="center"/>
          </w:tcPr>
          <w:p>
            <w:pPr>
              <w:jc w:val="center"/>
              <w:rPr>
                <w:szCs w:val="21"/>
              </w:rPr>
            </w:pPr>
            <w:r>
              <w:rPr>
                <w:szCs w:val="21"/>
              </w:rPr>
              <w:t>生活垃圾</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szCs w:val="21"/>
              </w:rPr>
            </w:pPr>
            <w:r>
              <w:rPr>
                <w:rFonts w:hint="eastAsia"/>
                <w:szCs w:val="21"/>
              </w:rPr>
              <w:t>22.36</w:t>
            </w:r>
          </w:p>
        </w:tc>
        <w:tc>
          <w:tcPr>
            <w:tcW w:w="2614" w:type="dxa"/>
            <w:tcMar>
              <w:top w:w="0" w:type="dxa"/>
              <w:left w:w="28" w:type="dxa"/>
              <w:bottom w:w="0" w:type="dxa"/>
              <w:right w:w="28" w:type="dxa"/>
            </w:tcMar>
            <w:vAlign w:val="center"/>
          </w:tcPr>
          <w:p>
            <w:pPr>
              <w:jc w:val="center"/>
              <w:rPr>
                <w:szCs w:val="21"/>
              </w:rPr>
            </w:pPr>
            <w:r>
              <w:rPr>
                <w:szCs w:val="21"/>
              </w:rPr>
              <w:t>送交环卫部门处理</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6</w:t>
            </w:r>
          </w:p>
        </w:tc>
        <w:tc>
          <w:tcPr>
            <w:tcW w:w="1566" w:type="dxa"/>
            <w:tcMar>
              <w:top w:w="0" w:type="dxa"/>
              <w:left w:w="28" w:type="dxa"/>
              <w:bottom w:w="0" w:type="dxa"/>
              <w:right w:w="28" w:type="dxa"/>
            </w:tcMar>
            <w:vAlign w:val="center"/>
          </w:tcPr>
          <w:p>
            <w:pPr>
              <w:jc w:val="center"/>
              <w:rPr>
                <w:szCs w:val="21"/>
              </w:rPr>
            </w:pPr>
            <w:r>
              <w:rPr>
                <w:szCs w:val="21"/>
              </w:rPr>
              <w:t>沼气脱硫装置</w:t>
            </w:r>
          </w:p>
        </w:tc>
        <w:tc>
          <w:tcPr>
            <w:tcW w:w="1276" w:type="dxa"/>
            <w:tcMar>
              <w:top w:w="0" w:type="dxa"/>
              <w:left w:w="28" w:type="dxa"/>
              <w:bottom w:w="0" w:type="dxa"/>
              <w:right w:w="28" w:type="dxa"/>
            </w:tcMar>
            <w:vAlign w:val="center"/>
          </w:tcPr>
          <w:p>
            <w:pPr>
              <w:jc w:val="center"/>
              <w:rPr>
                <w:szCs w:val="21"/>
              </w:rPr>
            </w:pPr>
            <w:r>
              <w:rPr>
                <w:szCs w:val="21"/>
              </w:rPr>
              <w:t>废脱硫剂</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szCs w:val="21"/>
              </w:rPr>
            </w:pPr>
            <w:r>
              <w:rPr>
                <w:szCs w:val="21"/>
              </w:rPr>
              <w:t>0.5</w:t>
            </w:r>
          </w:p>
        </w:tc>
        <w:tc>
          <w:tcPr>
            <w:tcW w:w="2614" w:type="dxa"/>
            <w:tcMar>
              <w:top w:w="0" w:type="dxa"/>
              <w:left w:w="28" w:type="dxa"/>
              <w:bottom w:w="0" w:type="dxa"/>
              <w:right w:w="28" w:type="dxa"/>
            </w:tcMar>
            <w:vAlign w:val="center"/>
          </w:tcPr>
          <w:p>
            <w:pPr>
              <w:jc w:val="center"/>
              <w:rPr>
                <w:b/>
                <w:szCs w:val="21"/>
                <w:u w:val="single"/>
              </w:rPr>
            </w:pPr>
            <w:r>
              <w:rPr>
                <w:szCs w:val="21"/>
              </w:rPr>
              <w:t>由生产厂家统一回收</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3" w:type="dxa"/>
            <w:gridSpan w:val="4"/>
            <w:tcMar>
              <w:top w:w="0" w:type="dxa"/>
              <w:left w:w="28" w:type="dxa"/>
              <w:bottom w:w="0" w:type="dxa"/>
              <w:right w:w="28" w:type="dxa"/>
            </w:tcMar>
            <w:vAlign w:val="center"/>
          </w:tcPr>
          <w:p>
            <w:pPr>
              <w:jc w:val="center"/>
              <w:rPr>
                <w:szCs w:val="21"/>
              </w:rPr>
            </w:pPr>
            <w:r>
              <w:rPr>
                <w:szCs w:val="21"/>
              </w:rPr>
              <w:t>合计</w:t>
            </w:r>
          </w:p>
        </w:tc>
        <w:tc>
          <w:tcPr>
            <w:tcW w:w="993" w:type="dxa"/>
            <w:tcMar>
              <w:top w:w="0" w:type="dxa"/>
              <w:left w:w="28" w:type="dxa"/>
              <w:bottom w:w="0" w:type="dxa"/>
              <w:right w:w="28" w:type="dxa"/>
            </w:tcMar>
            <w:vAlign w:val="center"/>
          </w:tcPr>
          <w:p>
            <w:pPr>
              <w:jc w:val="center"/>
              <w:rPr>
                <w:szCs w:val="21"/>
              </w:rPr>
            </w:pPr>
            <w:r>
              <w:rPr>
                <w:szCs w:val="21"/>
              </w:rPr>
              <w:t>5298.245</w:t>
            </w:r>
          </w:p>
        </w:tc>
        <w:tc>
          <w:tcPr>
            <w:tcW w:w="2614" w:type="dxa"/>
            <w:tcMar>
              <w:top w:w="0" w:type="dxa"/>
              <w:left w:w="28" w:type="dxa"/>
              <w:bottom w:w="0" w:type="dxa"/>
              <w:right w:w="28" w:type="dxa"/>
            </w:tcMar>
            <w:vAlign w:val="center"/>
          </w:tcPr>
          <w:p>
            <w:pPr>
              <w:jc w:val="center"/>
              <w:rPr>
                <w:szCs w:val="21"/>
              </w:rPr>
            </w:pPr>
            <w:r>
              <w:rPr>
                <w:szCs w:val="21"/>
              </w:rPr>
              <w:t>/</w:t>
            </w:r>
          </w:p>
        </w:tc>
        <w:tc>
          <w:tcPr>
            <w:tcW w:w="696" w:type="dxa"/>
            <w:tcMar>
              <w:top w:w="0" w:type="dxa"/>
              <w:left w:w="28" w:type="dxa"/>
              <w:bottom w:w="0" w:type="dxa"/>
              <w:right w:w="28" w:type="dxa"/>
            </w:tcMar>
            <w:vAlign w:val="center"/>
          </w:tcPr>
          <w:p>
            <w:pPr>
              <w:jc w:val="center"/>
              <w:rPr>
                <w:szCs w:val="21"/>
              </w:rPr>
            </w:pPr>
            <w:r>
              <w:rPr>
                <w:szCs w:val="21"/>
              </w:rPr>
              <w:t>/</w:t>
            </w:r>
          </w:p>
        </w:tc>
      </w:tr>
    </w:tbl>
    <w:p>
      <w:pPr>
        <w:pStyle w:val="4"/>
        <w:spacing w:before="156" w:after="156"/>
        <w:rPr>
          <w:rFonts w:hAnsi="Times New Roman"/>
          <w:color w:val="000000"/>
        </w:rPr>
      </w:pPr>
      <w:bookmarkStart w:id="170" w:name="_Toc413166139"/>
      <w:bookmarkStart w:id="171" w:name="_Toc445457721"/>
      <w:bookmarkStart w:id="172" w:name="_Toc3019528"/>
      <w:bookmarkStart w:id="173" w:name="_Toc406847419"/>
      <w:bookmarkStart w:id="174" w:name="_Toc388881920"/>
      <w:bookmarkStart w:id="175" w:name="_Toc311979933"/>
      <w:bookmarkStart w:id="176" w:name="_Toc311979865"/>
      <w:bookmarkStart w:id="177" w:name="_Toc485996378"/>
      <w:bookmarkStart w:id="178" w:name="_Toc407001412"/>
      <w:bookmarkStart w:id="179" w:name="_Toc27091"/>
      <w:bookmarkStart w:id="180" w:name="_Toc311979820"/>
      <w:bookmarkStart w:id="181" w:name="_Toc31767"/>
      <w:r>
        <w:rPr>
          <w:rFonts w:hAnsi="Times New Roman"/>
          <w:color w:val="000000"/>
        </w:rPr>
        <w:t>2.4 项目主要污染物产排情况</w:t>
      </w:r>
      <w:bookmarkEnd w:id="170"/>
      <w:bookmarkEnd w:id="171"/>
      <w:bookmarkEnd w:id="172"/>
      <w:bookmarkEnd w:id="173"/>
      <w:bookmarkEnd w:id="174"/>
      <w:bookmarkEnd w:id="175"/>
      <w:bookmarkEnd w:id="176"/>
      <w:bookmarkEnd w:id="177"/>
      <w:bookmarkEnd w:id="178"/>
      <w:bookmarkEnd w:id="179"/>
      <w:bookmarkEnd w:id="180"/>
      <w:bookmarkEnd w:id="181"/>
    </w:p>
    <w:p>
      <w:pPr>
        <w:tabs>
          <w:tab w:val="left" w:pos="2835"/>
        </w:tabs>
        <w:adjustRightInd w:val="0"/>
        <w:snapToGrid w:val="0"/>
        <w:spacing w:line="520" w:lineRule="exact"/>
        <w:ind w:firstLine="480" w:firstLineChars="200"/>
        <w:rPr>
          <w:color w:val="FF0000"/>
          <w:sz w:val="24"/>
        </w:rPr>
      </w:pPr>
      <w:r>
        <w:rPr>
          <w:sz w:val="24"/>
        </w:rPr>
        <w:t>项目主要污染物产排情况见表2.4-1。</w:t>
      </w:r>
    </w:p>
    <w:p>
      <w:pPr>
        <w:rPr>
          <w:color w:val="FF0000"/>
          <w:sz w:val="24"/>
        </w:rPr>
        <w:sectPr>
          <w:pgSz w:w="11906" w:h="16838"/>
          <w:pgMar w:top="1984" w:right="1587" w:bottom="1701" w:left="1587" w:header="851" w:footer="992" w:gutter="0"/>
          <w:cols w:space="720" w:num="1"/>
          <w:docGrid w:linePitch="312" w:charSpace="0"/>
        </w:sectPr>
      </w:pPr>
    </w:p>
    <w:p>
      <w:pPr>
        <w:spacing w:afterLines="30" w:line="500" w:lineRule="exact"/>
        <w:jc w:val="center"/>
        <w:rPr>
          <w:b/>
          <w:sz w:val="24"/>
        </w:rPr>
      </w:pPr>
      <w:r>
        <w:rPr>
          <w:b/>
          <w:sz w:val="24"/>
        </w:rPr>
        <w:t>表2.4-1    项目污染物产排汇总情况一览表</w:t>
      </w:r>
    </w:p>
    <w:tbl>
      <w:tblPr>
        <w:tblStyle w:val="44"/>
        <w:tblW w:w="1336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5"/>
        <w:gridCol w:w="1358"/>
        <w:gridCol w:w="1886"/>
        <w:gridCol w:w="1479"/>
        <w:gridCol w:w="1135"/>
        <w:gridCol w:w="1243"/>
        <w:gridCol w:w="1265"/>
        <w:gridCol w:w="985"/>
        <w:gridCol w:w="35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813" w:type="dxa"/>
            <w:gridSpan w:val="2"/>
            <w:tcBorders>
              <w:top w:val="single" w:color="auto" w:sz="12" w:space="0"/>
              <w:left w:val="single" w:color="auto" w:sz="12" w:space="0"/>
            </w:tcBorders>
            <w:vAlign w:val="center"/>
          </w:tcPr>
          <w:p>
            <w:pPr>
              <w:adjustRightInd w:val="0"/>
              <w:snapToGrid w:val="0"/>
              <w:spacing w:line="320" w:lineRule="exact"/>
              <w:jc w:val="center"/>
              <w:rPr>
                <w:szCs w:val="21"/>
              </w:rPr>
            </w:pPr>
            <w:r>
              <w:rPr>
                <w:szCs w:val="21"/>
              </w:rPr>
              <w:t>项目</w:t>
            </w:r>
          </w:p>
        </w:tc>
        <w:tc>
          <w:tcPr>
            <w:tcW w:w="1886" w:type="dxa"/>
            <w:tcBorders>
              <w:top w:val="single" w:color="auto" w:sz="12" w:space="0"/>
            </w:tcBorders>
            <w:vAlign w:val="center"/>
          </w:tcPr>
          <w:p>
            <w:pPr>
              <w:adjustRightInd w:val="0"/>
              <w:snapToGrid w:val="0"/>
              <w:spacing w:line="320" w:lineRule="exact"/>
              <w:jc w:val="center"/>
              <w:rPr>
                <w:szCs w:val="21"/>
              </w:rPr>
            </w:pPr>
            <w:r>
              <w:rPr>
                <w:szCs w:val="21"/>
              </w:rPr>
              <w:t>污染物</w:t>
            </w:r>
          </w:p>
          <w:p>
            <w:pPr>
              <w:adjustRightInd w:val="0"/>
              <w:snapToGrid w:val="0"/>
              <w:spacing w:line="320" w:lineRule="exact"/>
              <w:jc w:val="center"/>
              <w:rPr>
                <w:szCs w:val="21"/>
              </w:rPr>
            </w:pPr>
            <w:r>
              <w:rPr>
                <w:szCs w:val="21"/>
              </w:rPr>
              <w:t>名称</w:t>
            </w:r>
          </w:p>
        </w:tc>
        <w:tc>
          <w:tcPr>
            <w:tcW w:w="1479" w:type="dxa"/>
            <w:tcBorders>
              <w:top w:val="single" w:color="auto" w:sz="12" w:space="0"/>
            </w:tcBorders>
            <w:vAlign w:val="center"/>
          </w:tcPr>
          <w:p>
            <w:pPr>
              <w:adjustRightInd w:val="0"/>
              <w:snapToGrid w:val="0"/>
              <w:spacing w:line="320" w:lineRule="exact"/>
              <w:jc w:val="center"/>
              <w:rPr>
                <w:szCs w:val="21"/>
              </w:rPr>
            </w:pPr>
            <w:r>
              <w:rPr>
                <w:szCs w:val="21"/>
              </w:rPr>
              <w:t>产生浓度</w:t>
            </w:r>
            <w:r>
              <w:rPr>
                <w:bCs/>
                <w:szCs w:val="21"/>
              </w:rPr>
              <w:t>mg/m</w:t>
            </w:r>
            <w:r>
              <w:rPr>
                <w:bCs/>
                <w:szCs w:val="21"/>
                <w:vertAlign w:val="superscript"/>
              </w:rPr>
              <w:t>3</w:t>
            </w:r>
            <w:r>
              <w:rPr>
                <w:bCs/>
                <w:szCs w:val="21"/>
              </w:rPr>
              <w:t>（mg/L）</w:t>
            </w:r>
          </w:p>
        </w:tc>
        <w:tc>
          <w:tcPr>
            <w:tcW w:w="1135" w:type="dxa"/>
            <w:tcBorders>
              <w:top w:val="single" w:color="auto" w:sz="12" w:space="0"/>
            </w:tcBorders>
            <w:vAlign w:val="center"/>
          </w:tcPr>
          <w:p>
            <w:pPr>
              <w:adjustRightInd w:val="0"/>
              <w:snapToGrid w:val="0"/>
              <w:spacing w:line="320" w:lineRule="exact"/>
              <w:jc w:val="center"/>
              <w:rPr>
                <w:szCs w:val="21"/>
              </w:rPr>
            </w:pPr>
            <w:r>
              <w:rPr>
                <w:szCs w:val="21"/>
              </w:rPr>
              <w:t>产生量</w:t>
            </w:r>
          </w:p>
          <w:p>
            <w:pPr>
              <w:adjustRightInd w:val="0"/>
              <w:snapToGrid w:val="0"/>
              <w:spacing w:line="320" w:lineRule="exact"/>
              <w:jc w:val="center"/>
              <w:rPr>
                <w:szCs w:val="21"/>
              </w:rPr>
            </w:pPr>
            <w:r>
              <w:rPr>
                <w:szCs w:val="21"/>
              </w:rPr>
              <w:t>（t/a）</w:t>
            </w:r>
          </w:p>
        </w:tc>
        <w:tc>
          <w:tcPr>
            <w:tcW w:w="1243" w:type="dxa"/>
            <w:tcBorders>
              <w:top w:val="single" w:color="auto" w:sz="12" w:space="0"/>
            </w:tcBorders>
            <w:vAlign w:val="center"/>
          </w:tcPr>
          <w:p>
            <w:pPr>
              <w:adjustRightInd w:val="0"/>
              <w:snapToGrid w:val="0"/>
              <w:spacing w:line="320" w:lineRule="exact"/>
              <w:jc w:val="center"/>
              <w:rPr>
                <w:szCs w:val="21"/>
              </w:rPr>
            </w:pPr>
            <w:r>
              <w:rPr>
                <w:szCs w:val="21"/>
              </w:rPr>
              <w:t>削减量</w:t>
            </w:r>
          </w:p>
          <w:p>
            <w:pPr>
              <w:adjustRightInd w:val="0"/>
              <w:snapToGrid w:val="0"/>
              <w:spacing w:line="320" w:lineRule="exact"/>
              <w:jc w:val="center"/>
              <w:rPr>
                <w:szCs w:val="21"/>
              </w:rPr>
            </w:pPr>
            <w:r>
              <w:rPr>
                <w:szCs w:val="21"/>
              </w:rPr>
              <w:t>（t/a）</w:t>
            </w:r>
          </w:p>
        </w:tc>
        <w:tc>
          <w:tcPr>
            <w:tcW w:w="1265" w:type="dxa"/>
            <w:tcBorders>
              <w:top w:val="single" w:color="auto" w:sz="12" w:space="0"/>
            </w:tcBorders>
            <w:vAlign w:val="center"/>
          </w:tcPr>
          <w:p>
            <w:pPr>
              <w:adjustRightInd w:val="0"/>
              <w:snapToGrid w:val="0"/>
              <w:spacing w:line="320" w:lineRule="exact"/>
              <w:jc w:val="center"/>
              <w:rPr>
                <w:szCs w:val="21"/>
              </w:rPr>
            </w:pPr>
            <w:r>
              <w:rPr>
                <w:szCs w:val="21"/>
              </w:rPr>
              <w:t>处理后</w:t>
            </w:r>
          </w:p>
          <w:p>
            <w:pPr>
              <w:adjustRightInd w:val="0"/>
              <w:snapToGrid w:val="0"/>
              <w:spacing w:line="320" w:lineRule="exact"/>
              <w:jc w:val="center"/>
              <w:rPr>
                <w:szCs w:val="21"/>
              </w:rPr>
            </w:pPr>
            <w:r>
              <w:rPr>
                <w:szCs w:val="21"/>
              </w:rPr>
              <w:t>浓度</w:t>
            </w:r>
            <w:r>
              <w:rPr>
                <w:bCs/>
                <w:szCs w:val="21"/>
              </w:rPr>
              <w:t>mg/m</w:t>
            </w:r>
            <w:r>
              <w:rPr>
                <w:bCs/>
                <w:szCs w:val="21"/>
                <w:vertAlign w:val="superscript"/>
              </w:rPr>
              <w:t>3</w:t>
            </w:r>
            <w:r>
              <w:rPr>
                <w:bCs/>
                <w:szCs w:val="21"/>
              </w:rPr>
              <w:t>（mg/L）</w:t>
            </w:r>
          </w:p>
        </w:tc>
        <w:tc>
          <w:tcPr>
            <w:tcW w:w="985" w:type="dxa"/>
            <w:tcBorders>
              <w:top w:val="single" w:color="auto" w:sz="12" w:space="0"/>
            </w:tcBorders>
            <w:vAlign w:val="center"/>
          </w:tcPr>
          <w:p>
            <w:pPr>
              <w:adjustRightInd w:val="0"/>
              <w:snapToGrid w:val="0"/>
              <w:spacing w:line="320" w:lineRule="exact"/>
              <w:jc w:val="center"/>
              <w:rPr>
                <w:szCs w:val="21"/>
              </w:rPr>
            </w:pPr>
            <w:r>
              <w:rPr>
                <w:szCs w:val="21"/>
              </w:rPr>
              <w:t>排放量</w:t>
            </w:r>
          </w:p>
          <w:p>
            <w:pPr>
              <w:adjustRightInd w:val="0"/>
              <w:snapToGrid w:val="0"/>
              <w:spacing w:line="320" w:lineRule="exact"/>
              <w:jc w:val="center"/>
              <w:rPr>
                <w:szCs w:val="21"/>
              </w:rPr>
            </w:pPr>
            <w:r>
              <w:rPr>
                <w:szCs w:val="21"/>
              </w:rPr>
              <w:t>（t/a）</w:t>
            </w:r>
          </w:p>
        </w:tc>
        <w:tc>
          <w:tcPr>
            <w:tcW w:w="3562" w:type="dxa"/>
            <w:tcBorders>
              <w:top w:val="single" w:color="auto" w:sz="12" w:space="0"/>
              <w:right w:val="single" w:color="auto" w:sz="12" w:space="0"/>
            </w:tcBorders>
            <w:vAlign w:val="center"/>
          </w:tcPr>
          <w:p>
            <w:pPr>
              <w:adjustRightInd w:val="0"/>
              <w:snapToGrid w:val="0"/>
              <w:spacing w:line="320" w:lineRule="exact"/>
              <w:jc w:val="center"/>
              <w:rPr>
                <w:szCs w:val="21"/>
              </w:rPr>
            </w:pPr>
            <w:r>
              <w:rPr>
                <w:szCs w:val="21"/>
              </w:rPr>
              <w:t>备注—治理措施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5" w:type="dxa"/>
            <w:vMerge w:val="restart"/>
            <w:tcBorders>
              <w:left w:val="single" w:color="auto" w:sz="12" w:space="0"/>
            </w:tcBorders>
            <w:vAlign w:val="center"/>
          </w:tcPr>
          <w:p>
            <w:pPr>
              <w:adjustRightInd w:val="0"/>
              <w:snapToGrid w:val="0"/>
              <w:spacing w:line="320" w:lineRule="exact"/>
              <w:jc w:val="center"/>
              <w:rPr>
                <w:bCs/>
                <w:szCs w:val="21"/>
              </w:rPr>
            </w:pPr>
            <w:r>
              <w:rPr>
                <w:bCs/>
                <w:szCs w:val="21"/>
              </w:rPr>
              <w:t>废气</w:t>
            </w:r>
          </w:p>
        </w:tc>
        <w:tc>
          <w:tcPr>
            <w:tcW w:w="1358" w:type="dxa"/>
            <w:vMerge w:val="restart"/>
            <w:vAlign w:val="center"/>
          </w:tcPr>
          <w:p>
            <w:pPr>
              <w:adjustRightInd w:val="0"/>
              <w:snapToGrid w:val="0"/>
              <w:spacing w:line="320" w:lineRule="exact"/>
              <w:jc w:val="center"/>
              <w:rPr>
                <w:bCs/>
                <w:szCs w:val="21"/>
              </w:rPr>
            </w:pPr>
            <w:r>
              <w:rPr>
                <w:bCs/>
                <w:szCs w:val="21"/>
              </w:rPr>
              <w:t>养殖区无组织废气</w:t>
            </w:r>
          </w:p>
        </w:tc>
        <w:tc>
          <w:tcPr>
            <w:tcW w:w="1886" w:type="dxa"/>
            <w:vAlign w:val="center"/>
          </w:tcPr>
          <w:p>
            <w:pPr>
              <w:adjustRightInd w:val="0"/>
              <w:snapToGrid w:val="0"/>
              <w:spacing w:line="320" w:lineRule="exact"/>
              <w:jc w:val="center"/>
              <w:rPr>
                <w:bCs/>
                <w:szCs w:val="21"/>
              </w:rPr>
            </w:pPr>
            <w:r>
              <w:rPr>
                <w:bCs/>
                <w:szCs w:val="21"/>
              </w:rPr>
              <w:t>NH</w:t>
            </w:r>
            <w:r>
              <w:rPr>
                <w:bCs/>
                <w:szCs w:val="21"/>
                <w:vertAlign w:val="subscript"/>
              </w:rPr>
              <w:t>3</w:t>
            </w:r>
          </w:p>
        </w:tc>
        <w:tc>
          <w:tcPr>
            <w:tcW w:w="1479" w:type="dxa"/>
            <w:vAlign w:val="center"/>
          </w:tcPr>
          <w:p>
            <w:pPr>
              <w:adjustRightInd w:val="0"/>
              <w:snapToGrid w:val="0"/>
              <w:spacing w:line="320" w:lineRule="exact"/>
              <w:jc w:val="center"/>
              <w:rPr>
                <w:bCs/>
                <w:szCs w:val="21"/>
              </w:rPr>
            </w:pPr>
            <w:r>
              <w:rPr>
                <w:bCs/>
                <w:szCs w:val="21"/>
              </w:rPr>
              <w:t>—</w:t>
            </w:r>
          </w:p>
        </w:tc>
        <w:tc>
          <w:tcPr>
            <w:tcW w:w="1135" w:type="dxa"/>
            <w:vAlign w:val="bottom"/>
          </w:tcPr>
          <w:p>
            <w:pPr>
              <w:jc w:val="center"/>
              <w:rPr>
                <w:rFonts w:ascii="Calibri" w:hAnsi="Calibri" w:cs="宋体"/>
                <w:sz w:val="22"/>
                <w:szCs w:val="22"/>
              </w:rPr>
            </w:pPr>
            <w:r>
              <w:rPr>
                <w:rFonts w:ascii="Calibri" w:hAnsi="Calibri"/>
                <w:sz w:val="22"/>
                <w:szCs w:val="22"/>
              </w:rPr>
              <w:t>4.776</w:t>
            </w:r>
          </w:p>
        </w:tc>
        <w:tc>
          <w:tcPr>
            <w:tcW w:w="1243" w:type="dxa"/>
            <w:vAlign w:val="bottom"/>
          </w:tcPr>
          <w:p>
            <w:pPr>
              <w:jc w:val="center"/>
              <w:rPr>
                <w:rFonts w:ascii="Calibri" w:hAnsi="Calibri" w:cs="宋体"/>
                <w:sz w:val="22"/>
                <w:szCs w:val="22"/>
              </w:rPr>
            </w:pPr>
            <w:r>
              <w:rPr>
                <w:rFonts w:ascii="Calibri" w:hAnsi="Calibri"/>
                <w:sz w:val="22"/>
                <w:szCs w:val="22"/>
              </w:rPr>
              <w:t>3.343</w:t>
            </w:r>
          </w:p>
        </w:tc>
        <w:tc>
          <w:tcPr>
            <w:tcW w:w="1265" w:type="dxa"/>
            <w:vAlign w:val="center"/>
          </w:tcPr>
          <w:p>
            <w:pPr>
              <w:adjustRightInd w:val="0"/>
              <w:snapToGrid w:val="0"/>
              <w:spacing w:line="320" w:lineRule="exact"/>
              <w:jc w:val="center"/>
              <w:rPr>
                <w:bCs/>
                <w:iCs/>
                <w:szCs w:val="21"/>
              </w:rPr>
            </w:pPr>
            <w:r>
              <w:rPr>
                <w:bCs/>
                <w:iCs/>
                <w:szCs w:val="21"/>
              </w:rPr>
              <w:t>—</w:t>
            </w:r>
          </w:p>
        </w:tc>
        <w:tc>
          <w:tcPr>
            <w:tcW w:w="985" w:type="dxa"/>
            <w:vAlign w:val="bottom"/>
          </w:tcPr>
          <w:p>
            <w:pPr>
              <w:jc w:val="center"/>
              <w:rPr>
                <w:rFonts w:ascii="Calibri" w:hAnsi="Calibri" w:cs="宋体"/>
                <w:sz w:val="22"/>
                <w:szCs w:val="22"/>
              </w:rPr>
            </w:pPr>
            <w:r>
              <w:rPr>
                <w:rFonts w:ascii="Calibri" w:hAnsi="Calibri"/>
                <w:sz w:val="22"/>
                <w:szCs w:val="22"/>
              </w:rPr>
              <w:t>1.433</w:t>
            </w:r>
          </w:p>
        </w:tc>
        <w:tc>
          <w:tcPr>
            <w:tcW w:w="3562" w:type="dxa"/>
            <w:vMerge w:val="restart"/>
            <w:tcBorders>
              <w:right w:val="single" w:color="auto" w:sz="12" w:space="0"/>
            </w:tcBorders>
            <w:vAlign w:val="center"/>
          </w:tcPr>
          <w:p>
            <w:pPr>
              <w:adjustRightInd w:val="0"/>
              <w:snapToGrid w:val="0"/>
              <w:spacing w:line="320" w:lineRule="exact"/>
              <w:jc w:val="center"/>
              <w:rPr>
                <w:bCs/>
                <w:szCs w:val="21"/>
              </w:rPr>
            </w:pPr>
            <w:r>
              <w:rPr>
                <w:bCs/>
                <w:szCs w:val="21"/>
              </w:rPr>
              <w:t>控制养殖密度、饲料添加剂、及时清粪、喷洒除臭剂、设置绿化带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5" w:type="dxa"/>
            <w:vMerge w:val="continue"/>
            <w:tcBorders>
              <w:left w:val="single" w:color="auto" w:sz="12" w:space="0"/>
            </w:tcBorders>
            <w:vAlign w:val="center"/>
          </w:tcPr>
          <w:p>
            <w:pPr>
              <w:adjustRightInd w:val="0"/>
              <w:snapToGrid w:val="0"/>
              <w:spacing w:line="320" w:lineRule="exact"/>
              <w:jc w:val="center"/>
              <w:rPr>
                <w:bCs/>
                <w:szCs w:val="21"/>
              </w:rPr>
            </w:pPr>
          </w:p>
        </w:tc>
        <w:tc>
          <w:tcPr>
            <w:tcW w:w="1358" w:type="dxa"/>
            <w:vMerge w:val="continue"/>
            <w:tcBorders>
              <w:bottom w:val="single" w:color="auto" w:sz="4" w:space="0"/>
            </w:tcBorders>
            <w:vAlign w:val="center"/>
          </w:tcPr>
          <w:p>
            <w:pPr>
              <w:adjustRightInd w:val="0"/>
              <w:snapToGrid w:val="0"/>
              <w:spacing w:line="320" w:lineRule="exact"/>
              <w:jc w:val="center"/>
              <w:rPr>
                <w:bCs/>
                <w:szCs w:val="21"/>
              </w:rPr>
            </w:pPr>
          </w:p>
        </w:tc>
        <w:tc>
          <w:tcPr>
            <w:tcW w:w="1886" w:type="dxa"/>
            <w:vAlign w:val="center"/>
          </w:tcPr>
          <w:p>
            <w:pPr>
              <w:adjustRightInd w:val="0"/>
              <w:snapToGrid w:val="0"/>
              <w:spacing w:line="320" w:lineRule="exact"/>
              <w:jc w:val="center"/>
              <w:rPr>
                <w:bCs/>
                <w:szCs w:val="21"/>
              </w:rPr>
            </w:pPr>
            <w:r>
              <w:rPr>
                <w:bCs/>
                <w:szCs w:val="21"/>
              </w:rPr>
              <w:t>H</w:t>
            </w:r>
            <w:r>
              <w:rPr>
                <w:bCs/>
                <w:szCs w:val="21"/>
                <w:vertAlign w:val="subscript"/>
              </w:rPr>
              <w:t>2</w:t>
            </w:r>
            <w:r>
              <w:rPr>
                <w:bCs/>
                <w:szCs w:val="21"/>
              </w:rPr>
              <w:t>S</w:t>
            </w:r>
          </w:p>
        </w:tc>
        <w:tc>
          <w:tcPr>
            <w:tcW w:w="1479" w:type="dxa"/>
            <w:vAlign w:val="center"/>
          </w:tcPr>
          <w:p>
            <w:pPr>
              <w:adjustRightInd w:val="0"/>
              <w:snapToGrid w:val="0"/>
              <w:spacing w:line="320" w:lineRule="exact"/>
              <w:jc w:val="center"/>
              <w:rPr>
                <w:bCs/>
                <w:szCs w:val="21"/>
              </w:rPr>
            </w:pPr>
            <w:r>
              <w:rPr>
                <w:bCs/>
                <w:szCs w:val="21"/>
              </w:rPr>
              <w:t>—</w:t>
            </w:r>
          </w:p>
        </w:tc>
        <w:tc>
          <w:tcPr>
            <w:tcW w:w="1135" w:type="dxa"/>
            <w:vAlign w:val="bottom"/>
          </w:tcPr>
          <w:p>
            <w:pPr>
              <w:jc w:val="center"/>
              <w:rPr>
                <w:rFonts w:ascii="Calibri" w:hAnsi="Calibri" w:cs="宋体"/>
                <w:sz w:val="22"/>
                <w:szCs w:val="22"/>
              </w:rPr>
            </w:pPr>
            <w:r>
              <w:rPr>
                <w:rFonts w:ascii="Calibri" w:hAnsi="Calibri"/>
                <w:sz w:val="22"/>
                <w:szCs w:val="22"/>
              </w:rPr>
              <w:t>0.3469</w:t>
            </w:r>
          </w:p>
        </w:tc>
        <w:tc>
          <w:tcPr>
            <w:tcW w:w="1243" w:type="dxa"/>
            <w:vAlign w:val="bottom"/>
          </w:tcPr>
          <w:p>
            <w:pPr>
              <w:jc w:val="center"/>
              <w:rPr>
                <w:rFonts w:ascii="Calibri" w:hAnsi="Calibri" w:cs="宋体"/>
                <w:sz w:val="22"/>
                <w:szCs w:val="22"/>
              </w:rPr>
            </w:pPr>
            <w:r>
              <w:rPr>
                <w:rFonts w:ascii="Calibri" w:hAnsi="Calibri"/>
                <w:sz w:val="22"/>
                <w:szCs w:val="22"/>
              </w:rPr>
              <w:t>0.24323</w:t>
            </w:r>
          </w:p>
        </w:tc>
        <w:tc>
          <w:tcPr>
            <w:tcW w:w="1265" w:type="dxa"/>
            <w:vAlign w:val="center"/>
          </w:tcPr>
          <w:p>
            <w:pPr>
              <w:adjustRightInd w:val="0"/>
              <w:snapToGrid w:val="0"/>
              <w:spacing w:line="320" w:lineRule="exact"/>
              <w:jc w:val="center"/>
              <w:rPr>
                <w:bCs/>
                <w:iCs/>
                <w:szCs w:val="21"/>
              </w:rPr>
            </w:pPr>
            <w:r>
              <w:rPr>
                <w:bCs/>
                <w:iCs/>
                <w:szCs w:val="21"/>
              </w:rPr>
              <w:t>—</w:t>
            </w:r>
          </w:p>
        </w:tc>
        <w:tc>
          <w:tcPr>
            <w:tcW w:w="985" w:type="dxa"/>
            <w:tcBorders>
              <w:bottom w:val="single" w:color="auto" w:sz="4" w:space="0"/>
            </w:tcBorders>
            <w:vAlign w:val="bottom"/>
          </w:tcPr>
          <w:p>
            <w:pPr>
              <w:jc w:val="center"/>
              <w:rPr>
                <w:rFonts w:ascii="Calibri" w:hAnsi="Calibri" w:cs="宋体"/>
                <w:sz w:val="22"/>
                <w:szCs w:val="22"/>
              </w:rPr>
            </w:pPr>
            <w:r>
              <w:rPr>
                <w:rFonts w:ascii="Calibri" w:hAnsi="Calibri"/>
                <w:sz w:val="22"/>
                <w:szCs w:val="22"/>
              </w:rPr>
              <w:t>0.10367</w:t>
            </w:r>
          </w:p>
        </w:tc>
        <w:tc>
          <w:tcPr>
            <w:tcW w:w="3562" w:type="dxa"/>
            <w:vMerge w:val="continue"/>
            <w:tcBorders>
              <w:bottom w:val="single" w:color="auto" w:sz="4" w:space="0"/>
              <w:right w:val="single" w:color="auto" w:sz="12" w:space="0"/>
            </w:tcBorders>
            <w:vAlign w:val="center"/>
          </w:tcPr>
          <w:p>
            <w:pPr>
              <w:adjustRightInd w:val="0"/>
              <w:snapToGrid w:val="0"/>
              <w:spacing w:line="32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5" w:type="dxa"/>
            <w:vMerge w:val="continue"/>
            <w:tcBorders>
              <w:left w:val="single" w:color="auto" w:sz="12" w:space="0"/>
            </w:tcBorders>
            <w:vAlign w:val="center"/>
          </w:tcPr>
          <w:p>
            <w:pPr>
              <w:adjustRightInd w:val="0"/>
              <w:snapToGrid w:val="0"/>
              <w:spacing w:line="320" w:lineRule="exact"/>
              <w:jc w:val="center"/>
              <w:rPr>
                <w:bCs/>
                <w:szCs w:val="21"/>
              </w:rPr>
            </w:pPr>
          </w:p>
        </w:tc>
        <w:tc>
          <w:tcPr>
            <w:tcW w:w="1358" w:type="dxa"/>
            <w:vMerge w:val="restart"/>
            <w:vAlign w:val="center"/>
          </w:tcPr>
          <w:p>
            <w:pPr>
              <w:adjustRightInd w:val="0"/>
              <w:snapToGrid w:val="0"/>
              <w:spacing w:line="320" w:lineRule="exact"/>
              <w:jc w:val="center"/>
              <w:rPr>
                <w:bCs/>
                <w:szCs w:val="21"/>
              </w:rPr>
            </w:pPr>
            <w:r>
              <w:rPr>
                <w:bCs/>
                <w:szCs w:val="21"/>
              </w:rPr>
              <w:t>沼气锅炉燃烧废气</w:t>
            </w:r>
          </w:p>
        </w:tc>
        <w:tc>
          <w:tcPr>
            <w:tcW w:w="1886" w:type="dxa"/>
            <w:vAlign w:val="center"/>
          </w:tcPr>
          <w:p>
            <w:pPr>
              <w:adjustRightInd w:val="0"/>
              <w:snapToGrid w:val="0"/>
              <w:spacing w:line="320" w:lineRule="exact"/>
              <w:jc w:val="center"/>
              <w:rPr>
                <w:bCs/>
                <w:szCs w:val="21"/>
              </w:rPr>
            </w:pPr>
            <w:r>
              <w:rPr>
                <w:bCs/>
                <w:szCs w:val="21"/>
              </w:rPr>
              <w:t>SO</w:t>
            </w:r>
            <w:r>
              <w:rPr>
                <w:bCs/>
                <w:szCs w:val="21"/>
                <w:vertAlign w:val="subscript"/>
              </w:rPr>
              <w:t>2</w:t>
            </w:r>
          </w:p>
        </w:tc>
        <w:tc>
          <w:tcPr>
            <w:tcW w:w="1479" w:type="dxa"/>
            <w:vAlign w:val="center"/>
          </w:tcPr>
          <w:p>
            <w:pPr>
              <w:adjustRightInd w:val="0"/>
              <w:snapToGrid w:val="0"/>
              <w:spacing w:line="320" w:lineRule="exact"/>
              <w:jc w:val="center"/>
              <w:rPr>
                <w:bCs/>
                <w:szCs w:val="21"/>
              </w:rPr>
            </w:pPr>
            <w:r>
              <w:rPr>
                <w:bCs/>
                <w:szCs w:val="21"/>
              </w:rPr>
              <w:t>2.21</w:t>
            </w:r>
          </w:p>
        </w:tc>
        <w:tc>
          <w:tcPr>
            <w:tcW w:w="1135" w:type="dxa"/>
            <w:vAlign w:val="center"/>
          </w:tcPr>
          <w:p>
            <w:pPr>
              <w:jc w:val="center"/>
              <w:rPr>
                <w:color w:val="000000"/>
                <w:szCs w:val="21"/>
              </w:rPr>
            </w:pPr>
            <w:r>
              <w:rPr>
                <w:color w:val="000000"/>
                <w:szCs w:val="21"/>
              </w:rPr>
              <w:t>0.0018</w:t>
            </w:r>
          </w:p>
        </w:tc>
        <w:tc>
          <w:tcPr>
            <w:tcW w:w="1243" w:type="dxa"/>
            <w:vAlign w:val="center"/>
          </w:tcPr>
          <w:p>
            <w:pPr>
              <w:adjustRightInd w:val="0"/>
              <w:snapToGrid w:val="0"/>
              <w:spacing w:line="320" w:lineRule="exact"/>
              <w:jc w:val="center"/>
              <w:rPr>
                <w:bCs/>
                <w:szCs w:val="21"/>
              </w:rPr>
            </w:pPr>
          </w:p>
        </w:tc>
        <w:tc>
          <w:tcPr>
            <w:tcW w:w="1265" w:type="dxa"/>
            <w:vAlign w:val="center"/>
          </w:tcPr>
          <w:p>
            <w:pPr>
              <w:adjustRightInd w:val="0"/>
              <w:snapToGrid w:val="0"/>
              <w:spacing w:line="320" w:lineRule="exact"/>
              <w:jc w:val="center"/>
              <w:rPr>
                <w:bCs/>
                <w:szCs w:val="21"/>
              </w:rPr>
            </w:pPr>
            <w:r>
              <w:rPr>
                <w:bCs/>
                <w:szCs w:val="21"/>
              </w:rPr>
              <w:t>2.21</w:t>
            </w:r>
          </w:p>
        </w:tc>
        <w:tc>
          <w:tcPr>
            <w:tcW w:w="985" w:type="dxa"/>
            <w:vAlign w:val="center"/>
          </w:tcPr>
          <w:p>
            <w:pPr>
              <w:jc w:val="center"/>
              <w:rPr>
                <w:color w:val="000000"/>
                <w:szCs w:val="21"/>
              </w:rPr>
            </w:pPr>
            <w:r>
              <w:rPr>
                <w:color w:val="000000"/>
                <w:szCs w:val="21"/>
              </w:rPr>
              <w:t>0.0018</w:t>
            </w:r>
          </w:p>
        </w:tc>
        <w:tc>
          <w:tcPr>
            <w:tcW w:w="3562" w:type="dxa"/>
            <w:vMerge w:val="restart"/>
            <w:tcBorders>
              <w:right w:val="single" w:color="auto" w:sz="12" w:space="0"/>
            </w:tcBorders>
            <w:vAlign w:val="center"/>
          </w:tcPr>
          <w:p>
            <w:pPr>
              <w:topLinePunct/>
              <w:jc w:val="center"/>
              <w:rPr>
                <w:color w:val="000000"/>
                <w:szCs w:val="21"/>
              </w:rPr>
            </w:pPr>
            <w:r>
              <w:rPr>
                <w:color w:val="000000"/>
                <w:szCs w:val="21"/>
              </w:rPr>
              <w:t>1根8m高排气筒排放，排放口规范化，设置排放口标志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5" w:type="dxa"/>
            <w:vMerge w:val="continue"/>
            <w:tcBorders>
              <w:left w:val="single" w:color="auto" w:sz="12" w:space="0"/>
            </w:tcBorders>
            <w:vAlign w:val="center"/>
          </w:tcPr>
          <w:p>
            <w:pPr>
              <w:adjustRightInd w:val="0"/>
              <w:snapToGrid w:val="0"/>
              <w:spacing w:line="320" w:lineRule="exact"/>
              <w:jc w:val="center"/>
              <w:rPr>
                <w:bCs/>
                <w:szCs w:val="21"/>
              </w:rPr>
            </w:pPr>
          </w:p>
        </w:tc>
        <w:tc>
          <w:tcPr>
            <w:tcW w:w="1358" w:type="dxa"/>
            <w:vMerge w:val="continue"/>
            <w:vAlign w:val="center"/>
          </w:tcPr>
          <w:p>
            <w:pPr>
              <w:adjustRightInd w:val="0"/>
              <w:snapToGrid w:val="0"/>
              <w:spacing w:line="320" w:lineRule="exact"/>
              <w:jc w:val="center"/>
              <w:rPr>
                <w:bCs/>
                <w:szCs w:val="21"/>
              </w:rPr>
            </w:pPr>
          </w:p>
        </w:tc>
        <w:tc>
          <w:tcPr>
            <w:tcW w:w="1886" w:type="dxa"/>
            <w:vAlign w:val="center"/>
          </w:tcPr>
          <w:p>
            <w:pPr>
              <w:adjustRightInd w:val="0"/>
              <w:snapToGrid w:val="0"/>
              <w:spacing w:line="320" w:lineRule="exact"/>
              <w:jc w:val="center"/>
              <w:rPr>
                <w:bCs/>
                <w:szCs w:val="21"/>
              </w:rPr>
            </w:pPr>
            <w:r>
              <w:rPr>
                <w:bCs/>
                <w:szCs w:val="21"/>
              </w:rPr>
              <w:t>NO</w:t>
            </w:r>
            <w:r>
              <w:rPr>
                <w:bCs/>
                <w:szCs w:val="21"/>
                <w:vertAlign w:val="subscript"/>
              </w:rPr>
              <w:t>X</w:t>
            </w:r>
          </w:p>
        </w:tc>
        <w:tc>
          <w:tcPr>
            <w:tcW w:w="1479" w:type="dxa"/>
            <w:vAlign w:val="center"/>
          </w:tcPr>
          <w:p>
            <w:pPr>
              <w:adjustRightInd w:val="0"/>
              <w:snapToGrid w:val="0"/>
              <w:spacing w:line="320" w:lineRule="exact"/>
              <w:jc w:val="center"/>
              <w:rPr>
                <w:bCs/>
                <w:szCs w:val="21"/>
              </w:rPr>
            </w:pPr>
            <w:r>
              <w:rPr>
                <w:bCs/>
                <w:szCs w:val="21"/>
              </w:rPr>
              <w:t>78.9</w:t>
            </w:r>
          </w:p>
        </w:tc>
        <w:tc>
          <w:tcPr>
            <w:tcW w:w="1135" w:type="dxa"/>
            <w:vAlign w:val="center"/>
          </w:tcPr>
          <w:p>
            <w:pPr>
              <w:jc w:val="center"/>
              <w:rPr>
                <w:color w:val="000000"/>
                <w:szCs w:val="21"/>
              </w:rPr>
            </w:pPr>
            <w:r>
              <w:rPr>
                <w:color w:val="000000"/>
                <w:szCs w:val="21"/>
              </w:rPr>
              <w:t>0.06</w:t>
            </w:r>
            <w:r>
              <w:rPr>
                <w:rFonts w:hint="eastAsia"/>
                <w:color w:val="000000"/>
                <w:szCs w:val="21"/>
              </w:rPr>
              <w:t>3</w:t>
            </w:r>
          </w:p>
        </w:tc>
        <w:tc>
          <w:tcPr>
            <w:tcW w:w="1243" w:type="dxa"/>
            <w:vAlign w:val="center"/>
          </w:tcPr>
          <w:p>
            <w:pPr>
              <w:adjustRightInd w:val="0"/>
              <w:snapToGrid w:val="0"/>
              <w:spacing w:line="320" w:lineRule="exact"/>
              <w:jc w:val="center"/>
              <w:rPr>
                <w:bCs/>
                <w:szCs w:val="21"/>
              </w:rPr>
            </w:pPr>
            <w:r>
              <w:rPr>
                <w:bCs/>
                <w:szCs w:val="21"/>
              </w:rPr>
              <w:t>0.05</w:t>
            </w:r>
            <w:r>
              <w:rPr>
                <w:rFonts w:hint="eastAsia"/>
                <w:bCs/>
                <w:szCs w:val="21"/>
              </w:rPr>
              <w:t>0</w:t>
            </w:r>
          </w:p>
        </w:tc>
        <w:tc>
          <w:tcPr>
            <w:tcW w:w="1265" w:type="dxa"/>
            <w:vAlign w:val="center"/>
          </w:tcPr>
          <w:p>
            <w:pPr>
              <w:adjustRightInd w:val="0"/>
              <w:snapToGrid w:val="0"/>
              <w:spacing w:line="320" w:lineRule="exact"/>
              <w:jc w:val="center"/>
              <w:rPr>
                <w:bCs/>
                <w:szCs w:val="21"/>
              </w:rPr>
            </w:pPr>
            <w:r>
              <w:rPr>
                <w:bCs/>
                <w:szCs w:val="21"/>
              </w:rPr>
              <w:t>15.78</w:t>
            </w:r>
          </w:p>
        </w:tc>
        <w:tc>
          <w:tcPr>
            <w:tcW w:w="985" w:type="dxa"/>
            <w:vAlign w:val="center"/>
          </w:tcPr>
          <w:p>
            <w:pPr>
              <w:jc w:val="center"/>
              <w:rPr>
                <w:color w:val="000000"/>
                <w:szCs w:val="21"/>
              </w:rPr>
            </w:pPr>
            <w:r>
              <w:rPr>
                <w:color w:val="000000"/>
                <w:szCs w:val="21"/>
              </w:rPr>
              <w:t>0.013</w:t>
            </w:r>
          </w:p>
        </w:tc>
        <w:tc>
          <w:tcPr>
            <w:tcW w:w="3562" w:type="dxa"/>
            <w:vMerge w:val="continue"/>
            <w:tcBorders>
              <w:right w:val="single" w:color="auto" w:sz="12" w:space="0"/>
            </w:tcBorders>
            <w:vAlign w:val="center"/>
          </w:tcPr>
          <w:p>
            <w:pPr>
              <w:adjustRightInd w:val="0"/>
              <w:snapToGrid w:val="0"/>
              <w:spacing w:line="32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55" w:type="dxa"/>
            <w:vMerge w:val="continue"/>
            <w:tcBorders>
              <w:left w:val="single" w:color="auto" w:sz="12" w:space="0"/>
            </w:tcBorders>
            <w:vAlign w:val="center"/>
          </w:tcPr>
          <w:p>
            <w:pPr>
              <w:adjustRightInd w:val="0"/>
              <w:snapToGrid w:val="0"/>
              <w:spacing w:line="320" w:lineRule="exact"/>
              <w:jc w:val="center"/>
              <w:rPr>
                <w:bCs/>
                <w:szCs w:val="21"/>
              </w:rPr>
            </w:pPr>
          </w:p>
        </w:tc>
        <w:tc>
          <w:tcPr>
            <w:tcW w:w="1358" w:type="dxa"/>
            <w:vAlign w:val="center"/>
          </w:tcPr>
          <w:p>
            <w:pPr>
              <w:adjustRightInd w:val="0"/>
              <w:snapToGrid w:val="0"/>
              <w:spacing w:line="320" w:lineRule="exact"/>
              <w:jc w:val="center"/>
              <w:rPr>
                <w:bCs/>
                <w:szCs w:val="21"/>
              </w:rPr>
            </w:pPr>
            <w:r>
              <w:rPr>
                <w:bCs/>
                <w:szCs w:val="21"/>
              </w:rPr>
              <w:t>食堂</w:t>
            </w:r>
          </w:p>
        </w:tc>
        <w:tc>
          <w:tcPr>
            <w:tcW w:w="1886" w:type="dxa"/>
            <w:vAlign w:val="center"/>
          </w:tcPr>
          <w:p>
            <w:pPr>
              <w:adjustRightInd w:val="0"/>
              <w:snapToGrid w:val="0"/>
              <w:spacing w:line="320" w:lineRule="exact"/>
              <w:jc w:val="center"/>
              <w:rPr>
                <w:bCs/>
                <w:szCs w:val="21"/>
              </w:rPr>
            </w:pPr>
            <w:r>
              <w:rPr>
                <w:bCs/>
                <w:szCs w:val="21"/>
              </w:rPr>
              <w:t>油烟</w:t>
            </w:r>
          </w:p>
        </w:tc>
        <w:tc>
          <w:tcPr>
            <w:tcW w:w="1479" w:type="dxa"/>
            <w:vAlign w:val="center"/>
          </w:tcPr>
          <w:p>
            <w:pPr>
              <w:adjustRightInd w:val="0"/>
              <w:snapToGrid w:val="0"/>
              <w:spacing w:line="320" w:lineRule="exact"/>
              <w:jc w:val="center"/>
              <w:rPr>
                <w:bCs/>
                <w:szCs w:val="21"/>
              </w:rPr>
            </w:pPr>
            <w:r>
              <w:rPr>
                <w:rFonts w:hint="eastAsia"/>
                <w:bCs/>
                <w:szCs w:val="21"/>
              </w:rPr>
              <w:t>2</w:t>
            </w:r>
            <w:r>
              <w:rPr>
                <w:bCs/>
                <w:szCs w:val="21"/>
              </w:rPr>
              <w:t>.0</w:t>
            </w:r>
          </w:p>
        </w:tc>
        <w:tc>
          <w:tcPr>
            <w:tcW w:w="1135" w:type="dxa"/>
            <w:vAlign w:val="center"/>
          </w:tcPr>
          <w:p>
            <w:pPr>
              <w:adjustRightInd w:val="0"/>
              <w:snapToGrid w:val="0"/>
              <w:spacing w:line="320" w:lineRule="exact"/>
              <w:jc w:val="center"/>
              <w:rPr>
                <w:bCs/>
                <w:szCs w:val="21"/>
              </w:rPr>
            </w:pPr>
            <w:r>
              <w:rPr>
                <w:szCs w:val="21"/>
              </w:rPr>
              <w:t>0.01</w:t>
            </w:r>
            <w:r>
              <w:rPr>
                <w:rFonts w:hint="eastAsia"/>
                <w:szCs w:val="21"/>
              </w:rPr>
              <w:t>3</w:t>
            </w:r>
          </w:p>
        </w:tc>
        <w:tc>
          <w:tcPr>
            <w:tcW w:w="1243" w:type="dxa"/>
            <w:vAlign w:val="center"/>
          </w:tcPr>
          <w:p>
            <w:pPr>
              <w:adjustRightInd w:val="0"/>
              <w:snapToGrid w:val="0"/>
              <w:spacing w:line="320" w:lineRule="exact"/>
              <w:jc w:val="center"/>
              <w:rPr>
                <w:bCs/>
                <w:szCs w:val="21"/>
              </w:rPr>
            </w:pPr>
            <w:r>
              <w:rPr>
                <w:bCs/>
                <w:szCs w:val="21"/>
              </w:rPr>
              <w:t>0.01</w:t>
            </w:r>
            <w:r>
              <w:rPr>
                <w:rFonts w:hint="eastAsia"/>
                <w:bCs/>
                <w:szCs w:val="21"/>
              </w:rPr>
              <w:t>17</w:t>
            </w:r>
          </w:p>
        </w:tc>
        <w:tc>
          <w:tcPr>
            <w:tcW w:w="1265" w:type="dxa"/>
            <w:vAlign w:val="center"/>
          </w:tcPr>
          <w:p>
            <w:pPr>
              <w:adjustRightInd w:val="0"/>
              <w:snapToGrid w:val="0"/>
              <w:spacing w:line="320" w:lineRule="exact"/>
              <w:jc w:val="center"/>
              <w:rPr>
                <w:bCs/>
                <w:szCs w:val="21"/>
              </w:rPr>
            </w:pPr>
            <w:r>
              <w:rPr>
                <w:bCs/>
                <w:szCs w:val="21"/>
              </w:rPr>
              <w:t>0.</w:t>
            </w:r>
            <w:r>
              <w:rPr>
                <w:rFonts w:hint="eastAsia"/>
                <w:bCs/>
                <w:szCs w:val="21"/>
              </w:rPr>
              <w:t>2</w:t>
            </w:r>
          </w:p>
        </w:tc>
        <w:tc>
          <w:tcPr>
            <w:tcW w:w="985" w:type="dxa"/>
            <w:vAlign w:val="center"/>
          </w:tcPr>
          <w:p>
            <w:pPr>
              <w:adjustRightInd w:val="0"/>
              <w:snapToGrid w:val="0"/>
              <w:spacing w:line="320" w:lineRule="exact"/>
              <w:jc w:val="center"/>
              <w:rPr>
                <w:bCs/>
                <w:szCs w:val="21"/>
              </w:rPr>
            </w:pPr>
            <w:r>
              <w:rPr>
                <w:szCs w:val="21"/>
              </w:rPr>
              <w:t>0.001</w:t>
            </w:r>
            <w:r>
              <w:rPr>
                <w:rFonts w:hint="eastAsia"/>
                <w:szCs w:val="21"/>
              </w:rPr>
              <w:t>3</w:t>
            </w:r>
          </w:p>
        </w:tc>
        <w:tc>
          <w:tcPr>
            <w:tcW w:w="3562" w:type="dxa"/>
            <w:tcBorders>
              <w:top w:val="single" w:color="auto" w:sz="4" w:space="0"/>
              <w:right w:val="single" w:color="auto" w:sz="12" w:space="0"/>
            </w:tcBorders>
            <w:vAlign w:val="center"/>
          </w:tcPr>
          <w:p>
            <w:pPr>
              <w:adjustRightInd w:val="0"/>
              <w:snapToGrid w:val="0"/>
              <w:spacing w:line="320" w:lineRule="exact"/>
              <w:jc w:val="center"/>
              <w:rPr>
                <w:bCs/>
                <w:szCs w:val="21"/>
              </w:rPr>
            </w:pPr>
            <w:r>
              <w:rPr>
                <w:bCs/>
                <w:szCs w:val="21"/>
              </w:rPr>
              <w:t>油烟净化器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restart"/>
            <w:tcBorders>
              <w:left w:val="single" w:color="auto" w:sz="12" w:space="0"/>
            </w:tcBorders>
            <w:vAlign w:val="center"/>
          </w:tcPr>
          <w:p>
            <w:pPr>
              <w:adjustRightInd w:val="0"/>
              <w:snapToGrid w:val="0"/>
              <w:spacing w:line="320" w:lineRule="exact"/>
              <w:jc w:val="center"/>
              <w:rPr>
                <w:bCs/>
                <w:szCs w:val="21"/>
              </w:rPr>
            </w:pPr>
            <w:r>
              <w:rPr>
                <w:bCs/>
                <w:szCs w:val="21"/>
              </w:rPr>
              <w:t>废水</w:t>
            </w:r>
          </w:p>
        </w:tc>
        <w:tc>
          <w:tcPr>
            <w:tcW w:w="1886" w:type="dxa"/>
            <w:vAlign w:val="center"/>
          </w:tcPr>
          <w:p>
            <w:pPr>
              <w:adjustRightInd w:val="0"/>
              <w:snapToGrid w:val="0"/>
              <w:spacing w:line="320" w:lineRule="exact"/>
              <w:jc w:val="center"/>
              <w:rPr>
                <w:bCs/>
                <w:szCs w:val="21"/>
              </w:rPr>
            </w:pPr>
            <w:r>
              <w:rPr>
                <w:bCs/>
                <w:szCs w:val="21"/>
              </w:rPr>
              <w:t>废水量</w:t>
            </w:r>
          </w:p>
        </w:tc>
        <w:tc>
          <w:tcPr>
            <w:tcW w:w="1479" w:type="dxa"/>
            <w:vAlign w:val="center"/>
          </w:tcPr>
          <w:p>
            <w:pPr>
              <w:adjustRightInd w:val="0"/>
              <w:snapToGrid w:val="0"/>
              <w:spacing w:line="320" w:lineRule="exact"/>
              <w:jc w:val="center"/>
              <w:rPr>
                <w:bCs/>
                <w:iCs/>
                <w:szCs w:val="21"/>
              </w:rPr>
            </w:pPr>
            <w:r>
              <w:rPr>
                <w:bCs/>
                <w:iCs/>
                <w:szCs w:val="21"/>
              </w:rPr>
              <w:t>-</w:t>
            </w:r>
          </w:p>
        </w:tc>
        <w:tc>
          <w:tcPr>
            <w:tcW w:w="1135" w:type="dxa"/>
            <w:vAlign w:val="center"/>
          </w:tcPr>
          <w:p>
            <w:pPr>
              <w:jc w:val="center"/>
              <w:rPr>
                <w:color w:val="000000"/>
                <w:szCs w:val="21"/>
              </w:rPr>
            </w:pPr>
            <w:r>
              <w:rPr>
                <w:color w:val="000000"/>
                <w:szCs w:val="21"/>
              </w:rPr>
              <w:t>72737.2</w:t>
            </w:r>
          </w:p>
        </w:tc>
        <w:tc>
          <w:tcPr>
            <w:tcW w:w="1243" w:type="dxa"/>
            <w:vAlign w:val="center"/>
          </w:tcPr>
          <w:p>
            <w:pPr>
              <w:adjustRightInd w:val="0"/>
              <w:snapToGrid w:val="0"/>
              <w:spacing w:line="320" w:lineRule="exact"/>
              <w:jc w:val="center"/>
              <w:rPr>
                <w:bCs/>
                <w:iCs/>
                <w:szCs w:val="21"/>
              </w:rPr>
            </w:pPr>
            <w:r>
              <w:rPr>
                <w:color w:val="000000"/>
                <w:szCs w:val="21"/>
              </w:rPr>
              <w:t>72737.2</w:t>
            </w:r>
          </w:p>
        </w:tc>
        <w:tc>
          <w:tcPr>
            <w:tcW w:w="1265" w:type="dxa"/>
            <w:vAlign w:val="center"/>
          </w:tcPr>
          <w:p>
            <w:pPr>
              <w:adjustRightInd w:val="0"/>
              <w:snapToGrid w:val="0"/>
              <w:spacing w:line="320" w:lineRule="exact"/>
              <w:jc w:val="center"/>
              <w:rPr>
                <w:bCs/>
                <w:iCs/>
                <w:szCs w:val="21"/>
              </w:rPr>
            </w:pPr>
            <w:r>
              <w:rPr>
                <w:bCs/>
                <w:iCs/>
                <w:szCs w:val="21"/>
              </w:rPr>
              <w:t>—</w:t>
            </w:r>
          </w:p>
        </w:tc>
        <w:tc>
          <w:tcPr>
            <w:tcW w:w="985" w:type="dxa"/>
            <w:vAlign w:val="center"/>
          </w:tcPr>
          <w:p>
            <w:pPr>
              <w:adjustRightInd w:val="0"/>
              <w:snapToGrid w:val="0"/>
              <w:spacing w:line="320" w:lineRule="exact"/>
              <w:jc w:val="center"/>
              <w:rPr>
                <w:bCs/>
                <w:szCs w:val="21"/>
              </w:rPr>
            </w:pPr>
            <w:r>
              <w:rPr>
                <w:bCs/>
                <w:szCs w:val="21"/>
              </w:rPr>
              <w:t>0</w:t>
            </w:r>
          </w:p>
        </w:tc>
        <w:tc>
          <w:tcPr>
            <w:tcW w:w="3562" w:type="dxa"/>
            <w:vMerge w:val="restart"/>
            <w:tcBorders>
              <w:right w:val="single" w:color="auto" w:sz="12" w:space="0"/>
            </w:tcBorders>
            <w:vAlign w:val="center"/>
          </w:tcPr>
          <w:p>
            <w:pPr>
              <w:adjustRightInd w:val="0"/>
              <w:snapToGrid w:val="0"/>
              <w:spacing w:line="320" w:lineRule="exact"/>
              <w:jc w:val="center"/>
              <w:rPr>
                <w:bCs/>
                <w:szCs w:val="21"/>
              </w:rPr>
            </w:pPr>
            <w:r>
              <w:rPr>
                <w:bCs/>
                <w:szCs w:val="21"/>
              </w:rPr>
              <w:t>经“盖泻湖沼气池”处理后做农肥使用不外排</w:t>
            </w:r>
            <w:r>
              <w:rPr>
                <w:bCs/>
                <w:iCs/>
                <w:szCs w:val="21"/>
              </w:rPr>
              <w:t>，盖泻湖沼气池容积64006m</w:t>
            </w:r>
            <w:r>
              <w:rPr>
                <w:bCs/>
                <w:iCs/>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tcBorders>
            <w:vAlign w:val="center"/>
          </w:tcPr>
          <w:p>
            <w:pPr>
              <w:widowControl/>
              <w:adjustRightInd w:val="0"/>
              <w:snapToGrid w:val="0"/>
              <w:spacing w:line="320" w:lineRule="exact"/>
              <w:jc w:val="center"/>
              <w:rPr>
                <w:bCs/>
                <w:kern w:val="44"/>
                <w:szCs w:val="21"/>
              </w:rPr>
            </w:pPr>
          </w:p>
        </w:tc>
        <w:tc>
          <w:tcPr>
            <w:tcW w:w="1886" w:type="dxa"/>
            <w:vAlign w:val="center"/>
          </w:tcPr>
          <w:p>
            <w:pPr>
              <w:adjustRightInd w:val="0"/>
              <w:snapToGrid w:val="0"/>
              <w:spacing w:line="320" w:lineRule="exact"/>
              <w:jc w:val="center"/>
              <w:rPr>
                <w:bCs/>
                <w:szCs w:val="21"/>
              </w:rPr>
            </w:pPr>
            <w:r>
              <w:rPr>
                <w:bCs/>
                <w:szCs w:val="21"/>
              </w:rPr>
              <w:t>COD</w:t>
            </w:r>
          </w:p>
        </w:tc>
        <w:tc>
          <w:tcPr>
            <w:tcW w:w="1479" w:type="dxa"/>
            <w:vAlign w:val="bottom"/>
          </w:tcPr>
          <w:p>
            <w:pPr>
              <w:jc w:val="center"/>
              <w:rPr>
                <w:bCs/>
                <w:sz w:val="22"/>
                <w:szCs w:val="22"/>
              </w:rPr>
            </w:pPr>
            <w:r>
              <w:rPr>
                <w:bCs/>
                <w:sz w:val="22"/>
                <w:szCs w:val="22"/>
              </w:rPr>
              <w:t xml:space="preserve">14618.86 </w:t>
            </w:r>
          </w:p>
        </w:tc>
        <w:tc>
          <w:tcPr>
            <w:tcW w:w="1135" w:type="dxa"/>
            <w:vAlign w:val="bottom"/>
          </w:tcPr>
          <w:p>
            <w:pPr>
              <w:jc w:val="center"/>
              <w:rPr>
                <w:bCs/>
                <w:szCs w:val="21"/>
              </w:rPr>
            </w:pPr>
            <w:r>
              <w:rPr>
                <w:bCs/>
                <w:szCs w:val="21"/>
              </w:rPr>
              <w:t xml:space="preserve">1063.33 </w:t>
            </w:r>
          </w:p>
        </w:tc>
        <w:tc>
          <w:tcPr>
            <w:tcW w:w="1243" w:type="dxa"/>
            <w:vAlign w:val="bottom"/>
          </w:tcPr>
          <w:p>
            <w:pPr>
              <w:jc w:val="center"/>
              <w:rPr>
                <w:rFonts w:ascii="Calibri" w:hAnsi="Calibri" w:cs="宋体"/>
                <w:sz w:val="22"/>
                <w:szCs w:val="22"/>
              </w:rPr>
            </w:pPr>
            <w:r>
              <w:rPr>
                <w:rFonts w:ascii="Calibri" w:hAnsi="Calibri"/>
                <w:sz w:val="22"/>
                <w:szCs w:val="22"/>
              </w:rPr>
              <w:t>845.12</w:t>
            </w:r>
          </w:p>
        </w:tc>
        <w:tc>
          <w:tcPr>
            <w:tcW w:w="1265" w:type="dxa"/>
            <w:vAlign w:val="bottom"/>
          </w:tcPr>
          <w:p>
            <w:pPr>
              <w:jc w:val="center"/>
              <w:rPr>
                <w:bCs/>
                <w:sz w:val="22"/>
                <w:szCs w:val="22"/>
              </w:rPr>
            </w:pPr>
            <w:r>
              <w:rPr>
                <w:bCs/>
                <w:sz w:val="22"/>
                <w:szCs w:val="22"/>
              </w:rPr>
              <w:t>3000</w:t>
            </w:r>
          </w:p>
        </w:tc>
        <w:tc>
          <w:tcPr>
            <w:tcW w:w="985" w:type="dxa"/>
            <w:vAlign w:val="center"/>
          </w:tcPr>
          <w:p>
            <w:pPr>
              <w:adjustRightInd w:val="0"/>
              <w:snapToGrid w:val="0"/>
              <w:spacing w:line="320" w:lineRule="exact"/>
              <w:jc w:val="center"/>
              <w:rPr>
                <w:bCs/>
                <w:szCs w:val="21"/>
              </w:rPr>
            </w:pPr>
            <w:r>
              <w:rPr>
                <w:bCs/>
                <w:szCs w:val="21"/>
              </w:rPr>
              <w:t>0</w:t>
            </w:r>
          </w:p>
        </w:tc>
        <w:tc>
          <w:tcPr>
            <w:tcW w:w="3562" w:type="dxa"/>
            <w:vMerge w:val="continue"/>
            <w:tcBorders>
              <w:right w:val="single" w:color="auto" w:sz="12" w:space="0"/>
            </w:tcBorders>
            <w:vAlign w:val="center"/>
          </w:tcPr>
          <w:p>
            <w:pPr>
              <w:adjustRightInd w:val="0"/>
              <w:snapToGrid w:val="0"/>
              <w:spacing w:line="32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tcBorders>
            <w:vAlign w:val="center"/>
          </w:tcPr>
          <w:p>
            <w:pPr>
              <w:widowControl/>
              <w:adjustRightInd w:val="0"/>
              <w:snapToGrid w:val="0"/>
              <w:spacing w:line="320" w:lineRule="exact"/>
              <w:jc w:val="center"/>
              <w:rPr>
                <w:bCs/>
                <w:kern w:val="44"/>
                <w:szCs w:val="21"/>
              </w:rPr>
            </w:pPr>
          </w:p>
        </w:tc>
        <w:tc>
          <w:tcPr>
            <w:tcW w:w="1886" w:type="dxa"/>
            <w:vAlign w:val="center"/>
          </w:tcPr>
          <w:p>
            <w:pPr>
              <w:adjustRightInd w:val="0"/>
              <w:snapToGrid w:val="0"/>
              <w:spacing w:line="320" w:lineRule="exact"/>
              <w:jc w:val="center"/>
              <w:rPr>
                <w:bCs/>
                <w:szCs w:val="21"/>
              </w:rPr>
            </w:pPr>
            <w:r>
              <w:rPr>
                <w:bCs/>
                <w:szCs w:val="21"/>
              </w:rPr>
              <w:t>BOD</w:t>
            </w:r>
            <w:r>
              <w:rPr>
                <w:bCs/>
                <w:szCs w:val="21"/>
                <w:vertAlign w:val="subscript"/>
              </w:rPr>
              <w:t>5</w:t>
            </w:r>
          </w:p>
        </w:tc>
        <w:tc>
          <w:tcPr>
            <w:tcW w:w="1479" w:type="dxa"/>
            <w:vAlign w:val="bottom"/>
          </w:tcPr>
          <w:p>
            <w:pPr>
              <w:jc w:val="center"/>
              <w:rPr>
                <w:bCs/>
                <w:sz w:val="22"/>
                <w:szCs w:val="22"/>
              </w:rPr>
            </w:pPr>
            <w:r>
              <w:rPr>
                <w:bCs/>
                <w:sz w:val="22"/>
                <w:szCs w:val="22"/>
              </w:rPr>
              <w:t xml:space="preserve">5848.42 </w:t>
            </w:r>
          </w:p>
        </w:tc>
        <w:tc>
          <w:tcPr>
            <w:tcW w:w="1135" w:type="dxa"/>
            <w:vAlign w:val="bottom"/>
          </w:tcPr>
          <w:p>
            <w:pPr>
              <w:jc w:val="center"/>
              <w:rPr>
                <w:bCs/>
                <w:szCs w:val="21"/>
              </w:rPr>
            </w:pPr>
            <w:r>
              <w:rPr>
                <w:bCs/>
                <w:szCs w:val="21"/>
              </w:rPr>
              <w:t xml:space="preserve">425.40 </w:t>
            </w:r>
          </w:p>
        </w:tc>
        <w:tc>
          <w:tcPr>
            <w:tcW w:w="1243" w:type="dxa"/>
            <w:vAlign w:val="bottom"/>
          </w:tcPr>
          <w:p>
            <w:pPr>
              <w:jc w:val="center"/>
              <w:rPr>
                <w:rFonts w:ascii="Calibri" w:hAnsi="Calibri" w:cs="宋体"/>
                <w:sz w:val="22"/>
                <w:szCs w:val="22"/>
              </w:rPr>
            </w:pPr>
            <w:r>
              <w:rPr>
                <w:rFonts w:ascii="Calibri" w:hAnsi="Calibri"/>
                <w:sz w:val="22"/>
                <w:szCs w:val="22"/>
              </w:rPr>
              <w:t>323.57</w:t>
            </w:r>
          </w:p>
        </w:tc>
        <w:tc>
          <w:tcPr>
            <w:tcW w:w="1265" w:type="dxa"/>
            <w:vAlign w:val="bottom"/>
          </w:tcPr>
          <w:p>
            <w:pPr>
              <w:jc w:val="center"/>
              <w:rPr>
                <w:bCs/>
                <w:sz w:val="22"/>
                <w:szCs w:val="22"/>
              </w:rPr>
            </w:pPr>
            <w:r>
              <w:rPr>
                <w:bCs/>
                <w:sz w:val="22"/>
                <w:szCs w:val="22"/>
              </w:rPr>
              <w:t>1400</w:t>
            </w:r>
          </w:p>
        </w:tc>
        <w:tc>
          <w:tcPr>
            <w:tcW w:w="985" w:type="dxa"/>
            <w:vAlign w:val="center"/>
          </w:tcPr>
          <w:p>
            <w:pPr>
              <w:adjustRightInd w:val="0"/>
              <w:snapToGrid w:val="0"/>
              <w:spacing w:line="320" w:lineRule="exact"/>
              <w:jc w:val="center"/>
              <w:rPr>
                <w:bCs/>
                <w:szCs w:val="21"/>
              </w:rPr>
            </w:pPr>
            <w:r>
              <w:rPr>
                <w:bCs/>
                <w:szCs w:val="21"/>
              </w:rPr>
              <w:t>0</w:t>
            </w:r>
          </w:p>
        </w:tc>
        <w:tc>
          <w:tcPr>
            <w:tcW w:w="3562" w:type="dxa"/>
            <w:vMerge w:val="continue"/>
            <w:tcBorders>
              <w:right w:val="single" w:color="auto" w:sz="12" w:space="0"/>
            </w:tcBorders>
            <w:vAlign w:val="center"/>
          </w:tcPr>
          <w:p>
            <w:pPr>
              <w:adjustRightInd w:val="0"/>
              <w:snapToGrid w:val="0"/>
              <w:spacing w:line="32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tcBorders>
            <w:vAlign w:val="center"/>
          </w:tcPr>
          <w:p>
            <w:pPr>
              <w:widowControl/>
              <w:adjustRightInd w:val="0"/>
              <w:snapToGrid w:val="0"/>
              <w:spacing w:line="320" w:lineRule="exact"/>
              <w:jc w:val="center"/>
              <w:rPr>
                <w:bCs/>
                <w:kern w:val="44"/>
                <w:szCs w:val="21"/>
              </w:rPr>
            </w:pPr>
          </w:p>
        </w:tc>
        <w:tc>
          <w:tcPr>
            <w:tcW w:w="1886" w:type="dxa"/>
            <w:vAlign w:val="center"/>
          </w:tcPr>
          <w:p>
            <w:pPr>
              <w:adjustRightInd w:val="0"/>
              <w:snapToGrid w:val="0"/>
              <w:spacing w:line="320" w:lineRule="exact"/>
              <w:jc w:val="center"/>
              <w:rPr>
                <w:bCs/>
                <w:szCs w:val="21"/>
              </w:rPr>
            </w:pPr>
            <w:r>
              <w:rPr>
                <w:bCs/>
                <w:szCs w:val="21"/>
              </w:rPr>
              <w:t>SS</w:t>
            </w:r>
          </w:p>
        </w:tc>
        <w:tc>
          <w:tcPr>
            <w:tcW w:w="1479" w:type="dxa"/>
            <w:vAlign w:val="bottom"/>
          </w:tcPr>
          <w:p>
            <w:pPr>
              <w:jc w:val="center"/>
              <w:rPr>
                <w:bCs/>
                <w:sz w:val="22"/>
                <w:szCs w:val="22"/>
              </w:rPr>
            </w:pPr>
            <w:r>
              <w:rPr>
                <w:bCs/>
                <w:sz w:val="22"/>
                <w:szCs w:val="22"/>
              </w:rPr>
              <w:t xml:space="preserve">7602.06 </w:t>
            </w:r>
          </w:p>
        </w:tc>
        <w:tc>
          <w:tcPr>
            <w:tcW w:w="1135" w:type="dxa"/>
            <w:vAlign w:val="bottom"/>
          </w:tcPr>
          <w:p>
            <w:pPr>
              <w:jc w:val="center"/>
              <w:rPr>
                <w:bCs/>
                <w:szCs w:val="21"/>
              </w:rPr>
            </w:pPr>
            <w:r>
              <w:rPr>
                <w:bCs/>
                <w:szCs w:val="21"/>
              </w:rPr>
              <w:t xml:space="preserve">552.95 </w:t>
            </w:r>
          </w:p>
        </w:tc>
        <w:tc>
          <w:tcPr>
            <w:tcW w:w="1243" w:type="dxa"/>
            <w:vAlign w:val="bottom"/>
          </w:tcPr>
          <w:p>
            <w:pPr>
              <w:jc w:val="center"/>
              <w:rPr>
                <w:rFonts w:ascii="Calibri" w:hAnsi="Calibri" w:cs="宋体"/>
                <w:sz w:val="22"/>
                <w:szCs w:val="22"/>
              </w:rPr>
            </w:pPr>
            <w:r>
              <w:rPr>
                <w:rFonts w:ascii="Calibri" w:hAnsi="Calibri"/>
                <w:sz w:val="22"/>
                <w:szCs w:val="22"/>
              </w:rPr>
              <w:t>407.48</w:t>
            </w:r>
          </w:p>
        </w:tc>
        <w:tc>
          <w:tcPr>
            <w:tcW w:w="1265" w:type="dxa"/>
            <w:vAlign w:val="bottom"/>
          </w:tcPr>
          <w:p>
            <w:pPr>
              <w:jc w:val="center"/>
              <w:rPr>
                <w:bCs/>
                <w:sz w:val="22"/>
                <w:szCs w:val="22"/>
              </w:rPr>
            </w:pPr>
            <w:r>
              <w:rPr>
                <w:bCs/>
                <w:sz w:val="22"/>
                <w:szCs w:val="22"/>
              </w:rPr>
              <w:t>2000</w:t>
            </w:r>
          </w:p>
        </w:tc>
        <w:tc>
          <w:tcPr>
            <w:tcW w:w="985" w:type="dxa"/>
            <w:vAlign w:val="center"/>
          </w:tcPr>
          <w:p>
            <w:pPr>
              <w:adjustRightInd w:val="0"/>
              <w:snapToGrid w:val="0"/>
              <w:spacing w:line="320" w:lineRule="exact"/>
              <w:jc w:val="center"/>
              <w:rPr>
                <w:bCs/>
                <w:szCs w:val="21"/>
              </w:rPr>
            </w:pPr>
            <w:r>
              <w:rPr>
                <w:bCs/>
                <w:szCs w:val="21"/>
              </w:rPr>
              <w:t>0</w:t>
            </w:r>
          </w:p>
        </w:tc>
        <w:tc>
          <w:tcPr>
            <w:tcW w:w="3562" w:type="dxa"/>
            <w:vMerge w:val="continue"/>
            <w:tcBorders>
              <w:right w:val="single" w:color="auto" w:sz="12" w:space="0"/>
            </w:tcBorders>
            <w:vAlign w:val="center"/>
          </w:tcPr>
          <w:p>
            <w:pPr>
              <w:adjustRightInd w:val="0"/>
              <w:snapToGrid w:val="0"/>
              <w:spacing w:line="320" w:lineRule="exact"/>
              <w:jc w:val="center"/>
              <w:rPr>
                <w:bCs/>
                <w:color w:val="FF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tcBorders>
            <w:vAlign w:val="center"/>
          </w:tcPr>
          <w:p>
            <w:pPr>
              <w:widowControl/>
              <w:adjustRightInd w:val="0"/>
              <w:snapToGrid w:val="0"/>
              <w:spacing w:line="320" w:lineRule="exact"/>
              <w:jc w:val="center"/>
              <w:rPr>
                <w:bCs/>
                <w:kern w:val="44"/>
                <w:szCs w:val="21"/>
              </w:rPr>
            </w:pPr>
          </w:p>
        </w:tc>
        <w:tc>
          <w:tcPr>
            <w:tcW w:w="1886" w:type="dxa"/>
            <w:vAlign w:val="center"/>
          </w:tcPr>
          <w:p>
            <w:pPr>
              <w:adjustRightInd w:val="0"/>
              <w:snapToGrid w:val="0"/>
              <w:spacing w:line="320" w:lineRule="exact"/>
              <w:jc w:val="center"/>
              <w:rPr>
                <w:bCs/>
                <w:szCs w:val="21"/>
              </w:rPr>
            </w:pPr>
            <w:r>
              <w:rPr>
                <w:bCs/>
                <w:szCs w:val="21"/>
              </w:rPr>
              <w:t>NH</w:t>
            </w:r>
            <w:r>
              <w:rPr>
                <w:bCs/>
                <w:szCs w:val="21"/>
                <w:vertAlign w:val="subscript"/>
              </w:rPr>
              <w:t>3</w:t>
            </w:r>
            <w:r>
              <w:rPr>
                <w:bCs/>
                <w:szCs w:val="21"/>
              </w:rPr>
              <w:t>-N</w:t>
            </w:r>
          </w:p>
        </w:tc>
        <w:tc>
          <w:tcPr>
            <w:tcW w:w="1479" w:type="dxa"/>
            <w:vAlign w:val="bottom"/>
          </w:tcPr>
          <w:p>
            <w:pPr>
              <w:jc w:val="center"/>
              <w:rPr>
                <w:bCs/>
                <w:sz w:val="22"/>
                <w:szCs w:val="22"/>
              </w:rPr>
            </w:pPr>
            <w:r>
              <w:rPr>
                <w:bCs/>
                <w:sz w:val="22"/>
                <w:szCs w:val="22"/>
              </w:rPr>
              <w:t xml:space="preserve">975.20 </w:t>
            </w:r>
          </w:p>
        </w:tc>
        <w:tc>
          <w:tcPr>
            <w:tcW w:w="1135" w:type="dxa"/>
            <w:vAlign w:val="bottom"/>
          </w:tcPr>
          <w:p>
            <w:pPr>
              <w:jc w:val="center"/>
              <w:rPr>
                <w:bCs/>
                <w:szCs w:val="21"/>
              </w:rPr>
            </w:pPr>
            <w:r>
              <w:rPr>
                <w:bCs/>
                <w:szCs w:val="21"/>
              </w:rPr>
              <w:t xml:space="preserve">70.93 </w:t>
            </w:r>
          </w:p>
        </w:tc>
        <w:tc>
          <w:tcPr>
            <w:tcW w:w="1243" w:type="dxa"/>
            <w:vAlign w:val="bottom"/>
          </w:tcPr>
          <w:p>
            <w:pPr>
              <w:jc w:val="center"/>
              <w:rPr>
                <w:rFonts w:ascii="Calibri" w:hAnsi="Calibri" w:cs="宋体"/>
                <w:sz w:val="22"/>
                <w:szCs w:val="22"/>
              </w:rPr>
            </w:pPr>
            <w:r>
              <w:rPr>
                <w:rFonts w:ascii="Calibri" w:hAnsi="Calibri"/>
                <w:sz w:val="22"/>
                <w:szCs w:val="22"/>
              </w:rPr>
              <w:t>5.47</w:t>
            </w:r>
          </w:p>
        </w:tc>
        <w:tc>
          <w:tcPr>
            <w:tcW w:w="1265" w:type="dxa"/>
            <w:vAlign w:val="bottom"/>
          </w:tcPr>
          <w:p>
            <w:pPr>
              <w:jc w:val="center"/>
              <w:rPr>
                <w:bCs/>
                <w:sz w:val="22"/>
                <w:szCs w:val="22"/>
              </w:rPr>
            </w:pPr>
            <w:r>
              <w:rPr>
                <w:bCs/>
                <w:sz w:val="22"/>
                <w:szCs w:val="22"/>
              </w:rPr>
              <w:t>900</w:t>
            </w:r>
          </w:p>
        </w:tc>
        <w:tc>
          <w:tcPr>
            <w:tcW w:w="985" w:type="dxa"/>
            <w:vAlign w:val="center"/>
          </w:tcPr>
          <w:p>
            <w:pPr>
              <w:adjustRightInd w:val="0"/>
              <w:snapToGrid w:val="0"/>
              <w:spacing w:line="320" w:lineRule="exact"/>
              <w:jc w:val="center"/>
              <w:rPr>
                <w:bCs/>
                <w:szCs w:val="21"/>
              </w:rPr>
            </w:pPr>
            <w:r>
              <w:rPr>
                <w:bCs/>
                <w:szCs w:val="21"/>
              </w:rPr>
              <w:t>0</w:t>
            </w:r>
          </w:p>
        </w:tc>
        <w:tc>
          <w:tcPr>
            <w:tcW w:w="3562" w:type="dxa"/>
            <w:vMerge w:val="continue"/>
            <w:tcBorders>
              <w:right w:val="single" w:color="auto" w:sz="12" w:space="0"/>
            </w:tcBorders>
            <w:vAlign w:val="center"/>
          </w:tcPr>
          <w:p>
            <w:pPr>
              <w:adjustRightInd w:val="0"/>
              <w:snapToGrid w:val="0"/>
              <w:spacing w:line="320" w:lineRule="exact"/>
              <w:jc w:val="center"/>
              <w:rPr>
                <w:bCs/>
                <w:color w:val="FF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restart"/>
            <w:tcBorders>
              <w:left w:val="single" w:color="auto" w:sz="12" w:space="0"/>
            </w:tcBorders>
            <w:vAlign w:val="center"/>
          </w:tcPr>
          <w:p>
            <w:pPr>
              <w:adjustRightInd w:val="0"/>
              <w:snapToGrid w:val="0"/>
              <w:spacing w:line="320" w:lineRule="exact"/>
              <w:jc w:val="center"/>
              <w:rPr>
                <w:bCs/>
                <w:szCs w:val="21"/>
              </w:rPr>
            </w:pPr>
            <w:r>
              <w:rPr>
                <w:bCs/>
                <w:szCs w:val="21"/>
              </w:rPr>
              <w:t>固体废物</w:t>
            </w:r>
          </w:p>
        </w:tc>
        <w:tc>
          <w:tcPr>
            <w:tcW w:w="1886" w:type="dxa"/>
            <w:vAlign w:val="center"/>
          </w:tcPr>
          <w:p>
            <w:pPr>
              <w:adjustRightInd w:val="0"/>
              <w:snapToGrid w:val="0"/>
              <w:spacing w:line="320" w:lineRule="exact"/>
              <w:jc w:val="center"/>
              <w:rPr>
                <w:bCs/>
                <w:szCs w:val="21"/>
              </w:rPr>
            </w:pPr>
            <w:r>
              <w:rPr>
                <w:bCs/>
                <w:szCs w:val="21"/>
              </w:rPr>
              <w:t>清出猪粪</w:t>
            </w:r>
          </w:p>
        </w:tc>
        <w:tc>
          <w:tcPr>
            <w:tcW w:w="1479" w:type="dxa"/>
            <w:vAlign w:val="center"/>
          </w:tcPr>
          <w:p>
            <w:pPr>
              <w:adjustRightInd w:val="0"/>
              <w:snapToGrid w:val="0"/>
              <w:spacing w:line="320" w:lineRule="exact"/>
              <w:jc w:val="center"/>
              <w:rPr>
                <w:bCs/>
                <w:szCs w:val="21"/>
              </w:rPr>
            </w:pPr>
            <w:r>
              <w:rPr>
                <w:bCs/>
                <w:szCs w:val="21"/>
              </w:rPr>
              <w:t>—</w:t>
            </w:r>
          </w:p>
        </w:tc>
        <w:tc>
          <w:tcPr>
            <w:tcW w:w="1135" w:type="dxa"/>
            <w:vAlign w:val="bottom"/>
          </w:tcPr>
          <w:p>
            <w:pPr>
              <w:jc w:val="center"/>
              <w:rPr>
                <w:color w:val="000000"/>
                <w:szCs w:val="21"/>
              </w:rPr>
            </w:pPr>
            <w:r>
              <w:rPr>
                <w:color w:val="000000"/>
                <w:szCs w:val="21"/>
              </w:rPr>
              <w:t>4163.09</w:t>
            </w:r>
          </w:p>
        </w:tc>
        <w:tc>
          <w:tcPr>
            <w:tcW w:w="1243" w:type="dxa"/>
            <w:vAlign w:val="bottom"/>
          </w:tcPr>
          <w:p>
            <w:pPr>
              <w:jc w:val="center"/>
              <w:rPr>
                <w:color w:val="000000"/>
                <w:szCs w:val="21"/>
              </w:rPr>
            </w:pPr>
            <w:r>
              <w:rPr>
                <w:color w:val="000000"/>
                <w:szCs w:val="21"/>
              </w:rPr>
              <w:t>4163.09</w:t>
            </w:r>
          </w:p>
        </w:tc>
        <w:tc>
          <w:tcPr>
            <w:tcW w:w="1265" w:type="dxa"/>
            <w:vAlign w:val="center"/>
          </w:tcPr>
          <w:p>
            <w:pPr>
              <w:adjustRightInd w:val="0"/>
              <w:snapToGrid w:val="0"/>
              <w:spacing w:line="320" w:lineRule="exact"/>
              <w:jc w:val="center"/>
              <w:rPr>
                <w:bCs/>
                <w:szCs w:val="21"/>
              </w:rPr>
            </w:pPr>
            <w:r>
              <w:rPr>
                <w:bCs/>
                <w:szCs w:val="21"/>
              </w:rPr>
              <w:t>—</w:t>
            </w:r>
          </w:p>
        </w:tc>
        <w:tc>
          <w:tcPr>
            <w:tcW w:w="985" w:type="dxa"/>
            <w:vAlign w:val="center"/>
          </w:tcPr>
          <w:p>
            <w:pPr>
              <w:adjustRightInd w:val="0"/>
              <w:snapToGrid w:val="0"/>
              <w:spacing w:line="320" w:lineRule="exact"/>
              <w:jc w:val="center"/>
              <w:rPr>
                <w:bCs/>
                <w:szCs w:val="21"/>
              </w:rPr>
            </w:pPr>
            <w:r>
              <w:rPr>
                <w:bCs/>
                <w:szCs w:val="21"/>
              </w:rPr>
              <w:t>0</w:t>
            </w:r>
          </w:p>
        </w:tc>
        <w:tc>
          <w:tcPr>
            <w:tcW w:w="3562" w:type="dxa"/>
            <w:vMerge w:val="restart"/>
            <w:tcBorders>
              <w:right w:val="single" w:color="auto" w:sz="12" w:space="0"/>
            </w:tcBorders>
            <w:vAlign w:val="center"/>
          </w:tcPr>
          <w:p>
            <w:pPr>
              <w:adjustRightInd w:val="0"/>
              <w:snapToGrid w:val="0"/>
              <w:spacing w:line="320" w:lineRule="exact"/>
              <w:jc w:val="center"/>
              <w:rPr>
                <w:bCs/>
                <w:szCs w:val="21"/>
              </w:rPr>
            </w:pPr>
            <w:r>
              <w:rPr>
                <w:bCs/>
                <w:szCs w:val="21"/>
              </w:rPr>
              <w:t>经过发酵加工处理制作有机肥基肥料，外售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tcBorders>
            <w:vAlign w:val="center"/>
          </w:tcPr>
          <w:p>
            <w:pPr>
              <w:adjustRightInd w:val="0"/>
              <w:snapToGrid w:val="0"/>
              <w:spacing w:line="320" w:lineRule="exact"/>
              <w:jc w:val="center"/>
              <w:rPr>
                <w:bCs/>
                <w:color w:val="FF0000"/>
                <w:szCs w:val="21"/>
              </w:rPr>
            </w:pPr>
          </w:p>
        </w:tc>
        <w:tc>
          <w:tcPr>
            <w:tcW w:w="1886" w:type="dxa"/>
            <w:tcBorders>
              <w:top w:val="single" w:color="auto" w:sz="4" w:space="0"/>
            </w:tcBorders>
            <w:vAlign w:val="center"/>
          </w:tcPr>
          <w:p>
            <w:pPr>
              <w:adjustRightInd w:val="0"/>
              <w:snapToGrid w:val="0"/>
              <w:spacing w:line="320" w:lineRule="exact"/>
              <w:jc w:val="center"/>
              <w:rPr>
                <w:bCs/>
                <w:szCs w:val="21"/>
              </w:rPr>
            </w:pPr>
            <w:r>
              <w:rPr>
                <w:bCs/>
                <w:szCs w:val="21"/>
              </w:rPr>
              <w:t>沼渣</w:t>
            </w:r>
          </w:p>
        </w:tc>
        <w:tc>
          <w:tcPr>
            <w:tcW w:w="1479" w:type="dxa"/>
            <w:tcBorders>
              <w:top w:val="single" w:color="auto" w:sz="4" w:space="0"/>
            </w:tcBorders>
            <w:vAlign w:val="center"/>
          </w:tcPr>
          <w:p>
            <w:pPr>
              <w:adjustRightInd w:val="0"/>
              <w:snapToGrid w:val="0"/>
              <w:spacing w:line="320" w:lineRule="exact"/>
              <w:jc w:val="center"/>
              <w:rPr>
                <w:bCs/>
                <w:szCs w:val="21"/>
              </w:rPr>
            </w:pPr>
            <w:r>
              <w:rPr>
                <w:bCs/>
                <w:szCs w:val="21"/>
              </w:rPr>
              <w:t>—</w:t>
            </w:r>
          </w:p>
        </w:tc>
        <w:tc>
          <w:tcPr>
            <w:tcW w:w="1135" w:type="dxa"/>
            <w:tcBorders>
              <w:top w:val="single" w:color="auto" w:sz="4" w:space="0"/>
            </w:tcBorders>
            <w:vAlign w:val="bottom"/>
          </w:tcPr>
          <w:p>
            <w:pPr>
              <w:jc w:val="center"/>
              <w:rPr>
                <w:szCs w:val="21"/>
              </w:rPr>
            </w:pPr>
            <w:r>
              <w:rPr>
                <w:szCs w:val="21"/>
              </w:rPr>
              <w:t>1095</w:t>
            </w:r>
          </w:p>
        </w:tc>
        <w:tc>
          <w:tcPr>
            <w:tcW w:w="1243" w:type="dxa"/>
            <w:tcBorders>
              <w:top w:val="single" w:color="auto" w:sz="4" w:space="0"/>
            </w:tcBorders>
            <w:vAlign w:val="bottom"/>
          </w:tcPr>
          <w:p>
            <w:pPr>
              <w:jc w:val="center"/>
              <w:rPr>
                <w:szCs w:val="21"/>
              </w:rPr>
            </w:pPr>
            <w:r>
              <w:rPr>
                <w:szCs w:val="21"/>
              </w:rPr>
              <w:t>1095</w:t>
            </w:r>
          </w:p>
        </w:tc>
        <w:tc>
          <w:tcPr>
            <w:tcW w:w="1265" w:type="dxa"/>
            <w:tcBorders>
              <w:top w:val="single" w:color="auto" w:sz="4" w:space="0"/>
            </w:tcBorders>
            <w:vAlign w:val="center"/>
          </w:tcPr>
          <w:p>
            <w:pPr>
              <w:adjustRightInd w:val="0"/>
              <w:snapToGrid w:val="0"/>
              <w:spacing w:line="320" w:lineRule="exact"/>
              <w:jc w:val="center"/>
              <w:rPr>
                <w:bCs/>
                <w:szCs w:val="21"/>
              </w:rPr>
            </w:pPr>
            <w:r>
              <w:rPr>
                <w:bCs/>
                <w:szCs w:val="21"/>
              </w:rPr>
              <w:t>—</w:t>
            </w:r>
          </w:p>
        </w:tc>
        <w:tc>
          <w:tcPr>
            <w:tcW w:w="985" w:type="dxa"/>
            <w:tcBorders>
              <w:top w:val="single" w:color="auto" w:sz="4" w:space="0"/>
            </w:tcBorders>
            <w:vAlign w:val="center"/>
          </w:tcPr>
          <w:p>
            <w:pPr>
              <w:adjustRightInd w:val="0"/>
              <w:snapToGrid w:val="0"/>
              <w:spacing w:line="320" w:lineRule="exact"/>
              <w:jc w:val="center"/>
              <w:rPr>
                <w:bCs/>
                <w:szCs w:val="21"/>
              </w:rPr>
            </w:pPr>
            <w:r>
              <w:rPr>
                <w:bCs/>
                <w:szCs w:val="21"/>
              </w:rPr>
              <w:t>0</w:t>
            </w:r>
          </w:p>
        </w:tc>
        <w:tc>
          <w:tcPr>
            <w:tcW w:w="3562" w:type="dxa"/>
            <w:vMerge w:val="continue"/>
            <w:tcBorders>
              <w:right w:val="single" w:color="auto" w:sz="12" w:space="0"/>
            </w:tcBorders>
            <w:vAlign w:val="center"/>
          </w:tcPr>
          <w:p>
            <w:pPr>
              <w:adjustRightInd w:val="0"/>
              <w:snapToGrid w:val="0"/>
              <w:spacing w:line="320" w:lineRule="exact"/>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tcBorders>
            <w:vAlign w:val="center"/>
          </w:tcPr>
          <w:p>
            <w:pPr>
              <w:adjustRightInd w:val="0"/>
              <w:snapToGrid w:val="0"/>
              <w:spacing w:line="320" w:lineRule="exact"/>
              <w:jc w:val="center"/>
              <w:rPr>
                <w:bCs/>
                <w:color w:val="FF0000"/>
                <w:szCs w:val="21"/>
              </w:rPr>
            </w:pPr>
          </w:p>
        </w:tc>
        <w:tc>
          <w:tcPr>
            <w:tcW w:w="1886" w:type="dxa"/>
            <w:vAlign w:val="center"/>
          </w:tcPr>
          <w:p>
            <w:pPr>
              <w:adjustRightInd w:val="0"/>
              <w:snapToGrid w:val="0"/>
              <w:spacing w:line="320" w:lineRule="exact"/>
              <w:jc w:val="center"/>
              <w:rPr>
                <w:bCs/>
                <w:szCs w:val="21"/>
              </w:rPr>
            </w:pPr>
            <w:r>
              <w:rPr>
                <w:bCs/>
                <w:szCs w:val="21"/>
              </w:rPr>
              <w:t>病死猪尸体</w:t>
            </w:r>
          </w:p>
        </w:tc>
        <w:tc>
          <w:tcPr>
            <w:tcW w:w="1479" w:type="dxa"/>
            <w:vAlign w:val="center"/>
          </w:tcPr>
          <w:p>
            <w:pPr>
              <w:adjustRightInd w:val="0"/>
              <w:snapToGrid w:val="0"/>
              <w:spacing w:line="320" w:lineRule="exact"/>
              <w:jc w:val="center"/>
              <w:rPr>
                <w:bCs/>
                <w:szCs w:val="21"/>
              </w:rPr>
            </w:pPr>
            <w:r>
              <w:rPr>
                <w:bCs/>
                <w:szCs w:val="21"/>
              </w:rPr>
              <w:t>—</w:t>
            </w:r>
          </w:p>
        </w:tc>
        <w:tc>
          <w:tcPr>
            <w:tcW w:w="1135" w:type="dxa"/>
            <w:vAlign w:val="bottom"/>
          </w:tcPr>
          <w:p>
            <w:pPr>
              <w:jc w:val="center"/>
              <w:rPr>
                <w:szCs w:val="21"/>
              </w:rPr>
            </w:pPr>
            <w:r>
              <w:rPr>
                <w:szCs w:val="21"/>
              </w:rPr>
              <w:t>16.67</w:t>
            </w:r>
          </w:p>
        </w:tc>
        <w:tc>
          <w:tcPr>
            <w:tcW w:w="1243" w:type="dxa"/>
            <w:vAlign w:val="bottom"/>
          </w:tcPr>
          <w:p>
            <w:pPr>
              <w:jc w:val="center"/>
              <w:rPr>
                <w:szCs w:val="21"/>
              </w:rPr>
            </w:pPr>
            <w:r>
              <w:rPr>
                <w:szCs w:val="21"/>
              </w:rPr>
              <w:t>16.67</w:t>
            </w:r>
          </w:p>
        </w:tc>
        <w:tc>
          <w:tcPr>
            <w:tcW w:w="1265" w:type="dxa"/>
            <w:vAlign w:val="center"/>
          </w:tcPr>
          <w:p>
            <w:pPr>
              <w:adjustRightInd w:val="0"/>
              <w:snapToGrid w:val="0"/>
              <w:spacing w:line="320" w:lineRule="exact"/>
              <w:jc w:val="center"/>
              <w:rPr>
                <w:bCs/>
                <w:szCs w:val="21"/>
              </w:rPr>
            </w:pPr>
            <w:r>
              <w:rPr>
                <w:bCs/>
                <w:szCs w:val="21"/>
              </w:rPr>
              <w:t>—</w:t>
            </w:r>
          </w:p>
        </w:tc>
        <w:tc>
          <w:tcPr>
            <w:tcW w:w="985" w:type="dxa"/>
            <w:vAlign w:val="center"/>
          </w:tcPr>
          <w:p>
            <w:pPr>
              <w:adjustRightInd w:val="0"/>
              <w:snapToGrid w:val="0"/>
              <w:spacing w:line="320" w:lineRule="exact"/>
              <w:jc w:val="center"/>
              <w:rPr>
                <w:bCs/>
                <w:szCs w:val="21"/>
              </w:rPr>
            </w:pPr>
            <w:r>
              <w:rPr>
                <w:bCs/>
                <w:szCs w:val="21"/>
              </w:rPr>
              <w:t>0</w:t>
            </w:r>
          </w:p>
        </w:tc>
        <w:tc>
          <w:tcPr>
            <w:tcW w:w="3562" w:type="dxa"/>
            <w:tcBorders>
              <w:right w:val="single" w:color="auto" w:sz="12" w:space="0"/>
            </w:tcBorders>
            <w:vAlign w:val="center"/>
          </w:tcPr>
          <w:p>
            <w:pPr>
              <w:adjustRightInd w:val="0"/>
              <w:snapToGrid w:val="0"/>
              <w:spacing w:line="320" w:lineRule="exact"/>
              <w:jc w:val="center"/>
              <w:rPr>
                <w:bCs/>
                <w:szCs w:val="21"/>
              </w:rPr>
            </w:pPr>
            <w:r>
              <w:rPr>
                <w:bCs/>
                <w:szCs w:val="21"/>
              </w:rPr>
              <w:t>场区内自建无害化处理中心处置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tcBorders>
            <w:vAlign w:val="center"/>
          </w:tcPr>
          <w:p>
            <w:pPr>
              <w:adjustRightInd w:val="0"/>
              <w:snapToGrid w:val="0"/>
              <w:spacing w:line="320" w:lineRule="exact"/>
              <w:jc w:val="center"/>
              <w:rPr>
                <w:bCs/>
                <w:color w:val="FF0000"/>
                <w:szCs w:val="21"/>
              </w:rPr>
            </w:pPr>
          </w:p>
        </w:tc>
        <w:tc>
          <w:tcPr>
            <w:tcW w:w="1886" w:type="dxa"/>
            <w:vAlign w:val="center"/>
          </w:tcPr>
          <w:p>
            <w:pPr>
              <w:adjustRightInd w:val="0"/>
              <w:snapToGrid w:val="0"/>
              <w:spacing w:line="320" w:lineRule="exact"/>
              <w:jc w:val="center"/>
              <w:rPr>
                <w:bCs/>
                <w:szCs w:val="21"/>
              </w:rPr>
            </w:pPr>
            <w:r>
              <w:rPr>
                <w:bCs/>
                <w:szCs w:val="21"/>
              </w:rPr>
              <w:t>生活垃圾</w:t>
            </w:r>
          </w:p>
        </w:tc>
        <w:tc>
          <w:tcPr>
            <w:tcW w:w="1479" w:type="dxa"/>
            <w:vAlign w:val="center"/>
          </w:tcPr>
          <w:p>
            <w:pPr>
              <w:adjustRightInd w:val="0"/>
              <w:snapToGrid w:val="0"/>
              <w:spacing w:line="320" w:lineRule="exact"/>
              <w:jc w:val="center"/>
              <w:rPr>
                <w:bCs/>
                <w:szCs w:val="21"/>
              </w:rPr>
            </w:pPr>
            <w:r>
              <w:rPr>
                <w:bCs/>
                <w:szCs w:val="21"/>
              </w:rPr>
              <w:t>—</w:t>
            </w:r>
          </w:p>
        </w:tc>
        <w:tc>
          <w:tcPr>
            <w:tcW w:w="1135" w:type="dxa"/>
            <w:vAlign w:val="center"/>
          </w:tcPr>
          <w:p>
            <w:pPr>
              <w:jc w:val="center"/>
              <w:rPr>
                <w:bCs/>
                <w:szCs w:val="21"/>
              </w:rPr>
            </w:pPr>
            <w:r>
              <w:rPr>
                <w:rFonts w:hint="eastAsia"/>
                <w:szCs w:val="21"/>
              </w:rPr>
              <w:t>22.36</w:t>
            </w:r>
          </w:p>
        </w:tc>
        <w:tc>
          <w:tcPr>
            <w:tcW w:w="1243" w:type="dxa"/>
            <w:vAlign w:val="center"/>
          </w:tcPr>
          <w:p>
            <w:pPr>
              <w:jc w:val="center"/>
              <w:rPr>
                <w:bCs/>
                <w:szCs w:val="21"/>
              </w:rPr>
            </w:pPr>
            <w:r>
              <w:rPr>
                <w:rFonts w:hint="eastAsia"/>
                <w:szCs w:val="21"/>
              </w:rPr>
              <w:t>22.36</w:t>
            </w:r>
          </w:p>
        </w:tc>
        <w:tc>
          <w:tcPr>
            <w:tcW w:w="1265" w:type="dxa"/>
            <w:vAlign w:val="center"/>
          </w:tcPr>
          <w:p>
            <w:pPr>
              <w:adjustRightInd w:val="0"/>
              <w:snapToGrid w:val="0"/>
              <w:spacing w:line="320" w:lineRule="exact"/>
              <w:jc w:val="center"/>
              <w:rPr>
                <w:bCs/>
                <w:szCs w:val="21"/>
              </w:rPr>
            </w:pPr>
            <w:r>
              <w:rPr>
                <w:bCs/>
                <w:szCs w:val="21"/>
              </w:rPr>
              <w:t>—</w:t>
            </w:r>
          </w:p>
        </w:tc>
        <w:tc>
          <w:tcPr>
            <w:tcW w:w="985" w:type="dxa"/>
            <w:vAlign w:val="center"/>
          </w:tcPr>
          <w:p>
            <w:pPr>
              <w:adjustRightInd w:val="0"/>
              <w:snapToGrid w:val="0"/>
              <w:spacing w:line="320" w:lineRule="exact"/>
              <w:jc w:val="center"/>
              <w:rPr>
                <w:bCs/>
                <w:szCs w:val="21"/>
              </w:rPr>
            </w:pPr>
            <w:r>
              <w:rPr>
                <w:bCs/>
                <w:szCs w:val="21"/>
              </w:rPr>
              <w:t>0</w:t>
            </w:r>
          </w:p>
        </w:tc>
        <w:tc>
          <w:tcPr>
            <w:tcW w:w="3562" w:type="dxa"/>
            <w:tcBorders>
              <w:right w:val="single" w:color="auto" w:sz="12" w:space="0"/>
            </w:tcBorders>
            <w:vAlign w:val="center"/>
          </w:tcPr>
          <w:p>
            <w:pPr>
              <w:adjustRightInd w:val="0"/>
              <w:snapToGrid w:val="0"/>
              <w:spacing w:line="320" w:lineRule="exact"/>
              <w:jc w:val="center"/>
              <w:rPr>
                <w:bCs/>
                <w:szCs w:val="21"/>
              </w:rPr>
            </w:pPr>
            <w:r>
              <w:rPr>
                <w:bCs/>
                <w:szCs w:val="21"/>
              </w:rPr>
              <w:t>送环卫部门处理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tcBorders>
            <w:vAlign w:val="center"/>
          </w:tcPr>
          <w:p>
            <w:pPr>
              <w:widowControl/>
              <w:adjustRightInd w:val="0"/>
              <w:snapToGrid w:val="0"/>
              <w:spacing w:line="320" w:lineRule="exact"/>
              <w:jc w:val="center"/>
              <w:rPr>
                <w:bCs/>
                <w:color w:val="FF0000"/>
                <w:kern w:val="44"/>
                <w:szCs w:val="21"/>
              </w:rPr>
            </w:pPr>
          </w:p>
        </w:tc>
        <w:tc>
          <w:tcPr>
            <w:tcW w:w="1886" w:type="dxa"/>
            <w:vAlign w:val="center"/>
          </w:tcPr>
          <w:p>
            <w:pPr>
              <w:adjustRightInd w:val="0"/>
              <w:snapToGrid w:val="0"/>
              <w:spacing w:line="320" w:lineRule="exact"/>
              <w:jc w:val="center"/>
              <w:rPr>
                <w:bCs/>
                <w:szCs w:val="21"/>
              </w:rPr>
            </w:pPr>
            <w:r>
              <w:rPr>
                <w:bCs/>
                <w:szCs w:val="21"/>
              </w:rPr>
              <w:t>疾病防疫产生的医疗废物</w:t>
            </w:r>
          </w:p>
        </w:tc>
        <w:tc>
          <w:tcPr>
            <w:tcW w:w="1479" w:type="dxa"/>
            <w:vAlign w:val="center"/>
          </w:tcPr>
          <w:p>
            <w:pPr>
              <w:adjustRightInd w:val="0"/>
              <w:snapToGrid w:val="0"/>
              <w:spacing w:line="320" w:lineRule="exact"/>
              <w:jc w:val="center"/>
              <w:rPr>
                <w:bCs/>
                <w:szCs w:val="21"/>
              </w:rPr>
            </w:pPr>
            <w:r>
              <w:rPr>
                <w:bCs/>
                <w:szCs w:val="21"/>
              </w:rPr>
              <w:t>—</w:t>
            </w:r>
          </w:p>
        </w:tc>
        <w:tc>
          <w:tcPr>
            <w:tcW w:w="1135" w:type="dxa"/>
            <w:vAlign w:val="center"/>
          </w:tcPr>
          <w:p>
            <w:pPr>
              <w:adjustRightInd w:val="0"/>
              <w:snapToGrid w:val="0"/>
              <w:spacing w:line="320" w:lineRule="exact"/>
              <w:jc w:val="center"/>
              <w:rPr>
                <w:bCs/>
                <w:szCs w:val="21"/>
              </w:rPr>
            </w:pPr>
            <w:r>
              <w:rPr>
                <w:szCs w:val="21"/>
              </w:rPr>
              <w:t>0.625</w:t>
            </w:r>
          </w:p>
        </w:tc>
        <w:tc>
          <w:tcPr>
            <w:tcW w:w="1243" w:type="dxa"/>
            <w:vAlign w:val="center"/>
          </w:tcPr>
          <w:p>
            <w:pPr>
              <w:adjustRightInd w:val="0"/>
              <w:snapToGrid w:val="0"/>
              <w:spacing w:line="320" w:lineRule="exact"/>
              <w:jc w:val="center"/>
              <w:rPr>
                <w:bCs/>
                <w:szCs w:val="21"/>
              </w:rPr>
            </w:pPr>
            <w:r>
              <w:rPr>
                <w:szCs w:val="21"/>
              </w:rPr>
              <w:t>0.625</w:t>
            </w:r>
          </w:p>
        </w:tc>
        <w:tc>
          <w:tcPr>
            <w:tcW w:w="1265" w:type="dxa"/>
            <w:vAlign w:val="center"/>
          </w:tcPr>
          <w:p>
            <w:pPr>
              <w:adjustRightInd w:val="0"/>
              <w:snapToGrid w:val="0"/>
              <w:spacing w:line="320" w:lineRule="exact"/>
              <w:jc w:val="center"/>
              <w:rPr>
                <w:bCs/>
                <w:szCs w:val="21"/>
              </w:rPr>
            </w:pPr>
            <w:r>
              <w:rPr>
                <w:bCs/>
                <w:szCs w:val="21"/>
              </w:rPr>
              <w:t>—</w:t>
            </w:r>
          </w:p>
        </w:tc>
        <w:tc>
          <w:tcPr>
            <w:tcW w:w="985" w:type="dxa"/>
            <w:vAlign w:val="center"/>
          </w:tcPr>
          <w:p>
            <w:pPr>
              <w:adjustRightInd w:val="0"/>
              <w:snapToGrid w:val="0"/>
              <w:spacing w:line="320" w:lineRule="exact"/>
              <w:jc w:val="center"/>
              <w:rPr>
                <w:bCs/>
                <w:szCs w:val="21"/>
              </w:rPr>
            </w:pPr>
            <w:r>
              <w:rPr>
                <w:bCs/>
                <w:szCs w:val="21"/>
              </w:rPr>
              <w:t>0</w:t>
            </w:r>
          </w:p>
        </w:tc>
        <w:tc>
          <w:tcPr>
            <w:tcW w:w="3562" w:type="dxa"/>
            <w:tcBorders>
              <w:right w:val="single" w:color="auto" w:sz="12" w:space="0"/>
            </w:tcBorders>
            <w:vAlign w:val="center"/>
          </w:tcPr>
          <w:p>
            <w:pPr>
              <w:adjustRightInd w:val="0"/>
              <w:snapToGrid w:val="0"/>
              <w:spacing w:line="320" w:lineRule="exact"/>
              <w:jc w:val="center"/>
              <w:rPr>
                <w:bCs/>
                <w:szCs w:val="21"/>
              </w:rPr>
            </w:pPr>
            <w:r>
              <w:rPr>
                <w:kern w:val="0"/>
                <w:szCs w:val="21"/>
              </w:rPr>
              <w:t>交由</w:t>
            </w:r>
            <w:r>
              <w:rPr>
                <w:bCs/>
                <w:color w:val="000000"/>
                <w:szCs w:val="21"/>
              </w:rPr>
              <w:t>新蔡县中绿环保科技有限公司处置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13" w:type="dxa"/>
            <w:gridSpan w:val="2"/>
            <w:vMerge w:val="continue"/>
            <w:tcBorders>
              <w:left w:val="single" w:color="auto" w:sz="12" w:space="0"/>
              <w:bottom w:val="single" w:color="auto" w:sz="12" w:space="0"/>
            </w:tcBorders>
            <w:vAlign w:val="center"/>
          </w:tcPr>
          <w:p>
            <w:pPr>
              <w:widowControl/>
              <w:adjustRightInd w:val="0"/>
              <w:snapToGrid w:val="0"/>
              <w:spacing w:line="320" w:lineRule="exact"/>
              <w:jc w:val="center"/>
              <w:rPr>
                <w:bCs/>
                <w:color w:val="FF0000"/>
                <w:kern w:val="44"/>
                <w:szCs w:val="21"/>
              </w:rPr>
            </w:pPr>
          </w:p>
        </w:tc>
        <w:tc>
          <w:tcPr>
            <w:tcW w:w="1886" w:type="dxa"/>
            <w:tcBorders>
              <w:bottom w:val="single" w:color="auto" w:sz="12" w:space="0"/>
            </w:tcBorders>
            <w:vAlign w:val="center"/>
          </w:tcPr>
          <w:p>
            <w:pPr>
              <w:adjustRightInd w:val="0"/>
              <w:snapToGrid w:val="0"/>
              <w:spacing w:line="320" w:lineRule="exact"/>
              <w:jc w:val="center"/>
              <w:rPr>
                <w:bCs/>
                <w:szCs w:val="21"/>
              </w:rPr>
            </w:pPr>
            <w:r>
              <w:rPr>
                <w:bCs/>
                <w:szCs w:val="21"/>
              </w:rPr>
              <w:t>脱硫装置产生的废脱硫剂</w:t>
            </w:r>
          </w:p>
        </w:tc>
        <w:tc>
          <w:tcPr>
            <w:tcW w:w="1479" w:type="dxa"/>
            <w:tcBorders>
              <w:bottom w:val="single" w:color="auto" w:sz="12" w:space="0"/>
            </w:tcBorders>
            <w:vAlign w:val="center"/>
          </w:tcPr>
          <w:p>
            <w:pPr>
              <w:adjustRightInd w:val="0"/>
              <w:snapToGrid w:val="0"/>
              <w:spacing w:line="320" w:lineRule="exact"/>
              <w:jc w:val="center"/>
              <w:rPr>
                <w:bCs/>
                <w:szCs w:val="21"/>
              </w:rPr>
            </w:pPr>
            <w:r>
              <w:rPr>
                <w:bCs/>
                <w:szCs w:val="21"/>
              </w:rPr>
              <w:t>—</w:t>
            </w:r>
          </w:p>
        </w:tc>
        <w:tc>
          <w:tcPr>
            <w:tcW w:w="1135" w:type="dxa"/>
            <w:tcBorders>
              <w:bottom w:val="single" w:color="auto" w:sz="12" w:space="0"/>
            </w:tcBorders>
            <w:vAlign w:val="center"/>
          </w:tcPr>
          <w:p>
            <w:pPr>
              <w:adjustRightInd w:val="0"/>
              <w:snapToGrid w:val="0"/>
              <w:spacing w:line="320" w:lineRule="exact"/>
              <w:jc w:val="center"/>
              <w:rPr>
                <w:bCs/>
                <w:szCs w:val="21"/>
              </w:rPr>
            </w:pPr>
            <w:r>
              <w:rPr>
                <w:szCs w:val="21"/>
              </w:rPr>
              <w:t>0.5</w:t>
            </w:r>
          </w:p>
        </w:tc>
        <w:tc>
          <w:tcPr>
            <w:tcW w:w="1243" w:type="dxa"/>
            <w:tcBorders>
              <w:bottom w:val="single" w:color="auto" w:sz="12" w:space="0"/>
            </w:tcBorders>
            <w:vAlign w:val="center"/>
          </w:tcPr>
          <w:p>
            <w:pPr>
              <w:adjustRightInd w:val="0"/>
              <w:snapToGrid w:val="0"/>
              <w:spacing w:line="320" w:lineRule="exact"/>
              <w:jc w:val="center"/>
              <w:rPr>
                <w:bCs/>
                <w:szCs w:val="21"/>
              </w:rPr>
            </w:pPr>
            <w:r>
              <w:rPr>
                <w:szCs w:val="21"/>
              </w:rPr>
              <w:t>0.5</w:t>
            </w:r>
          </w:p>
        </w:tc>
        <w:tc>
          <w:tcPr>
            <w:tcW w:w="1265" w:type="dxa"/>
            <w:tcBorders>
              <w:bottom w:val="single" w:color="auto" w:sz="12" w:space="0"/>
            </w:tcBorders>
            <w:vAlign w:val="center"/>
          </w:tcPr>
          <w:p>
            <w:pPr>
              <w:adjustRightInd w:val="0"/>
              <w:snapToGrid w:val="0"/>
              <w:spacing w:line="320" w:lineRule="exact"/>
              <w:jc w:val="center"/>
              <w:rPr>
                <w:bCs/>
                <w:szCs w:val="21"/>
              </w:rPr>
            </w:pPr>
            <w:r>
              <w:rPr>
                <w:bCs/>
                <w:szCs w:val="21"/>
              </w:rPr>
              <w:t>—</w:t>
            </w:r>
          </w:p>
        </w:tc>
        <w:tc>
          <w:tcPr>
            <w:tcW w:w="985" w:type="dxa"/>
            <w:tcBorders>
              <w:bottom w:val="single" w:color="auto" w:sz="12" w:space="0"/>
            </w:tcBorders>
            <w:vAlign w:val="center"/>
          </w:tcPr>
          <w:p>
            <w:pPr>
              <w:adjustRightInd w:val="0"/>
              <w:snapToGrid w:val="0"/>
              <w:spacing w:line="320" w:lineRule="exact"/>
              <w:jc w:val="center"/>
              <w:rPr>
                <w:bCs/>
                <w:szCs w:val="21"/>
              </w:rPr>
            </w:pPr>
            <w:r>
              <w:rPr>
                <w:bCs/>
                <w:szCs w:val="21"/>
              </w:rPr>
              <w:t>0</w:t>
            </w:r>
          </w:p>
        </w:tc>
        <w:tc>
          <w:tcPr>
            <w:tcW w:w="3562" w:type="dxa"/>
            <w:tcBorders>
              <w:bottom w:val="single" w:color="auto" w:sz="12" w:space="0"/>
              <w:right w:val="single" w:color="auto" w:sz="12" w:space="0"/>
            </w:tcBorders>
            <w:vAlign w:val="center"/>
          </w:tcPr>
          <w:p>
            <w:pPr>
              <w:adjustRightInd w:val="0"/>
              <w:snapToGrid w:val="0"/>
              <w:spacing w:line="320" w:lineRule="exact"/>
              <w:jc w:val="center"/>
              <w:rPr>
                <w:bCs/>
                <w:szCs w:val="21"/>
              </w:rPr>
            </w:pPr>
            <w:r>
              <w:rPr>
                <w:szCs w:val="21"/>
              </w:rPr>
              <w:t>由生产厂家统一回收</w:t>
            </w:r>
          </w:p>
        </w:tc>
      </w:tr>
    </w:tbl>
    <w:p>
      <w:pPr>
        <w:rPr>
          <w:color w:val="FF0000"/>
          <w:sz w:val="24"/>
        </w:rPr>
      </w:pPr>
    </w:p>
    <w:p>
      <w:pPr>
        <w:rPr>
          <w:color w:val="FF0000"/>
          <w:sz w:val="24"/>
        </w:rPr>
        <w:sectPr>
          <w:pgSz w:w="16838" w:h="11906" w:orient="landscape"/>
          <w:pgMar w:top="1587" w:right="1984" w:bottom="1587" w:left="1701" w:header="851" w:footer="992" w:gutter="0"/>
          <w:cols w:space="720" w:num="1"/>
          <w:docGrid w:linePitch="312" w:charSpace="0"/>
        </w:sectPr>
      </w:pPr>
    </w:p>
    <w:p>
      <w:pPr>
        <w:tabs>
          <w:tab w:val="left" w:pos="340"/>
        </w:tabs>
        <w:adjustRightInd w:val="0"/>
        <w:snapToGrid w:val="0"/>
        <w:spacing w:beforeLines="200" w:afterLines="150" w:line="460" w:lineRule="exact"/>
        <w:jc w:val="center"/>
        <w:outlineLvl w:val="0"/>
        <w:rPr>
          <w:b/>
          <w:bCs/>
          <w:snapToGrid w:val="0"/>
          <w:kern w:val="0"/>
          <w:sz w:val="44"/>
          <w:szCs w:val="44"/>
        </w:rPr>
      </w:pPr>
      <w:bookmarkStart w:id="182" w:name="_Toc470206263"/>
      <w:bookmarkStart w:id="183" w:name="_Toc413833393"/>
      <w:bookmarkStart w:id="184" w:name="_Toc485996379"/>
      <w:bookmarkStart w:id="185" w:name="_Toc3019529"/>
      <w:r>
        <w:rPr>
          <w:b/>
          <w:bCs/>
          <w:snapToGrid w:val="0"/>
          <w:kern w:val="0"/>
          <w:sz w:val="44"/>
          <w:szCs w:val="44"/>
        </w:rPr>
        <w:t xml:space="preserve">第三章  </w:t>
      </w:r>
      <w:bookmarkEnd w:id="182"/>
      <w:bookmarkEnd w:id="183"/>
      <w:r>
        <w:rPr>
          <w:b/>
          <w:bCs/>
          <w:snapToGrid w:val="0"/>
          <w:kern w:val="0"/>
          <w:sz w:val="44"/>
          <w:szCs w:val="44"/>
        </w:rPr>
        <w:t>环境现状调查与评价</w:t>
      </w:r>
      <w:bookmarkEnd w:id="184"/>
      <w:bookmarkEnd w:id="185"/>
    </w:p>
    <w:p>
      <w:pPr>
        <w:snapToGrid w:val="0"/>
        <w:spacing w:line="360" w:lineRule="auto"/>
        <w:outlineLvl w:val="1"/>
        <w:rPr>
          <w:bCs/>
          <w:sz w:val="28"/>
          <w:szCs w:val="28"/>
        </w:rPr>
      </w:pPr>
      <w:bookmarkStart w:id="186" w:name="_Toc485996380"/>
      <w:bookmarkStart w:id="187" w:name="_Toc472009596"/>
      <w:bookmarkStart w:id="188" w:name="_Toc3019530"/>
      <w:r>
        <w:rPr>
          <w:bCs/>
          <w:sz w:val="28"/>
          <w:szCs w:val="28"/>
        </w:rPr>
        <w:t>3.1自然现状调查与评价</w:t>
      </w:r>
      <w:bookmarkEnd w:id="186"/>
      <w:bookmarkEnd w:id="187"/>
      <w:bookmarkEnd w:id="188"/>
    </w:p>
    <w:p>
      <w:pPr>
        <w:pStyle w:val="5"/>
        <w:spacing w:before="0" w:after="0" w:line="360" w:lineRule="auto"/>
        <w:rPr>
          <w:b w:val="0"/>
          <w:sz w:val="24"/>
          <w:szCs w:val="24"/>
        </w:rPr>
      </w:pPr>
      <w:r>
        <w:rPr>
          <w:b w:val="0"/>
          <w:sz w:val="24"/>
          <w:szCs w:val="24"/>
        </w:rPr>
        <w:t>3.1.1</w:t>
      </w:r>
      <w:r>
        <w:rPr>
          <w:b w:val="0"/>
          <w:kern w:val="0"/>
          <w:sz w:val="24"/>
          <w:szCs w:val="24"/>
        </w:rPr>
        <w:t>地理位置与交通情况</w:t>
      </w:r>
    </w:p>
    <w:p>
      <w:pPr>
        <w:spacing w:line="360" w:lineRule="auto"/>
        <w:ind w:firstLine="480" w:firstLineChars="200"/>
        <w:rPr>
          <w:sz w:val="24"/>
        </w:rPr>
      </w:pPr>
      <w:r>
        <w:rPr>
          <w:sz w:val="24"/>
        </w:rPr>
        <w:t>驻马店市位于河南省中南部，东经113°10ˊ～115°12ˊ、北纬32°18ˊ～33°35ˊ。东西长191.5km，南北宽137.5km，总面积15095km，占全省总面积的8.9%。驻马店市东接安徽省阜阳地区，西连南阳市，北靠周口市、平顶山市和漯河，南邻信阳市，现管辖遂平、西平、上蔡、平舆、新蔡、正阳、泌阳、汝南、确山九县和驿城区。</w:t>
      </w:r>
    </w:p>
    <w:p>
      <w:pPr>
        <w:spacing w:line="360" w:lineRule="auto"/>
        <w:ind w:firstLine="480" w:firstLineChars="200"/>
        <w:rPr>
          <w:sz w:val="24"/>
        </w:rPr>
      </w:pPr>
      <w:r>
        <w:rPr>
          <w:sz w:val="24"/>
        </w:rPr>
        <w:t>平舆县位于河南省东南部，黄淮海平原腹心地带，隶属于驻马店市。地理坐标在东径114°24′~114°55′，北纬32°44′~33°10′之间，地处两省（河南、安徽）三市（驻马店、周口、阜阳）交汇处，东界新蔡县、安徽省临泉县，西连汝南县，北部和上蔡县、项城市接壤，南部和正阳县相连。县城居于县域中心位置，距省会郑州市280km，距驻马店市60km，距汝南县城28km，距新蔡县城42km，距临泉县城80km，距项城县城80km，距上蔡县城62km。平舆县境东西宽46.8km，南北长45km，土地面积1282km</w:t>
      </w:r>
      <w:r>
        <w:rPr>
          <w:sz w:val="24"/>
          <w:vertAlign w:val="superscript"/>
        </w:rPr>
        <w:t>2</w:t>
      </w:r>
      <w:r>
        <w:rPr>
          <w:sz w:val="24"/>
        </w:rPr>
        <w:t>。</w:t>
      </w:r>
    </w:p>
    <w:p>
      <w:r>
        <w:rPr>
          <w:sz w:val="24"/>
        </w:rPr>
        <w:t>本次评价对象位于</w:t>
      </w:r>
      <w:r>
        <w:rPr>
          <w:rFonts w:ascii="宋体" w:hAnsi="宋体"/>
          <w:sz w:val="24"/>
        </w:rPr>
        <w:t>平舆县</w:t>
      </w:r>
      <w:r>
        <w:rPr>
          <w:rFonts w:hint="eastAsia" w:ascii="宋体" w:hAnsi="宋体"/>
          <w:sz w:val="24"/>
        </w:rPr>
        <w:t>东和店镇邢岗村</w:t>
      </w:r>
      <w:r>
        <w:rPr>
          <w:sz w:val="24"/>
        </w:rPr>
        <w:t>，场区四周为农田。周边</w:t>
      </w:r>
      <w:r>
        <w:rPr>
          <w:rFonts w:hint="eastAsia"/>
          <w:sz w:val="24"/>
        </w:rPr>
        <w:t>3</w:t>
      </w:r>
      <w:r>
        <w:rPr>
          <w:sz w:val="24"/>
        </w:rPr>
        <w:t>00m内无村庄、学校、医院、疗养院等环境敏感点及无功能性地表水体</w:t>
      </w:r>
      <w:r>
        <w:t>。</w:t>
      </w:r>
    </w:p>
    <w:p>
      <w:pPr>
        <w:pStyle w:val="5"/>
        <w:spacing w:before="0" w:after="0" w:line="360" w:lineRule="auto"/>
        <w:rPr>
          <w:b w:val="0"/>
          <w:sz w:val="24"/>
          <w:szCs w:val="24"/>
        </w:rPr>
      </w:pPr>
      <w:r>
        <w:rPr>
          <w:b w:val="0"/>
          <w:sz w:val="24"/>
          <w:szCs w:val="24"/>
        </w:rPr>
        <w:t>3.1.2地形、地貌、地质</w:t>
      </w:r>
    </w:p>
    <w:p>
      <w:pPr>
        <w:spacing w:line="360" w:lineRule="auto"/>
        <w:ind w:firstLine="480" w:firstLineChars="200"/>
        <w:rPr>
          <w:sz w:val="24"/>
        </w:rPr>
      </w:pPr>
      <w:r>
        <w:rPr>
          <w:sz w:val="24"/>
        </w:rPr>
        <w:t>平舆县地处黄淮海平原的腹心地带，地势平坦，县域西部稍高于东部，中部稍高于南北两侧，平均坡降在1/4000至1/6000之间，整个县域地貌呈现出岗地和泊洼相间的形态，县域内岗地主要分布在洪河、汝河之间和洪河左岸地区，面积约966km2，占全县总面积的75.4%，泊洼地主要分布在洪河、汝河的一些中型支流河道两岸，面积约为316km2，占全县总面积的24.6%。</w:t>
      </w:r>
    </w:p>
    <w:p>
      <w:pPr>
        <w:pStyle w:val="5"/>
        <w:spacing w:before="0" w:after="0" w:line="520" w:lineRule="exact"/>
        <w:rPr>
          <w:rFonts w:eastAsia="黑体"/>
          <w:sz w:val="24"/>
          <w:szCs w:val="24"/>
        </w:rPr>
      </w:pPr>
      <w:r>
        <w:rPr>
          <w:rFonts w:eastAsia="黑体"/>
          <w:b w:val="0"/>
          <w:sz w:val="24"/>
          <w:szCs w:val="24"/>
        </w:rPr>
        <w:t>3.1.3</w:t>
      </w:r>
      <w:r>
        <w:rPr>
          <w:kern w:val="0"/>
          <w:sz w:val="24"/>
          <w:szCs w:val="24"/>
        </w:rPr>
        <w:t>气候气象</w:t>
      </w:r>
    </w:p>
    <w:p>
      <w:pPr>
        <w:spacing w:line="360" w:lineRule="auto"/>
        <w:ind w:firstLine="480" w:firstLineChars="200"/>
        <w:rPr>
          <w:sz w:val="24"/>
        </w:rPr>
      </w:pPr>
      <w:r>
        <w:rPr>
          <w:sz w:val="24"/>
        </w:rPr>
        <w:t>平舆县属于北温带季风气候，是亚热带向暖温带过渡的地区，兼有两种气候带的特点。多年年平均温度在14.8</w:t>
      </w:r>
      <w:r>
        <w:rPr>
          <w:rFonts w:hint="eastAsia" w:ascii="宋体" w:hAnsi="宋体" w:cs="宋体"/>
          <w:sz w:val="24"/>
        </w:rPr>
        <w:t>℃</w:t>
      </w:r>
      <w:r>
        <w:rPr>
          <w:sz w:val="24"/>
        </w:rPr>
        <w:t>，平均无霜期为229天，平均日照时数2131小时，年平均降雨量893.1mm，平均风速3.4m/s，全年风向变化明显，冬季多北风或偏北风，夏季多南风或西南风，春季多东风或东南风，秋季多西风或西北风，极端最大风速20m/s。</w:t>
      </w:r>
    </w:p>
    <w:p>
      <w:pPr>
        <w:spacing w:line="360" w:lineRule="auto"/>
        <w:ind w:firstLine="480" w:firstLineChars="200"/>
        <w:rPr>
          <w:sz w:val="24"/>
        </w:rPr>
      </w:pPr>
      <w:r>
        <w:rPr>
          <w:sz w:val="24"/>
        </w:rPr>
        <w:t>根据平舆县气象局提供的资料，平舆县主要气象特征值如下：</w:t>
      </w:r>
    </w:p>
    <w:p>
      <w:pPr>
        <w:spacing w:line="360" w:lineRule="auto"/>
        <w:ind w:firstLine="480" w:firstLineChars="200"/>
        <w:rPr>
          <w:sz w:val="24"/>
        </w:rPr>
      </w:pPr>
      <w:r>
        <w:rPr>
          <w:sz w:val="24"/>
        </w:rPr>
        <w:t>气温：最高气温38.4</w:t>
      </w:r>
      <w:r>
        <w:rPr>
          <w:rFonts w:hint="eastAsia" w:ascii="宋体" w:hAnsi="宋体" w:cs="宋体"/>
          <w:sz w:val="24"/>
        </w:rPr>
        <w:t>℃</w:t>
      </w:r>
      <w:r>
        <w:rPr>
          <w:sz w:val="24"/>
        </w:rPr>
        <w:t>，最低气温－10.2</w:t>
      </w:r>
      <w:r>
        <w:rPr>
          <w:rFonts w:hint="eastAsia" w:ascii="宋体" w:hAnsi="宋体" w:cs="宋体"/>
          <w:sz w:val="24"/>
        </w:rPr>
        <w:t>℃</w:t>
      </w:r>
      <w:r>
        <w:rPr>
          <w:sz w:val="24"/>
        </w:rPr>
        <w:t>，年平均气温14.8</w:t>
      </w:r>
      <w:r>
        <w:rPr>
          <w:rFonts w:hint="eastAsia" w:ascii="宋体" w:hAnsi="宋体" w:cs="宋体"/>
          <w:sz w:val="24"/>
        </w:rPr>
        <w:t>℃</w:t>
      </w:r>
      <w:r>
        <w:rPr>
          <w:sz w:val="24"/>
        </w:rPr>
        <w:t>；</w:t>
      </w:r>
    </w:p>
    <w:p>
      <w:pPr>
        <w:spacing w:line="360" w:lineRule="auto"/>
        <w:ind w:firstLine="480" w:firstLineChars="200"/>
        <w:rPr>
          <w:sz w:val="24"/>
        </w:rPr>
      </w:pPr>
      <w:r>
        <w:rPr>
          <w:sz w:val="24"/>
        </w:rPr>
        <w:t>降水：年平均降水量932.9mm，年最大降水量1473.2mm。</w:t>
      </w:r>
    </w:p>
    <w:p>
      <w:pPr>
        <w:spacing w:line="360" w:lineRule="auto"/>
        <w:ind w:firstLine="480" w:firstLineChars="200"/>
        <w:rPr>
          <w:sz w:val="24"/>
        </w:rPr>
      </w:pPr>
      <w:r>
        <w:rPr>
          <w:sz w:val="24"/>
        </w:rPr>
        <w:t>蒸发量：平均年蒸发量1581.11mm。</w:t>
      </w:r>
      <w:r>
        <w:rPr>
          <w:sz w:val="24"/>
        </w:rPr>
        <w:tab/>
      </w:r>
    </w:p>
    <w:p>
      <w:pPr>
        <w:autoSpaceDE w:val="0"/>
        <w:autoSpaceDN w:val="0"/>
        <w:adjustRightInd w:val="0"/>
        <w:spacing w:line="360" w:lineRule="auto"/>
        <w:ind w:firstLine="480" w:firstLineChars="200"/>
        <w:jc w:val="left"/>
        <w:rPr>
          <w:sz w:val="24"/>
        </w:rPr>
      </w:pPr>
      <w:r>
        <w:rPr>
          <w:sz w:val="24"/>
        </w:rPr>
        <w:t>平舆县全年主导风向以北风为主。夏季盛行南风，静风频率也较高，全年平均约为14.5%。平舆县2004年风向频率玫瑰图见图3－1。</w:t>
      </w:r>
    </w:p>
    <w:p>
      <w:pPr>
        <w:autoSpaceDE w:val="0"/>
        <w:autoSpaceDN w:val="0"/>
        <w:adjustRightInd w:val="0"/>
        <w:jc w:val="center"/>
      </w:pPr>
    </w:p>
    <w:p>
      <w:pPr>
        <w:autoSpaceDE w:val="0"/>
        <w:autoSpaceDN w:val="0"/>
        <w:adjustRightInd w:val="0"/>
        <w:jc w:val="center"/>
      </w:pPr>
      <w:r>
        <w:drawing>
          <wp:anchor distT="0" distB="0" distL="114300" distR="114300" simplePos="0" relativeHeight="251720704" behindDoc="0" locked="0" layoutInCell="1" allowOverlap="1">
            <wp:simplePos x="0" y="0"/>
            <wp:positionH relativeFrom="column">
              <wp:posOffset>1231900</wp:posOffset>
            </wp:positionH>
            <wp:positionV relativeFrom="paragraph">
              <wp:posOffset>-2540</wp:posOffset>
            </wp:positionV>
            <wp:extent cx="2526030" cy="2376805"/>
            <wp:effectExtent l="0" t="0" r="0" b="0"/>
            <wp:wrapSquare wrapText="right"/>
            <wp:docPr id="1883" name="Picture 3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pPr>
        <w:autoSpaceDE w:val="0"/>
        <w:autoSpaceDN w:val="0"/>
        <w:adjustRightInd w:val="0"/>
        <w:jc w:val="center"/>
      </w:pPr>
    </w:p>
    <w:p>
      <w:pPr>
        <w:autoSpaceDE w:val="0"/>
        <w:autoSpaceDN w:val="0"/>
        <w:adjustRightInd w:val="0"/>
        <w:jc w:val="center"/>
      </w:pPr>
    </w:p>
    <w:p>
      <w:pPr>
        <w:autoSpaceDE w:val="0"/>
        <w:autoSpaceDN w:val="0"/>
        <w:adjustRightInd w:val="0"/>
        <w:jc w:val="center"/>
      </w:pPr>
    </w:p>
    <w:p>
      <w:pPr>
        <w:autoSpaceDE w:val="0"/>
        <w:autoSpaceDN w:val="0"/>
        <w:adjustRightInd w:val="0"/>
        <w:jc w:val="center"/>
      </w:pPr>
    </w:p>
    <w:p>
      <w:pPr>
        <w:autoSpaceDE w:val="0"/>
        <w:autoSpaceDN w:val="0"/>
        <w:adjustRightInd w:val="0"/>
        <w:jc w:val="center"/>
      </w:pPr>
    </w:p>
    <w:p>
      <w:pPr>
        <w:autoSpaceDE w:val="0"/>
        <w:autoSpaceDN w:val="0"/>
        <w:adjustRightInd w:val="0"/>
        <w:jc w:val="center"/>
      </w:pPr>
    </w:p>
    <w:p>
      <w:pPr>
        <w:autoSpaceDE w:val="0"/>
        <w:autoSpaceDN w:val="0"/>
        <w:adjustRightInd w:val="0"/>
        <w:jc w:val="center"/>
      </w:pPr>
    </w:p>
    <w:p>
      <w:pPr>
        <w:autoSpaceDE w:val="0"/>
        <w:autoSpaceDN w:val="0"/>
        <w:adjustRightInd w:val="0"/>
        <w:jc w:val="center"/>
      </w:pPr>
    </w:p>
    <w:p>
      <w:pPr>
        <w:autoSpaceDE w:val="0"/>
        <w:autoSpaceDN w:val="0"/>
        <w:adjustRightInd w:val="0"/>
        <w:jc w:val="center"/>
      </w:pPr>
    </w:p>
    <w:p>
      <w:pPr>
        <w:autoSpaceDE w:val="0"/>
        <w:autoSpaceDN w:val="0"/>
        <w:adjustRightInd w:val="0"/>
        <w:jc w:val="center"/>
      </w:pPr>
    </w:p>
    <w:p>
      <w:pPr>
        <w:autoSpaceDE w:val="0"/>
        <w:autoSpaceDN w:val="0"/>
        <w:adjustRightInd w:val="0"/>
        <w:jc w:val="center"/>
      </w:pPr>
    </w:p>
    <w:p>
      <w:pPr>
        <w:spacing w:line="324" w:lineRule="auto"/>
        <w:jc w:val="center"/>
        <w:rPr>
          <w:b/>
        </w:rPr>
      </w:pPr>
      <w:r>
        <w:rPr>
          <w:rFonts w:eastAsia="黑体"/>
          <w:b/>
        </w:rPr>
        <w:t>图3－1    平舆县多年风向频率玫瑰图</w:t>
      </w:r>
    </w:p>
    <w:p>
      <w:pPr>
        <w:pStyle w:val="5"/>
        <w:spacing w:before="0" w:after="0" w:line="520" w:lineRule="exact"/>
        <w:rPr>
          <w:rFonts w:eastAsia="黑体"/>
          <w:sz w:val="24"/>
          <w:szCs w:val="24"/>
        </w:rPr>
      </w:pPr>
      <w:r>
        <w:rPr>
          <w:rFonts w:eastAsia="黑体"/>
          <w:sz w:val="24"/>
          <w:szCs w:val="24"/>
        </w:rPr>
        <w:t>3.1.4水文</w:t>
      </w:r>
    </w:p>
    <w:p>
      <w:pPr>
        <w:pStyle w:val="6"/>
        <w:spacing w:before="0" w:after="0" w:line="520" w:lineRule="exact"/>
        <w:rPr>
          <w:rFonts w:hAnsi="Times New Roman" w:eastAsia="宋体"/>
          <w:sz w:val="24"/>
        </w:rPr>
      </w:pPr>
      <w:r>
        <w:rPr>
          <w:rFonts w:hAnsi="Times New Roman" w:eastAsia="宋体"/>
          <w:sz w:val="24"/>
        </w:rPr>
        <w:t>3.1.4.1地表水</w:t>
      </w:r>
    </w:p>
    <w:p>
      <w:pPr>
        <w:spacing w:line="360" w:lineRule="auto"/>
        <w:ind w:firstLine="480" w:firstLineChars="200"/>
        <w:rPr>
          <w:sz w:val="24"/>
        </w:rPr>
      </w:pPr>
      <w:r>
        <w:rPr>
          <w:sz w:val="24"/>
        </w:rPr>
        <w:t>平舆县河流属于淮河流域的洪河、汝河水系，另有小青河从城区流经，两河均由西向东横穿县境。</w:t>
      </w:r>
    </w:p>
    <w:p>
      <w:pPr>
        <w:spacing w:line="360" w:lineRule="auto"/>
        <w:ind w:firstLine="480" w:firstLineChars="200"/>
        <w:rPr>
          <w:sz w:val="24"/>
        </w:rPr>
      </w:pPr>
      <w:r>
        <w:rPr>
          <w:sz w:val="24"/>
        </w:rPr>
        <w:t>洪河经平舆、上蔡两县从后刘乡殷浅村入平舆县境，至新蔡县的三岔口与汝河会合，到豫皖交界处入淮河。洪河在境内流经内流经后刘、射桥、玉皇庙、庙湾、高杨店、东皇庙、杨埠、双庙九个乡，长50.2km，流域面积939km</w:t>
      </w:r>
      <w:r>
        <w:rPr>
          <w:sz w:val="24"/>
          <w:vertAlign w:val="superscript"/>
        </w:rPr>
        <w:t>2</w:t>
      </w:r>
      <w:r>
        <w:rPr>
          <w:sz w:val="24"/>
        </w:rPr>
        <w:t>,占全县总面积的73%，1975年8月10日最大流量为610m</w:t>
      </w:r>
      <w:r>
        <w:rPr>
          <w:sz w:val="24"/>
          <w:vertAlign w:val="superscript"/>
        </w:rPr>
        <w:t>3</w:t>
      </w:r>
      <w:r>
        <w:rPr>
          <w:sz w:val="24"/>
        </w:rPr>
        <w:t>/s,年均过水量5.43亿m</w:t>
      </w:r>
      <w:r>
        <w:rPr>
          <w:sz w:val="24"/>
          <w:vertAlign w:val="superscript"/>
        </w:rPr>
        <w:t>3</w:t>
      </w:r>
      <w:r>
        <w:rPr>
          <w:sz w:val="24"/>
        </w:rPr>
        <w:t>。主要支流有小青河、荆河、南马肠河、北马肠河、东草河(上游称马港)、大黄港、倪港、龙王庙港、陈寺港、小清港、崔房庄港、蔡营港等。</w:t>
      </w:r>
    </w:p>
    <w:p>
      <w:pPr>
        <w:spacing w:line="360" w:lineRule="auto"/>
        <w:ind w:firstLine="480" w:firstLineChars="200"/>
        <w:rPr>
          <w:sz w:val="24"/>
        </w:rPr>
      </w:pPr>
      <w:r>
        <w:rPr>
          <w:sz w:val="24"/>
        </w:rPr>
        <w:t>汝河，古称“汝水”，发源于泌阳县北部的王峰山区，经板桥水库、宿鸭湖水库，从老王岗乡黄湾村入平舆县境。沿老王岗乡、西洋店乡西南部边缘至蛟停湖入新蔡县境。境长20.54km，流域面积290km</w:t>
      </w:r>
      <w:r>
        <w:rPr>
          <w:sz w:val="24"/>
          <w:vertAlign w:val="superscript"/>
        </w:rPr>
        <w:t>2</w:t>
      </w:r>
      <w:r>
        <w:rPr>
          <w:sz w:val="24"/>
        </w:rPr>
        <w:t>。占全县总面积的22.6%。50年代初,最大可能过流量1850m</w:t>
      </w:r>
      <w:r>
        <w:rPr>
          <w:sz w:val="24"/>
          <w:vertAlign w:val="superscript"/>
        </w:rPr>
        <w:t>3</w:t>
      </w:r>
      <w:r>
        <w:rPr>
          <w:sz w:val="24"/>
        </w:rPr>
        <w:t>/s，年平均过水量3.1亿m</w:t>
      </w:r>
      <w:r>
        <w:rPr>
          <w:sz w:val="24"/>
          <w:vertAlign w:val="superscript"/>
        </w:rPr>
        <w:t>3</w:t>
      </w:r>
      <w:r>
        <w:rPr>
          <w:sz w:val="24"/>
        </w:rPr>
        <w:t>。支流有柳港、朱港、方良河、詹港、董港、王港、甘港、黄破港、李港、丁港、王湾港、黄李庄港、黄寨东港、李寨港、刘金店港、张竹园港、郭滩港、肖柳河等。县境内原湖泊较多，今均成坡凹地，主要有跤停湖、天水湖等。泉河为第三大河流,流经杨埠和东和店两个乡镇,流域面积56.3km</w:t>
      </w:r>
      <w:r>
        <w:rPr>
          <w:sz w:val="24"/>
          <w:vertAlign w:val="superscript"/>
        </w:rPr>
        <w:t>2</w:t>
      </w:r>
      <w:r>
        <w:rPr>
          <w:sz w:val="24"/>
        </w:rPr>
        <w:t>。</w:t>
      </w:r>
    </w:p>
    <w:p>
      <w:pPr>
        <w:spacing w:line="360" w:lineRule="auto"/>
        <w:ind w:firstLine="480" w:firstLineChars="200"/>
        <w:rPr>
          <w:sz w:val="24"/>
        </w:rPr>
      </w:pPr>
      <w:r>
        <w:rPr>
          <w:sz w:val="24"/>
        </w:rPr>
        <w:t>平舆县水资源总量为29.247亿m</w:t>
      </w:r>
      <w:r>
        <w:rPr>
          <w:sz w:val="24"/>
          <w:vertAlign w:val="superscript"/>
        </w:rPr>
        <w:t>3</w:t>
      </w:r>
      <w:r>
        <w:rPr>
          <w:sz w:val="24"/>
        </w:rPr>
        <w:t>，其中地表水资源量为12.227亿m</w:t>
      </w:r>
      <w:r>
        <w:rPr>
          <w:sz w:val="24"/>
          <w:vertAlign w:val="superscript"/>
        </w:rPr>
        <w:t>3</w:t>
      </w:r>
      <w:r>
        <w:rPr>
          <w:sz w:val="24"/>
        </w:rPr>
        <w:t>，地下水资源量为17.02亿m</w:t>
      </w:r>
      <w:r>
        <w:rPr>
          <w:sz w:val="24"/>
          <w:vertAlign w:val="superscript"/>
        </w:rPr>
        <w:t>3</w:t>
      </w:r>
      <w:r>
        <w:rPr>
          <w:sz w:val="24"/>
        </w:rPr>
        <w:t>，地表水资源量大部分为过境水量，由于缺乏拦蓄工程和水质污染，可利用量很少，自产地表水可利用量为1.285亿m</w:t>
      </w:r>
      <w:r>
        <w:rPr>
          <w:sz w:val="24"/>
          <w:vertAlign w:val="superscript"/>
        </w:rPr>
        <w:t>3</w:t>
      </w:r>
      <w:r>
        <w:rPr>
          <w:sz w:val="24"/>
        </w:rPr>
        <w:t>；引用外水量由于宿鸭湖水库为年调节水库，加之灌溉设施落后，年均仅有0.687亿m</w:t>
      </w:r>
      <w:r>
        <w:rPr>
          <w:sz w:val="24"/>
          <w:vertAlign w:val="superscript"/>
        </w:rPr>
        <w:t>3</w:t>
      </w:r>
      <w:r>
        <w:rPr>
          <w:sz w:val="24"/>
        </w:rPr>
        <w:t>可用，地下水资源量可利用量为1.8738亿m</w:t>
      </w:r>
      <w:r>
        <w:rPr>
          <w:sz w:val="24"/>
          <w:vertAlign w:val="superscript"/>
        </w:rPr>
        <w:t>3</w:t>
      </w:r>
      <w:r>
        <w:rPr>
          <w:sz w:val="24"/>
        </w:rPr>
        <w:t>，水资源可开发利用量为3.8458亿m</w:t>
      </w:r>
      <w:r>
        <w:rPr>
          <w:sz w:val="24"/>
          <w:vertAlign w:val="superscript"/>
        </w:rPr>
        <w:t>3</w:t>
      </w:r>
      <w:r>
        <w:rPr>
          <w:sz w:val="24"/>
        </w:rPr>
        <w:t>，人均和亩均水资源量在全省处于中等水平。</w:t>
      </w:r>
    </w:p>
    <w:p>
      <w:pPr>
        <w:spacing w:line="360" w:lineRule="auto"/>
        <w:ind w:firstLine="480" w:firstLineChars="200"/>
        <w:rPr>
          <w:sz w:val="24"/>
        </w:rPr>
      </w:pPr>
      <w:r>
        <w:rPr>
          <w:sz w:val="24"/>
        </w:rPr>
        <w:t>项目所在区域地表水体主要为南侧880m处的小洪河。</w:t>
      </w:r>
    </w:p>
    <w:p>
      <w:pPr>
        <w:pStyle w:val="6"/>
        <w:spacing w:before="0" w:after="0" w:line="360" w:lineRule="auto"/>
        <w:rPr>
          <w:rFonts w:hAnsi="Times New Roman" w:eastAsia="宋体"/>
          <w:sz w:val="24"/>
        </w:rPr>
      </w:pPr>
      <w:r>
        <w:rPr>
          <w:rFonts w:hAnsi="Times New Roman" w:eastAsia="宋体"/>
          <w:sz w:val="24"/>
        </w:rPr>
        <w:t>3.1.4.2地下水</w:t>
      </w:r>
    </w:p>
    <w:p>
      <w:pPr>
        <w:spacing w:line="360" w:lineRule="auto"/>
        <w:ind w:firstLine="480" w:firstLineChars="200"/>
        <w:rPr>
          <w:b/>
          <w:sz w:val="24"/>
        </w:rPr>
      </w:pPr>
      <w:r>
        <w:rPr>
          <w:sz w:val="24"/>
        </w:rPr>
        <w:t>平舆县内地下水资源丰富,水质较好，分布均匀，且利于开采利用。全县可开采利用资源总量为30720.3万t/a，现已开采1562.9万t/a，剩余可采资源为15098.12.5万t/a。水质属重碳酸盐淡水，pH值在6.8～7.4之间，没有毒物，且含有丰富的铁、锌、钾、钠等微量元素。</w:t>
      </w:r>
    </w:p>
    <w:p>
      <w:pPr>
        <w:pStyle w:val="6"/>
        <w:spacing w:before="0" w:after="0" w:line="360" w:lineRule="auto"/>
        <w:rPr>
          <w:rFonts w:hAnsi="Times New Roman" w:eastAsia="宋体"/>
          <w:sz w:val="24"/>
        </w:rPr>
      </w:pPr>
      <w:r>
        <w:rPr>
          <w:rFonts w:hAnsi="Times New Roman" w:eastAsia="宋体"/>
          <w:sz w:val="24"/>
        </w:rPr>
        <w:t>3.1.5土壤</w:t>
      </w:r>
    </w:p>
    <w:p>
      <w:pPr>
        <w:spacing w:line="360" w:lineRule="auto"/>
        <w:ind w:firstLine="480" w:firstLineChars="200"/>
        <w:rPr>
          <w:sz w:val="24"/>
        </w:rPr>
      </w:pPr>
      <w:r>
        <w:rPr>
          <w:sz w:val="24"/>
        </w:rPr>
        <w:t>评价区土壤主要是由黄河历代泛滥沉积形成，全区土壤类型为潮土、风沙土两个土类。其中潮土类面积最大，占全区土壤总面积的98.22%。</w:t>
      </w:r>
    </w:p>
    <w:p>
      <w:pPr>
        <w:spacing w:line="360" w:lineRule="auto"/>
        <w:ind w:firstLine="480" w:firstLineChars="200"/>
        <w:rPr>
          <w:sz w:val="24"/>
        </w:rPr>
      </w:pPr>
      <w:r>
        <w:rPr>
          <w:sz w:val="24"/>
        </w:rPr>
        <w:t>评价区内植被主要以人工植被为主，并有落叶阔叶林树种和绿地等。区域内以家养动物为优势种群，生物多样性组成较为简单。</w:t>
      </w:r>
    </w:p>
    <w:p>
      <w:pPr>
        <w:pStyle w:val="6"/>
        <w:spacing w:before="0" w:after="0" w:line="360" w:lineRule="auto"/>
        <w:rPr>
          <w:rFonts w:hAnsi="Times New Roman" w:eastAsia="宋体"/>
          <w:sz w:val="24"/>
        </w:rPr>
      </w:pPr>
      <w:r>
        <w:rPr>
          <w:rFonts w:hAnsi="Times New Roman" w:eastAsia="宋体"/>
          <w:sz w:val="24"/>
        </w:rPr>
        <w:t>3.1.6生态环境</w:t>
      </w:r>
    </w:p>
    <w:p>
      <w:pPr>
        <w:spacing w:line="360" w:lineRule="auto"/>
        <w:ind w:firstLine="480" w:firstLineChars="200"/>
        <w:rPr>
          <w:sz w:val="24"/>
        </w:rPr>
      </w:pPr>
      <w:bookmarkStart w:id="189" w:name="_Toc472009597"/>
      <w:bookmarkStart w:id="190" w:name="_Toc485996381"/>
      <w:r>
        <w:rPr>
          <w:sz w:val="24"/>
        </w:rPr>
        <w:t>平舆县为平原农业地区，植被以农作物为主，兼有少量的道路林。野生动物种</w:t>
      </w:r>
      <w:r>
        <w:rPr>
          <w:spacing w:val="2"/>
          <w:sz w:val="24"/>
        </w:rPr>
        <w:t>类主要有麻雀、喜鹊、斑鸠、鹌鹑、黄鼠狼、野兔、稚鸡、鹰、蛇、鼠类、青蛙、</w:t>
      </w:r>
      <w:r>
        <w:rPr>
          <w:sz w:val="24"/>
        </w:rPr>
        <w:t>刺猬等，生物多样性程度相对较低。</w:t>
      </w:r>
    </w:p>
    <w:p>
      <w:pPr>
        <w:spacing w:line="360" w:lineRule="auto"/>
        <w:ind w:firstLine="480" w:firstLineChars="200"/>
        <w:rPr>
          <w:sz w:val="24"/>
        </w:rPr>
      </w:pPr>
      <w:r>
        <w:rPr>
          <w:sz w:val="24"/>
        </w:rPr>
        <w:t>项目区域植被以农作物为主，主要种植有小麦、玉米、红薯、芝麻、大豆等作物。</w:t>
      </w:r>
    </w:p>
    <w:p>
      <w:pPr>
        <w:spacing w:line="360" w:lineRule="auto"/>
        <w:ind w:firstLine="480" w:firstLineChars="200"/>
        <w:rPr>
          <w:sz w:val="24"/>
        </w:rPr>
      </w:pPr>
      <w:r>
        <w:rPr>
          <w:sz w:val="24"/>
        </w:rPr>
        <w:t>区域内没有珍稀、濒危动物物种，动物以家禽、家畜为主；家禽以鸡、鸭、鹅为主，家畜以猪、牛、羊为主。</w:t>
      </w:r>
    </w:p>
    <w:p>
      <w:pPr>
        <w:snapToGrid w:val="0"/>
        <w:spacing w:line="520" w:lineRule="exact"/>
        <w:outlineLvl w:val="1"/>
        <w:rPr>
          <w:rFonts w:eastAsia="黑体"/>
          <w:bCs/>
          <w:sz w:val="28"/>
          <w:szCs w:val="28"/>
        </w:rPr>
      </w:pPr>
      <w:bookmarkStart w:id="191" w:name="_Toc3019531"/>
      <w:r>
        <w:rPr>
          <w:rFonts w:eastAsia="黑体"/>
          <w:bCs/>
          <w:sz w:val="28"/>
          <w:szCs w:val="28"/>
        </w:rPr>
        <w:t>3.2环境保护目标调查</w:t>
      </w:r>
      <w:bookmarkEnd w:id="189"/>
      <w:bookmarkEnd w:id="190"/>
      <w:bookmarkEnd w:id="191"/>
    </w:p>
    <w:p>
      <w:pPr>
        <w:pStyle w:val="98"/>
        <w:adjustRightInd w:val="0"/>
        <w:snapToGrid w:val="0"/>
        <w:spacing w:line="520" w:lineRule="exact"/>
        <w:ind w:firstLine="480"/>
      </w:pPr>
      <w:r>
        <w:t>根据项目特点，确定以评价范围内的主要居民点为环境保护目标，经过对拟建项目区域的现场踏勘，评价区域内尚未发现重点文物、自然保护区、珍稀护目标，项目周边2.5km范围内的环境保护目标具体见表3</w:t>
      </w:r>
      <w:r>
        <w:rPr>
          <w:rFonts w:hint="eastAsia"/>
        </w:rPr>
        <w:t>.2</w:t>
      </w:r>
      <w:r>
        <w:t>-1。</w:t>
      </w:r>
    </w:p>
    <w:p>
      <w:pPr>
        <w:spacing w:line="520" w:lineRule="exact"/>
        <w:jc w:val="center"/>
        <w:rPr>
          <w:b/>
          <w:sz w:val="24"/>
        </w:rPr>
      </w:pPr>
      <w:r>
        <w:rPr>
          <w:b/>
          <w:sz w:val="24"/>
        </w:rPr>
        <w:t>表3</w:t>
      </w:r>
      <w:r>
        <w:rPr>
          <w:rFonts w:hint="eastAsia"/>
          <w:b/>
          <w:sz w:val="24"/>
        </w:rPr>
        <w:t>.2</w:t>
      </w:r>
      <w:r>
        <w:rPr>
          <w:b/>
          <w:sz w:val="24"/>
        </w:rPr>
        <w:t>-1      环境保护目标一览表</w:t>
      </w:r>
      <w:bookmarkStart w:id="192" w:name="_Toc472009598"/>
      <w:bookmarkStart w:id="193" w:name="_Toc485996382"/>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336"/>
        <w:gridCol w:w="1192"/>
        <w:gridCol w:w="895"/>
        <w:gridCol w:w="893"/>
        <w:gridCol w:w="893"/>
        <w:gridCol w:w="2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57" w:type="dxa"/>
            <w:tcBorders>
              <w:top w:val="single" w:color="auto" w:sz="12" w:space="0"/>
              <w:left w:val="single" w:color="auto" w:sz="12" w:space="0"/>
              <w:bottom w:val="single" w:color="auto" w:sz="4" w:space="0"/>
              <w:right w:val="single" w:color="auto" w:sz="4" w:space="0"/>
            </w:tcBorders>
            <w:vAlign w:val="center"/>
          </w:tcPr>
          <w:p>
            <w:pPr>
              <w:spacing w:line="320" w:lineRule="exact"/>
              <w:jc w:val="center"/>
              <w:rPr>
                <w:szCs w:val="21"/>
              </w:rPr>
            </w:pPr>
            <w:r>
              <w:t>环境要素</w:t>
            </w:r>
          </w:p>
        </w:tc>
        <w:tc>
          <w:tcPr>
            <w:tcW w:w="1336" w:type="dxa"/>
            <w:tcBorders>
              <w:top w:val="single" w:color="auto" w:sz="12" w:space="0"/>
              <w:left w:val="single" w:color="auto" w:sz="4" w:space="0"/>
              <w:bottom w:val="single" w:color="auto" w:sz="4" w:space="0"/>
              <w:right w:val="single" w:color="auto" w:sz="4" w:space="0"/>
            </w:tcBorders>
            <w:vAlign w:val="center"/>
          </w:tcPr>
          <w:p>
            <w:pPr>
              <w:spacing w:line="320" w:lineRule="exact"/>
              <w:jc w:val="center"/>
              <w:rPr>
                <w:szCs w:val="21"/>
              </w:rPr>
            </w:pPr>
            <w:r>
              <w:t>环境保护对象名称</w:t>
            </w:r>
          </w:p>
        </w:tc>
        <w:tc>
          <w:tcPr>
            <w:tcW w:w="1192" w:type="dxa"/>
            <w:tcBorders>
              <w:top w:val="single" w:color="auto" w:sz="12" w:space="0"/>
              <w:left w:val="single" w:color="auto" w:sz="4" w:space="0"/>
              <w:bottom w:val="single" w:color="auto" w:sz="4" w:space="0"/>
              <w:right w:val="single" w:color="auto" w:sz="4" w:space="0"/>
            </w:tcBorders>
            <w:vAlign w:val="center"/>
          </w:tcPr>
          <w:p>
            <w:pPr>
              <w:spacing w:line="320" w:lineRule="exact"/>
              <w:jc w:val="center"/>
              <w:rPr>
                <w:szCs w:val="21"/>
              </w:rPr>
            </w:pPr>
            <w:r>
              <w:t>与养殖场相对方位</w:t>
            </w:r>
          </w:p>
        </w:tc>
        <w:tc>
          <w:tcPr>
            <w:tcW w:w="895" w:type="dxa"/>
            <w:tcBorders>
              <w:top w:val="single" w:color="auto" w:sz="12" w:space="0"/>
              <w:left w:val="single" w:color="auto" w:sz="4" w:space="0"/>
              <w:bottom w:val="single" w:color="auto" w:sz="4" w:space="0"/>
              <w:right w:val="single" w:color="auto" w:sz="4" w:space="0"/>
            </w:tcBorders>
            <w:vAlign w:val="center"/>
          </w:tcPr>
          <w:p>
            <w:pPr>
              <w:spacing w:line="320" w:lineRule="exact"/>
              <w:jc w:val="center"/>
              <w:rPr>
                <w:szCs w:val="21"/>
              </w:rPr>
            </w:pPr>
            <w:r>
              <w:t>距离（m</w:t>
            </w:r>
            <w:r>
              <w:rPr>
                <w:rFonts w:ascii="宋体" w:hAnsi="宋体"/>
              </w:rPr>
              <w:t>）</w:t>
            </w:r>
          </w:p>
        </w:tc>
        <w:tc>
          <w:tcPr>
            <w:tcW w:w="893" w:type="dxa"/>
            <w:tcBorders>
              <w:top w:val="single" w:color="auto" w:sz="12" w:space="0"/>
              <w:left w:val="single" w:color="auto" w:sz="4" w:space="0"/>
              <w:bottom w:val="single" w:color="auto" w:sz="4" w:space="0"/>
              <w:right w:val="single" w:color="auto" w:sz="4" w:space="0"/>
            </w:tcBorders>
            <w:vAlign w:val="center"/>
          </w:tcPr>
          <w:p>
            <w:pPr>
              <w:spacing w:line="320" w:lineRule="exact"/>
              <w:jc w:val="center"/>
              <w:rPr>
                <w:szCs w:val="21"/>
              </w:rPr>
            </w:pPr>
            <w:r>
              <w:t>人口</w:t>
            </w:r>
          </w:p>
        </w:tc>
        <w:tc>
          <w:tcPr>
            <w:tcW w:w="893" w:type="dxa"/>
            <w:tcBorders>
              <w:top w:val="single" w:color="auto" w:sz="12" w:space="0"/>
              <w:left w:val="single" w:color="auto" w:sz="4" w:space="0"/>
              <w:bottom w:val="single" w:color="auto" w:sz="4" w:space="0"/>
              <w:right w:val="single" w:color="auto" w:sz="4" w:space="0"/>
            </w:tcBorders>
            <w:vAlign w:val="center"/>
          </w:tcPr>
          <w:p>
            <w:pPr>
              <w:spacing w:line="320" w:lineRule="exact"/>
              <w:jc w:val="center"/>
              <w:rPr>
                <w:szCs w:val="21"/>
              </w:rPr>
            </w:pPr>
            <w:r>
              <w:t>户数</w:t>
            </w:r>
          </w:p>
        </w:tc>
        <w:tc>
          <w:tcPr>
            <w:tcW w:w="2580" w:type="dxa"/>
            <w:tcBorders>
              <w:top w:val="single" w:color="auto" w:sz="12" w:space="0"/>
              <w:left w:val="single" w:color="auto" w:sz="4" w:space="0"/>
              <w:bottom w:val="single" w:color="auto" w:sz="4" w:space="0"/>
              <w:right w:val="single" w:color="auto" w:sz="12" w:space="0"/>
            </w:tcBorders>
            <w:vAlign w:val="center"/>
          </w:tcPr>
          <w:p>
            <w:pPr>
              <w:spacing w:line="320" w:lineRule="exact"/>
              <w:jc w:val="center"/>
              <w:rPr>
                <w:szCs w:val="21"/>
              </w:rPr>
            </w:pPr>
            <w:r>
              <w:t>环境功能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1157" w:type="dxa"/>
            <w:vMerge w:val="restart"/>
            <w:tcBorders>
              <w:top w:val="single" w:color="auto" w:sz="4" w:space="0"/>
              <w:left w:val="single" w:color="auto" w:sz="12" w:space="0"/>
              <w:bottom w:val="single" w:color="auto" w:sz="4" w:space="0"/>
              <w:right w:val="single" w:color="auto" w:sz="4" w:space="0"/>
            </w:tcBorders>
            <w:vAlign w:val="center"/>
          </w:tcPr>
          <w:p>
            <w:pPr>
              <w:spacing w:line="320" w:lineRule="exact"/>
              <w:jc w:val="center"/>
              <w:rPr>
                <w:szCs w:val="21"/>
              </w:rPr>
            </w:pPr>
            <w:r>
              <w:t>空气环境</w:t>
            </w: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仙翁庙村</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N</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955</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3012</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603</w:t>
            </w:r>
          </w:p>
        </w:tc>
        <w:tc>
          <w:tcPr>
            <w:tcW w:w="2580" w:type="dxa"/>
            <w:vMerge w:val="restart"/>
            <w:tcBorders>
              <w:top w:val="single" w:color="auto" w:sz="4" w:space="0"/>
              <w:left w:val="single" w:color="auto" w:sz="4" w:space="0"/>
              <w:bottom w:val="single" w:color="auto" w:sz="4" w:space="0"/>
              <w:right w:val="single" w:color="auto" w:sz="12" w:space="0"/>
            </w:tcBorders>
            <w:vAlign w:val="center"/>
          </w:tcPr>
          <w:p>
            <w:pPr>
              <w:spacing w:line="320" w:lineRule="exact"/>
              <w:jc w:val="center"/>
              <w:rPr>
                <w:szCs w:val="21"/>
              </w:rPr>
            </w:pPr>
            <w:r>
              <w:t>《环境空气质量标准》（GB3095-2012</w:t>
            </w:r>
            <w:r>
              <w:rPr>
                <w:rFonts w:ascii="宋体" w:hAnsi="宋体"/>
              </w:rPr>
              <w:t>）中二类、</w:t>
            </w:r>
            <w:r>
              <w:rPr>
                <w:rFonts w:hint="eastAsia" w:ascii="宋体" w:hAnsi="宋体"/>
              </w:rPr>
              <w:t>《环境影响评价技术导则 大气环境（HJ2.2-2018）》中附录D</w:t>
            </w:r>
            <w:r>
              <w:rPr>
                <w:rFonts w:ascii="宋体" w:hAnsi="宋体"/>
              </w:rPr>
              <w:t>中居住区大气中有害物质的最高容许浓度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关庄</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NE</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2389</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1056</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211</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史庄寨</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NE</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1966</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956</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192</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3"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邢寨村</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SE</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eastAsia="宋体"/>
                <w:color w:val="000000"/>
                <w:sz w:val="22"/>
                <w:szCs w:val="22"/>
                <w:lang w:eastAsia="zh-CN"/>
              </w:rPr>
            </w:pPr>
            <w:r>
              <w:rPr>
                <w:rFonts w:hint="eastAsia"/>
                <w:color w:val="000000"/>
                <w:kern w:val="0"/>
                <w:lang w:eastAsia="zh-CN"/>
              </w:rPr>
              <w:t>507</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1552</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312</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邢岗村</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SE</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1223</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1568</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315</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南李庄</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SE</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1841</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1072</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212</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徐庄</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SE</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2005</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1260</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256</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后小杨庄</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SE</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2095</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368</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76</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中杨楼</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SE</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1935</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2855</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575</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后刘庄</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S</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1576</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1162</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233</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前邢寨</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S</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1263</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1086</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211</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老任村</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S</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1140</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1521</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298</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小任庄</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S</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1638</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852</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169</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任涂庄</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SW</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2241</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306</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61</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任王庄</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SW</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2265</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408</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82</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任郭庄</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SW</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2029</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667</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132</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前湾</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W</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1966</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628</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125</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后湾</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W</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1876</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452</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87</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大湾村</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W</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2465</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1028</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205</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金刘村</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NW</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1974</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1598</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316</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士陈庄</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NW</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1287</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870</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173</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157"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szCs w:val="21"/>
              </w:rPr>
            </w:pPr>
          </w:p>
        </w:tc>
        <w:tc>
          <w:tcPr>
            <w:tcW w:w="13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rFonts w:hint="eastAsia" w:ascii="宋体" w:hAnsi="宋体"/>
                <w:color w:val="000000"/>
                <w:kern w:val="0"/>
              </w:rPr>
              <w:t>王吕庄寨村</w:t>
            </w:r>
          </w:p>
        </w:tc>
        <w:tc>
          <w:tcPr>
            <w:tcW w:w="11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NW</w:t>
            </w:r>
          </w:p>
        </w:tc>
        <w:tc>
          <w:tcPr>
            <w:tcW w:w="89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2439</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Cs w:val="21"/>
              </w:rPr>
            </w:pPr>
            <w:r>
              <w:rPr>
                <w:color w:val="000000"/>
                <w:kern w:val="0"/>
              </w:rPr>
              <w:t>1495</w:t>
            </w:r>
          </w:p>
        </w:tc>
        <w:tc>
          <w:tcPr>
            <w:tcW w:w="89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000000"/>
                <w:sz w:val="22"/>
                <w:szCs w:val="22"/>
              </w:rPr>
            </w:pPr>
            <w:r>
              <w:rPr>
                <w:color w:val="000000"/>
                <w:kern w:val="0"/>
              </w:rPr>
              <w:t>298</w:t>
            </w:r>
          </w:p>
        </w:tc>
        <w:tc>
          <w:tcPr>
            <w:tcW w:w="2580" w:type="dxa"/>
            <w:vMerge w:val="continue"/>
            <w:tcBorders>
              <w:top w:val="single" w:color="auto" w:sz="4" w:space="0"/>
              <w:left w:val="single" w:color="auto" w:sz="4" w:space="0"/>
              <w:bottom w:val="single" w:color="auto" w:sz="4" w:space="0"/>
              <w:right w:val="single" w:color="auto" w:sz="12" w:space="0"/>
            </w:tcBorders>
            <w:vAlign w:val="center"/>
          </w:tcPr>
          <w:p>
            <w:pPr>
              <w:widowControl/>
              <w:jc w:val="left"/>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1157" w:type="dxa"/>
            <w:tcBorders>
              <w:top w:val="single" w:color="auto" w:sz="4" w:space="0"/>
              <w:left w:val="single" w:color="auto" w:sz="12" w:space="0"/>
              <w:bottom w:val="single" w:color="auto" w:sz="4" w:space="0"/>
              <w:right w:val="single" w:color="auto" w:sz="4" w:space="0"/>
            </w:tcBorders>
            <w:vAlign w:val="center"/>
          </w:tcPr>
          <w:p>
            <w:pPr>
              <w:spacing w:line="320" w:lineRule="exact"/>
              <w:jc w:val="center"/>
              <w:rPr>
                <w:szCs w:val="21"/>
              </w:rPr>
            </w:pPr>
            <w:r>
              <w:t>地表水</w:t>
            </w:r>
          </w:p>
          <w:p>
            <w:pPr>
              <w:spacing w:line="320" w:lineRule="exact"/>
              <w:jc w:val="center"/>
              <w:rPr>
                <w:szCs w:val="21"/>
              </w:rPr>
            </w:pPr>
            <w:r>
              <w:t>环境</w:t>
            </w:r>
          </w:p>
        </w:tc>
        <w:tc>
          <w:tcPr>
            <w:tcW w:w="133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rPr>
              <w:t>大黄港河</w:t>
            </w:r>
          </w:p>
        </w:tc>
        <w:tc>
          <w:tcPr>
            <w:tcW w:w="11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rPr>
              <w:t>W</w:t>
            </w:r>
          </w:p>
        </w:tc>
        <w:tc>
          <w:tcPr>
            <w:tcW w:w="89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rPr>
                <w:rFonts w:hint="eastAsia"/>
              </w:rPr>
              <w:t>583</w:t>
            </w:r>
          </w:p>
        </w:tc>
        <w:tc>
          <w:tcPr>
            <w:tcW w:w="89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t>/</w:t>
            </w:r>
          </w:p>
        </w:tc>
        <w:tc>
          <w:tcPr>
            <w:tcW w:w="89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t>/</w:t>
            </w:r>
          </w:p>
        </w:tc>
        <w:tc>
          <w:tcPr>
            <w:tcW w:w="2580" w:type="dxa"/>
            <w:tcBorders>
              <w:top w:val="single" w:color="auto" w:sz="4" w:space="0"/>
              <w:left w:val="single" w:color="auto" w:sz="4" w:space="0"/>
              <w:bottom w:val="single" w:color="auto" w:sz="4" w:space="0"/>
              <w:right w:val="single" w:color="auto" w:sz="12" w:space="0"/>
            </w:tcBorders>
            <w:vAlign w:val="center"/>
          </w:tcPr>
          <w:p>
            <w:pPr>
              <w:spacing w:line="320" w:lineRule="exact"/>
              <w:jc w:val="center"/>
              <w:rPr>
                <w:szCs w:val="21"/>
              </w:rPr>
            </w:pPr>
            <w:r>
              <w:t>《地表水环境质量标准》（GB3838-2002</w:t>
            </w:r>
            <w:r>
              <w:rPr>
                <w:rFonts w:ascii="宋体" w:hAnsi="宋体"/>
              </w:rPr>
              <w:t>）</w:t>
            </w:r>
            <w:r>
              <w:rPr>
                <w:rFonts w:hint="eastAsia" w:ascii="宋体" w:hAnsi="宋体"/>
              </w:rPr>
              <w:t>Ⅲ</w:t>
            </w:r>
            <w: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1157" w:type="dxa"/>
            <w:tcBorders>
              <w:top w:val="single" w:color="auto" w:sz="4" w:space="0"/>
              <w:left w:val="single" w:color="auto" w:sz="12" w:space="0"/>
              <w:bottom w:val="single" w:color="auto" w:sz="4" w:space="0"/>
              <w:right w:val="single" w:color="auto" w:sz="4" w:space="0"/>
            </w:tcBorders>
            <w:vAlign w:val="center"/>
          </w:tcPr>
          <w:p>
            <w:pPr>
              <w:spacing w:line="320" w:lineRule="exact"/>
              <w:jc w:val="center"/>
              <w:rPr>
                <w:szCs w:val="21"/>
              </w:rPr>
            </w:pPr>
            <w:r>
              <w:t>地下水</w:t>
            </w:r>
          </w:p>
        </w:tc>
        <w:tc>
          <w:tcPr>
            <w:tcW w:w="3423"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t>场区下游村庄地下水、配套沼液消纳地附近村庄地下水</w:t>
            </w:r>
          </w:p>
        </w:tc>
        <w:tc>
          <w:tcPr>
            <w:tcW w:w="89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t>/</w:t>
            </w:r>
          </w:p>
        </w:tc>
        <w:tc>
          <w:tcPr>
            <w:tcW w:w="89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t>/</w:t>
            </w:r>
          </w:p>
        </w:tc>
        <w:tc>
          <w:tcPr>
            <w:tcW w:w="2580" w:type="dxa"/>
            <w:tcBorders>
              <w:top w:val="single" w:color="auto" w:sz="4" w:space="0"/>
              <w:left w:val="single" w:color="auto" w:sz="4" w:space="0"/>
              <w:bottom w:val="single" w:color="auto" w:sz="4" w:space="0"/>
              <w:right w:val="single" w:color="auto" w:sz="12" w:space="0"/>
            </w:tcBorders>
            <w:vAlign w:val="center"/>
          </w:tcPr>
          <w:p>
            <w:pPr>
              <w:spacing w:line="320" w:lineRule="exact"/>
              <w:jc w:val="center"/>
              <w:rPr>
                <w:szCs w:val="21"/>
              </w:rPr>
            </w:pPr>
            <w:r>
              <w:t>《地下水质量标准》（GB/T14848-2017</w:t>
            </w:r>
            <w:r>
              <w:rPr>
                <w:rFonts w:ascii="宋体" w:hAnsi="宋体"/>
              </w:rPr>
              <w:t>）</w:t>
            </w:r>
            <w:r>
              <w:rPr>
                <w:rFonts w:hint="eastAsia" w:ascii="宋体" w:hAnsi="宋体"/>
              </w:rPr>
              <w:t>Ⅲ</w:t>
            </w:r>
            <w: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1157" w:type="dxa"/>
            <w:tcBorders>
              <w:top w:val="single" w:color="auto" w:sz="4" w:space="0"/>
              <w:left w:val="single" w:color="auto" w:sz="12" w:space="0"/>
              <w:bottom w:val="single" w:color="auto" w:sz="4" w:space="0"/>
              <w:right w:val="single" w:color="auto" w:sz="4" w:space="0"/>
            </w:tcBorders>
            <w:vAlign w:val="center"/>
          </w:tcPr>
          <w:p>
            <w:pPr>
              <w:spacing w:line="320" w:lineRule="exact"/>
              <w:jc w:val="center"/>
              <w:rPr>
                <w:szCs w:val="21"/>
              </w:rPr>
            </w:pPr>
            <w:r>
              <w:t>土壤</w:t>
            </w:r>
          </w:p>
        </w:tc>
        <w:tc>
          <w:tcPr>
            <w:tcW w:w="3423"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t>配套沼液消纳地附近土壤环境</w:t>
            </w:r>
          </w:p>
        </w:tc>
        <w:tc>
          <w:tcPr>
            <w:tcW w:w="89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t>/</w:t>
            </w:r>
          </w:p>
        </w:tc>
        <w:tc>
          <w:tcPr>
            <w:tcW w:w="89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Cs w:val="21"/>
              </w:rPr>
            </w:pPr>
            <w:r>
              <w:t>/</w:t>
            </w:r>
          </w:p>
        </w:tc>
        <w:tc>
          <w:tcPr>
            <w:tcW w:w="2580" w:type="dxa"/>
            <w:tcBorders>
              <w:top w:val="single" w:color="auto" w:sz="4" w:space="0"/>
              <w:left w:val="single" w:color="auto" w:sz="4" w:space="0"/>
              <w:bottom w:val="single" w:color="auto" w:sz="4" w:space="0"/>
              <w:right w:val="single" w:color="auto" w:sz="12" w:space="0"/>
            </w:tcBorders>
            <w:vAlign w:val="center"/>
          </w:tcPr>
          <w:p>
            <w:pPr>
              <w:spacing w:line="320" w:lineRule="exact"/>
              <w:jc w:val="center"/>
              <w:rPr>
                <w:szCs w:val="21"/>
              </w:rPr>
            </w:pPr>
            <w:r>
              <w:t>《土壤环境质量农用地土壤污染风险管控标准》（GB15618-2018</w:t>
            </w:r>
            <w:r>
              <w:rPr>
                <w:rFonts w:ascii="宋体" w:hAnsi="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1157" w:type="dxa"/>
            <w:tcBorders>
              <w:top w:val="single" w:color="auto" w:sz="4" w:space="0"/>
              <w:left w:val="single" w:color="auto" w:sz="12" w:space="0"/>
              <w:bottom w:val="single" w:color="auto" w:sz="12" w:space="0"/>
              <w:right w:val="single" w:color="auto" w:sz="4" w:space="0"/>
            </w:tcBorders>
            <w:vAlign w:val="center"/>
          </w:tcPr>
          <w:p>
            <w:pPr>
              <w:spacing w:line="320" w:lineRule="exact"/>
              <w:jc w:val="center"/>
              <w:rPr>
                <w:szCs w:val="21"/>
              </w:rPr>
            </w:pPr>
            <w:r>
              <w:t>噪声</w:t>
            </w:r>
          </w:p>
        </w:tc>
        <w:tc>
          <w:tcPr>
            <w:tcW w:w="3423" w:type="dxa"/>
            <w:gridSpan w:val="3"/>
            <w:tcBorders>
              <w:top w:val="single" w:color="auto" w:sz="4" w:space="0"/>
              <w:left w:val="single" w:color="auto" w:sz="4" w:space="0"/>
              <w:bottom w:val="single" w:color="auto" w:sz="12" w:space="0"/>
              <w:right w:val="single" w:color="auto" w:sz="4" w:space="0"/>
            </w:tcBorders>
            <w:vAlign w:val="center"/>
          </w:tcPr>
          <w:p>
            <w:pPr>
              <w:spacing w:line="320" w:lineRule="exact"/>
              <w:jc w:val="center"/>
              <w:rPr>
                <w:szCs w:val="21"/>
              </w:rPr>
            </w:pPr>
            <w:r>
              <w:t>场区四周场界</w:t>
            </w:r>
          </w:p>
        </w:tc>
        <w:tc>
          <w:tcPr>
            <w:tcW w:w="893"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szCs w:val="21"/>
              </w:rPr>
            </w:pPr>
            <w:r>
              <w:t>/</w:t>
            </w:r>
          </w:p>
        </w:tc>
        <w:tc>
          <w:tcPr>
            <w:tcW w:w="893"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szCs w:val="21"/>
              </w:rPr>
            </w:pPr>
            <w:r>
              <w:t>/</w:t>
            </w:r>
          </w:p>
        </w:tc>
        <w:tc>
          <w:tcPr>
            <w:tcW w:w="2580" w:type="dxa"/>
            <w:tcBorders>
              <w:top w:val="single" w:color="auto" w:sz="4" w:space="0"/>
              <w:left w:val="single" w:color="auto" w:sz="4" w:space="0"/>
              <w:bottom w:val="single" w:color="auto" w:sz="12" w:space="0"/>
              <w:right w:val="single" w:color="auto" w:sz="12" w:space="0"/>
            </w:tcBorders>
            <w:vAlign w:val="center"/>
          </w:tcPr>
          <w:p>
            <w:pPr>
              <w:spacing w:line="320" w:lineRule="exact"/>
              <w:jc w:val="center"/>
              <w:rPr>
                <w:szCs w:val="21"/>
              </w:rPr>
            </w:pPr>
            <w:r>
              <w:t>《声环境质量标准》（GB3096-2008</w:t>
            </w:r>
            <w:r>
              <w:rPr>
                <w:rFonts w:ascii="宋体" w:hAnsi="宋体"/>
              </w:rPr>
              <w:t>）</w:t>
            </w:r>
            <w:r>
              <w:t>2</w:t>
            </w:r>
            <w:r>
              <w:rPr>
                <w:rFonts w:ascii="宋体" w:hAnsi="宋体"/>
              </w:rPr>
              <w:t>类</w:t>
            </w:r>
          </w:p>
        </w:tc>
      </w:tr>
    </w:tbl>
    <w:p>
      <w:pPr>
        <w:snapToGrid w:val="0"/>
        <w:spacing w:line="520" w:lineRule="exact"/>
        <w:outlineLvl w:val="1"/>
        <w:rPr>
          <w:rFonts w:eastAsia="黑体"/>
          <w:bCs/>
          <w:sz w:val="28"/>
          <w:szCs w:val="28"/>
        </w:rPr>
      </w:pPr>
      <w:bookmarkStart w:id="194" w:name="_Toc3019532"/>
      <w:r>
        <w:rPr>
          <w:rFonts w:eastAsia="黑体"/>
          <w:bCs/>
          <w:sz w:val="28"/>
          <w:szCs w:val="28"/>
        </w:rPr>
        <w:t>3.3现状监测</w:t>
      </w:r>
      <w:bookmarkEnd w:id="192"/>
      <w:bookmarkEnd w:id="193"/>
      <w:bookmarkEnd w:id="194"/>
    </w:p>
    <w:p>
      <w:pPr>
        <w:pStyle w:val="5"/>
        <w:spacing w:before="0" w:after="0" w:line="520" w:lineRule="exact"/>
        <w:rPr>
          <w:rFonts w:eastAsia="黑体"/>
          <w:color w:val="000000" w:themeColor="text1"/>
          <w:sz w:val="24"/>
          <w:szCs w:val="24"/>
        </w:rPr>
      </w:pPr>
      <w:bookmarkStart w:id="195" w:name="_Toc413829628"/>
      <w:bookmarkStart w:id="196" w:name="_Toc406662995"/>
      <w:bookmarkStart w:id="197" w:name="_Toc468366612"/>
      <w:r>
        <w:rPr>
          <w:rFonts w:eastAsia="黑体"/>
          <w:color w:val="000000" w:themeColor="text1"/>
          <w:sz w:val="24"/>
          <w:szCs w:val="24"/>
        </w:rPr>
        <w:t>3.3.1环境空气质量现状监测与评价</w:t>
      </w:r>
      <w:bookmarkEnd w:id="195"/>
      <w:bookmarkEnd w:id="196"/>
      <w:bookmarkEnd w:id="197"/>
    </w:p>
    <w:p>
      <w:pPr>
        <w:spacing w:line="500" w:lineRule="exact"/>
        <w:rPr>
          <w:color w:val="000000" w:themeColor="text1"/>
          <w:sz w:val="24"/>
        </w:rPr>
      </w:pPr>
      <w:bookmarkStart w:id="198" w:name="_Toc413829629"/>
      <w:bookmarkStart w:id="199" w:name="_Toc406662996"/>
      <w:r>
        <w:rPr>
          <w:color w:val="000000" w:themeColor="text1"/>
          <w:sz w:val="24"/>
        </w:rPr>
        <w:t>3.3.1.1监测点布设</w:t>
      </w:r>
      <w:bookmarkEnd w:id="198"/>
      <w:bookmarkEnd w:id="199"/>
    </w:p>
    <w:p>
      <w:pPr>
        <w:adjustRightInd w:val="0"/>
        <w:snapToGrid w:val="0"/>
        <w:spacing w:line="500" w:lineRule="exact"/>
        <w:ind w:firstLine="480" w:firstLineChars="200"/>
        <w:rPr>
          <w:color w:val="000000"/>
          <w:kern w:val="0"/>
          <w:sz w:val="24"/>
        </w:rPr>
      </w:pPr>
      <w:bookmarkStart w:id="200" w:name="_Toc406662997"/>
      <w:bookmarkStart w:id="201" w:name="_Toc413829630"/>
      <w:r>
        <w:rPr>
          <w:rFonts w:ascii="宋体" w:hAnsi="宋体"/>
          <w:color w:val="000000"/>
          <w:sz w:val="24"/>
        </w:rPr>
        <w:t>项目位于</w:t>
      </w:r>
      <w:r>
        <w:rPr>
          <w:rFonts w:hint="eastAsia" w:ascii="宋体" w:hAnsi="宋体"/>
          <w:color w:val="000000"/>
          <w:sz w:val="24"/>
        </w:rPr>
        <w:t>东和店镇邢岗村</w:t>
      </w:r>
      <w:r>
        <w:rPr>
          <w:rFonts w:ascii="宋体" w:hAnsi="宋体"/>
          <w:color w:val="000000"/>
          <w:sz w:val="24"/>
        </w:rPr>
        <w:t>，根据当地气象条件、评价级别及区域环境特征，环境空气现状监测点位共布设</w:t>
      </w:r>
      <w:r>
        <w:rPr>
          <w:color w:val="000000"/>
          <w:sz w:val="24"/>
        </w:rPr>
        <w:t>3</w:t>
      </w:r>
      <w:r>
        <w:rPr>
          <w:rFonts w:ascii="宋体" w:hAnsi="宋体"/>
          <w:color w:val="000000"/>
          <w:sz w:val="24"/>
        </w:rPr>
        <w:t>个。详见表</w:t>
      </w:r>
      <w:r>
        <w:rPr>
          <w:color w:val="000000"/>
          <w:sz w:val="24"/>
        </w:rPr>
        <w:t>3</w:t>
      </w:r>
      <w:r>
        <w:rPr>
          <w:rFonts w:hint="eastAsia"/>
          <w:color w:val="000000"/>
          <w:sz w:val="24"/>
        </w:rPr>
        <w:t>.3</w:t>
      </w:r>
      <w:r>
        <w:rPr>
          <w:color w:val="000000"/>
          <w:sz w:val="24"/>
        </w:rPr>
        <w:t>-</w:t>
      </w:r>
      <w:r>
        <w:rPr>
          <w:rFonts w:hint="eastAsia"/>
          <w:color w:val="000000"/>
          <w:sz w:val="24"/>
        </w:rPr>
        <w:t>1</w:t>
      </w:r>
      <w:r>
        <w:rPr>
          <w:rFonts w:ascii="宋体" w:hAnsi="宋体"/>
          <w:color w:val="000000"/>
          <w:sz w:val="24"/>
        </w:rPr>
        <w:t>和和附图五。</w:t>
      </w:r>
    </w:p>
    <w:p>
      <w:pPr>
        <w:spacing w:line="500" w:lineRule="exact"/>
        <w:jc w:val="center"/>
        <w:rPr>
          <w:b/>
          <w:bCs/>
          <w:color w:val="000000"/>
          <w:sz w:val="24"/>
        </w:rPr>
      </w:pPr>
      <w:r>
        <w:rPr>
          <w:rFonts w:ascii="宋体" w:hAnsi="宋体"/>
          <w:b/>
          <w:bCs/>
          <w:color w:val="000000"/>
          <w:sz w:val="24"/>
        </w:rPr>
        <w:t>表</w:t>
      </w:r>
      <w:r>
        <w:rPr>
          <w:b/>
          <w:bCs/>
          <w:color w:val="000000"/>
          <w:sz w:val="24"/>
        </w:rPr>
        <w:t>3</w:t>
      </w:r>
      <w:r>
        <w:rPr>
          <w:rFonts w:hint="eastAsia"/>
          <w:b/>
          <w:bCs/>
          <w:color w:val="000000"/>
          <w:sz w:val="24"/>
        </w:rPr>
        <w:t>.3-1</w:t>
      </w:r>
      <w:r>
        <w:rPr>
          <w:rFonts w:ascii="宋体" w:hAnsi="宋体"/>
          <w:b/>
          <w:bCs/>
          <w:color w:val="000000"/>
          <w:sz w:val="24"/>
        </w:rPr>
        <w:t>环境空气现状监测点位布设一览表</w:t>
      </w:r>
    </w:p>
    <w:tbl>
      <w:tblPr>
        <w:tblStyle w:val="44"/>
        <w:tblW w:w="85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546"/>
        <w:gridCol w:w="1066"/>
        <w:gridCol w:w="1583"/>
        <w:gridCol w:w="1410"/>
        <w:gridCol w:w="21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37" w:type="dxa"/>
            <w:tcBorders>
              <w:top w:val="single" w:color="auto" w:sz="12" w:space="0"/>
              <w:left w:val="single" w:color="auto" w:sz="12" w:space="0"/>
              <w:bottom w:val="single" w:color="auto" w:sz="4" w:space="0"/>
              <w:right w:val="single" w:color="auto" w:sz="4" w:space="0"/>
            </w:tcBorders>
            <w:vAlign w:val="center"/>
          </w:tcPr>
          <w:p>
            <w:pPr>
              <w:spacing w:line="320" w:lineRule="exact"/>
              <w:jc w:val="center"/>
              <w:rPr>
                <w:color w:val="000000"/>
                <w:szCs w:val="21"/>
              </w:rPr>
            </w:pPr>
            <w:r>
              <w:rPr>
                <w:color w:val="000000"/>
              </w:rPr>
              <w:t>点号</w:t>
            </w:r>
          </w:p>
        </w:tc>
        <w:tc>
          <w:tcPr>
            <w:tcW w:w="1546" w:type="dxa"/>
            <w:tcBorders>
              <w:top w:val="single" w:color="auto" w:sz="12" w:space="0"/>
              <w:left w:val="nil"/>
              <w:bottom w:val="single" w:color="auto" w:sz="4" w:space="0"/>
              <w:right w:val="single" w:color="auto" w:sz="4" w:space="0"/>
            </w:tcBorders>
            <w:vAlign w:val="center"/>
          </w:tcPr>
          <w:p>
            <w:pPr>
              <w:spacing w:line="320" w:lineRule="exact"/>
              <w:jc w:val="center"/>
              <w:rPr>
                <w:color w:val="000000"/>
                <w:szCs w:val="21"/>
              </w:rPr>
            </w:pPr>
            <w:r>
              <w:rPr>
                <w:color w:val="000000"/>
              </w:rPr>
              <w:t>监测点名称</w:t>
            </w:r>
          </w:p>
        </w:tc>
        <w:tc>
          <w:tcPr>
            <w:tcW w:w="1066" w:type="dxa"/>
            <w:tcBorders>
              <w:top w:val="single" w:color="auto" w:sz="12" w:space="0"/>
              <w:left w:val="nil"/>
              <w:bottom w:val="single" w:color="auto" w:sz="4" w:space="0"/>
              <w:right w:val="single" w:color="auto" w:sz="4" w:space="0"/>
            </w:tcBorders>
            <w:vAlign w:val="center"/>
          </w:tcPr>
          <w:p>
            <w:pPr>
              <w:spacing w:line="320" w:lineRule="exact"/>
              <w:jc w:val="center"/>
              <w:rPr>
                <w:color w:val="000000"/>
                <w:szCs w:val="21"/>
              </w:rPr>
            </w:pPr>
            <w:r>
              <w:rPr>
                <w:color w:val="000000"/>
              </w:rPr>
              <w:t>有效日数</w:t>
            </w:r>
          </w:p>
        </w:tc>
        <w:tc>
          <w:tcPr>
            <w:tcW w:w="1583" w:type="dxa"/>
            <w:tcBorders>
              <w:top w:val="single" w:color="auto" w:sz="12" w:space="0"/>
              <w:left w:val="nil"/>
              <w:bottom w:val="single" w:color="auto" w:sz="4" w:space="0"/>
              <w:right w:val="single" w:color="auto" w:sz="4" w:space="0"/>
            </w:tcBorders>
            <w:vAlign w:val="center"/>
          </w:tcPr>
          <w:p>
            <w:pPr>
              <w:spacing w:line="320" w:lineRule="exact"/>
              <w:jc w:val="center"/>
              <w:rPr>
                <w:color w:val="000000"/>
                <w:szCs w:val="21"/>
              </w:rPr>
            </w:pPr>
            <w:r>
              <w:rPr>
                <w:color w:val="000000"/>
              </w:rPr>
              <w:t>布设目的</w:t>
            </w:r>
          </w:p>
        </w:tc>
        <w:tc>
          <w:tcPr>
            <w:tcW w:w="1410" w:type="dxa"/>
            <w:tcBorders>
              <w:top w:val="single" w:color="auto" w:sz="12" w:space="0"/>
              <w:left w:val="nil"/>
              <w:bottom w:val="single" w:color="auto" w:sz="4" w:space="0"/>
              <w:right w:val="single" w:color="auto" w:sz="4" w:space="0"/>
            </w:tcBorders>
            <w:vAlign w:val="center"/>
          </w:tcPr>
          <w:p>
            <w:pPr>
              <w:spacing w:line="320" w:lineRule="exact"/>
              <w:jc w:val="center"/>
              <w:rPr>
                <w:color w:val="000000"/>
                <w:szCs w:val="21"/>
              </w:rPr>
            </w:pPr>
            <w:r>
              <w:rPr>
                <w:color w:val="000000"/>
              </w:rPr>
              <w:t>距场区方位</w:t>
            </w:r>
          </w:p>
        </w:tc>
        <w:tc>
          <w:tcPr>
            <w:tcW w:w="2129" w:type="dxa"/>
            <w:tcBorders>
              <w:top w:val="single" w:color="auto" w:sz="12" w:space="0"/>
              <w:left w:val="nil"/>
              <w:bottom w:val="single" w:color="auto" w:sz="4" w:space="0"/>
              <w:right w:val="single" w:color="auto" w:sz="12" w:space="0"/>
            </w:tcBorders>
            <w:vAlign w:val="center"/>
          </w:tcPr>
          <w:p>
            <w:pPr>
              <w:spacing w:line="320" w:lineRule="exact"/>
              <w:jc w:val="center"/>
              <w:rPr>
                <w:color w:val="000000"/>
                <w:szCs w:val="21"/>
              </w:rPr>
            </w:pPr>
            <w:r>
              <w:rPr>
                <w:color w:val="000000"/>
              </w:rPr>
              <w:t>距场区距离（m</w:t>
            </w:r>
            <w:r>
              <w:rPr>
                <w:rFonts w:ascii="宋体" w:hAnsi="宋体"/>
                <w:color w:val="00000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37" w:type="dxa"/>
            <w:tcBorders>
              <w:top w:val="single" w:color="auto" w:sz="4" w:space="0"/>
              <w:left w:val="single" w:color="auto" w:sz="12" w:space="0"/>
              <w:bottom w:val="single" w:color="auto" w:sz="4" w:space="0"/>
              <w:right w:val="single" w:color="auto" w:sz="4" w:space="0"/>
            </w:tcBorders>
            <w:vAlign w:val="center"/>
          </w:tcPr>
          <w:p>
            <w:pPr>
              <w:spacing w:line="320" w:lineRule="exact"/>
              <w:jc w:val="center"/>
              <w:rPr>
                <w:color w:val="000000"/>
                <w:szCs w:val="21"/>
              </w:rPr>
            </w:pPr>
            <w:r>
              <w:rPr>
                <w:color w:val="000000"/>
              </w:rPr>
              <w:t>1</w:t>
            </w:r>
          </w:p>
        </w:tc>
        <w:tc>
          <w:tcPr>
            <w:tcW w:w="1546" w:type="dxa"/>
            <w:tcBorders>
              <w:top w:val="single" w:color="auto" w:sz="4" w:space="0"/>
              <w:left w:val="nil"/>
              <w:bottom w:val="single" w:color="auto" w:sz="4" w:space="0"/>
              <w:right w:val="single" w:color="auto" w:sz="4" w:space="0"/>
            </w:tcBorders>
            <w:vAlign w:val="center"/>
          </w:tcPr>
          <w:p>
            <w:pPr>
              <w:spacing w:line="360" w:lineRule="exact"/>
              <w:jc w:val="center"/>
              <w:rPr>
                <w:szCs w:val="21"/>
              </w:rPr>
            </w:pPr>
            <w:r>
              <w:rPr>
                <w:rFonts w:hint="eastAsia"/>
              </w:rPr>
              <w:t>仙翁庙村</w:t>
            </w:r>
          </w:p>
        </w:tc>
        <w:tc>
          <w:tcPr>
            <w:tcW w:w="1066" w:type="dxa"/>
            <w:tcBorders>
              <w:top w:val="single" w:color="auto" w:sz="4" w:space="0"/>
              <w:left w:val="nil"/>
              <w:bottom w:val="single" w:color="auto" w:sz="4" w:space="0"/>
              <w:right w:val="single" w:color="auto" w:sz="4" w:space="0"/>
            </w:tcBorders>
            <w:vAlign w:val="center"/>
          </w:tcPr>
          <w:p>
            <w:pPr>
              <w:spacing w:line="320" w:lineRule="exact"/>
              <w:jc w:val="center"/>
              <w:rPr>
                <w:color w:val="000000"/>
                <w:szCs w:val="21"/>
              </w:rPr>
            </w:pPr>
            <w:r>
              <w:rPr>
                <w:color w:val="000000"/>
              </w:rPr>
              <w:t>7</w:t>
            </w:r>
          </w:p>
        </w:tc>
        <w:tc>
          <w:tcPr>
            <w:tcW w:w="1583" w:type="dxa"/>
            <w:tcBorders>
              <w:top w:val="single" w:color="auto" w:sz="4" w:space="0"/>
              <w:left w:val="nil"/>
              <w:bottom w:val="single" w:color="auto" w:sz="4" w:space="0"/>
              <w:right w:val="single" w:color="auto" w:sz="4" w:space="0"/>
            </w:tcBorders>
            <w:vAlign w:val="center"/>
          </w:tcPr>
          <w:p>
            <w:pPr>
              <w:spacing w:line="320" w:lineRule="exact"/>
              <w:jc w:val="center"/>
              <w:rPr>
                <w:color w:val="000000"/>
                <w:szCs w:val="21"/>
              </w:rPr>
            </w:pPr>
            <w:r>
              <w:rPr>
                <w:color w:val="000000"/>
              </w:rPr>
              <w:t>敏感点</w:t>
            </w:r>
          </w:p>
        </w:tc>
        <w:tc>
          <w:tcPr>
            <w:tcW w:w="1410" w:type="dxa"/>
            <w:tcBorders>
              <w:top w:val="single" w:color="auto" w:sz="4" w:space="0"/>
              <w:left w:val="nil"/>
              <w:bottom w:val="single" w:color="auto" w:sz="4" w:space="0"/>
              <w:right w:val="single" w:color="auto" w:sz="4" w:space="0"/>
            </w:tcBorders>
            <w:vAlign w:val="center"/>
          </w:tcPr>
          <w:p>
            <w:pPr>
              <w:jc w:val="center"/>
              <w:rPr>
                <w:color w:val="000000"/>
                <w:szCs w:val="21"/>
              </w:rPr>
            </w:pPr>
            <w:r>
              <w:rPr>
                <w:color w:val="000000"/>
              </w:rPr>
              <w:t>N</w:t>
            </w:r>
          </w:p>
        </w:tc>
        <w:tc>
          <w:tcPr>
            <w:tcW w:w="2129" w:type="dxa"/>
            <w:tcBorders>
              <w:top w:val="single" w:color="auto" w:sz="4" w:space="0"/>
              <w:left w:val="nil"/>
              <w:bottom w:val="single" w:color="auto" w:sz="4" w:space="0"/>
              <w:right w:val="single" w:color="auto" w:sz="12" w:space="0"/>
            </w:tcBorders>
            <w:vAlign w:val="center"/>
          </w:tcPr>
          <w:p>
            <w:pPr>
              <w:jc w:val="center"/>
              <w:rPr>
                <w:color w:val="000000"/>
                <w:szCs w:val="21"/>
              </w:rPr>
            </w:pPr>
            <w:r>
              <w:rPr>
                <w:rFonts w:hint="eastAsia"/>
                <w:color w:val="000000"/>
                <w:kern w:val="0"/>
              </w:rPr>
              <w:t>955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37" w:type="dxa"/>
            <w:tcBorders>
              <w:top w:val="single" w:color="auto" w:sz="4" w:space="0"/>
              <w:left w:val="single" w:color="auto" w:sz="12" w:space="0"/>
              <w:bottom w:val="single" w:color="auto" w:sz="4" w:space="0"/>
              <w:right w:val="single" w:color="auto" w:sz="4" w:space="0"/>
            </w:tcBorders>
            <w:vAlign w:val="center"/>
          </w:tcPr>
          <w:p>
            <w:pPr>
              <w:spacing w:line="320" w:lineRule="exact"/>
              <w:jc w:val="center"/>
              <w:rPr>
                <w:color w:val="000000"/>
                <w:szCs w:val="21"/>
              </w:rPr>
            </w:pPr>
            <w:r>
              <w:rPr>
                <w:color w:val="000000"/>
              </w:rPr>
              <w:t>2</w:t>
            </w:r>
          </w:p>
        </w:tc>
        <w:tc>
          <w:tcPr>
            <w:tcW w:w="1546" w:type="dxa"/>
            <w:tcBorders>
              <w:top w:val="single" w:color="auto" w:sz="4" w:space="0"/>
              <w:left w:val="nil"/>
              <w:bottom w:val="single" w:color="auto" w:sz="4" w:space="0"/>
              <w:right w:val="single" w:color="auto" w:sz="4" w:space="0"/>
            </w:tcBorders>
            <w:vAlign w:val="center"/>
          </w:tcPr>
          <w:p>
            <w:pPr>
              <w:spacing w:line="360" w:lineRule="exact"/>
              <w:jc w:val="center"/>
              <w:rPr>
                <w:szCs w:val="21"/>
              </w:rPr>
            </w:pPr>
            <w:r>
              <w:rPr>
                <w:rFonts w:hint="eastAsia"/>
              </w:rPr>
              <w:t>老任庄村</w:t>
            </w:r>
          </w:p>
        </w:tc>
        <w:tc>
          <w:tcPr>
            <w:tcW w:w="1066" w:type="dxa"/>
            <w:tcBorders>
              <w:top w:val="single" w:color="auto" w:sz="4" w:space="0"/>
              <w:left w:val="nil"/>
              <w:bottom w:val="single" w:color="auto" w:sz="4" w:space="0"/>
              <w:right w:val="single" w:color="auto" w:sz="4" w:space="0"/>
            </w:tcBorders>
            <w:vAlign w:val="center"/>
          </w:tcPr>
          <w:p>
            <w:pPr>
              <w:spacing w:line="320" w:lineRule="exact"/>
              <w:jc w:val="center"/>
              <w:rPr>
                <w:color w:val="000000"/>
                <w:szCs w:val="21"/>
              </w:rPr>
            </w:pPr>
            <w:r>
              <w:rPr>
                <w:color w:val="000000"/>
              </w:rPr>
              <w:t>7</w:t>
            </w:r>
          </w:p>
        </w:tc>
        <w:tc>
          <w:tcPr>
            <w:tcW w:w="1583" w:type="dxa"/>
            <w:tcBorders>
              <w:top w:val="single" w:color="auto" w:sz="4" w:space="0"/>
              <w:left w:val="nil"/>
              <w:bottom w:val="single" w:color="auto" w:sz="4" w:space="0"/>
              <w:right w:val="single" w:color="auto" w:sz="4" w:space="0"/>
            </w:tcBorders>
            <w:vAlign w:val="center"/>
          </w:tcPr>
          <w:p>
            <w:pPr>
              <w:spacing w:line="320" w:lineRule="exact"/>
              <w:jc w:val="center"/>
              <w:rPr>
                <w:color w:val="000000"/>
                <w:szCs w:val="21"/>
              </w:rPr>
            </w:pPr>
            <w:r>
              <w:rPr>
                <w:color w:val="000000"/>
              </w:rPr>
              <w:t>敏感点</w:t>
            </w:r>
          </w:p>
        </w:tc>
        <w:tc>
          <w:tcPr>
            <w:tcW w:w="1410" w:type="dxa"/>
            <w:tcBorders>
              <w:top w:val="single" w:color="auto" w:sz="4" w:space="0"/>
              <w:left w:val="nil"/>
              <w:bottom w:val="single" w:color="auto" w:sz="4" w:space="0"/>
              <w:right w:val="single" w:color="auto" w:sz="4" w:space="0"/>
            </w:tcBorders>
            <w:vAlign w:val="center"/>
          </w:tcPr>
          <w:p>
            <w:pPr>
              <w:widowControl/>
              <w:jc w:val="center"/>
              <w:textAlignment w:val="center"/>
              <w:rPr>
                <w:color w:val="000000"/>
                <w:szCs w:val="21"/>
              </w:rPr>
            </w:pPr>
            <w:r>
              <w:rPr>
                <w:color w:val="000000"/>
                <w:kern w:val="0"/>
              </w:rPr>
              <w:t>S</w:t>
            </w:r>
          </w:p>
        </w:tc>
        <w:tc>
          <w:tcPr>
            <w:tcW w:w="2129" w:type="dxa"/>
            <w:tcBorders>
              <w:top w:val="single" w:color="auto" w:sz="4" w:space="0"/>
              <w:left w:val="nil"/>
              <w:bottom w:val="single" w:color="auto" w:sz="4" w:space="0"/>
              <w:right w:val="single" w:color="auto" w:sz="12" w:space="0"/>
            </w:tcBorders>
            <w:vAlign w:val="center"/>
          </w:tcPr>
          <w:p>
            <w:pPr>
              <w:widowControl/>
              <w:jc w:val="center"/>
              <w:textAlignment w:val="center"/>
              <w:rPr>
                <w:color w:val="000000"/>
                <w:szCs w:val="21"/>
              </w:rPr>
            </w:pPr>
            <w:r>
              <w:rPr>
                <w:rFonts w:hint="eastAsia"/>
                <w:color w:val="000000"/>
                <w:kern w:val="0"/>
              </w:rPr>
              <w:t>1140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37" w:type="dxa"/>
            <w:tcBorders>
              <w:top w:val="single" w:color="auto" w:sz="4" w:space="0"/>
              <w:left w:val="single" w:color="auto" w:sz="12" w:space="0"/>
              <w:bottom w:val="single" w:color="auto" w:sz="4" w:space="0"/>
              <w:right w:val="single" w:color="auto" w:sz="4" w:space="0"/>
            </w:tcBorders>
            <w:vAlign w:val="center"/>
          </w:tcPr>
          <w:p>
            <w:pPr>
              <w:spacing w:line="320" w:lineRule="exact"/>
              <w:jc w:val="center"/>
              <w:rPr>
                <w:color w:val="000000"/>
                <w:szCs w:val="21"/>
              </w:rPr>
            </w:pPr>
            <w:r>
              <w:rPr>
                <w:color w:val="000000"/>
              </w:rPr>
              <w:t>3</w:t>
            </w:r>
          </w:p>
        </w:tc>
        <w:tc>
          <w:tcPr>
            <w:tcW w:w="1546" w:type="dxa"/>
            <w:tcBorders>
              <w:top w:val="single" w:color="auto" w:sz="4" w:space="0"/>
              <w:left w:val="nil"/>
              <w:bottom w:val="single" w:color="auto" w:sz="4" w:space="0"/>
              <w:right w:val="single" w:color="auto" w:sz="4" w:space="0"/>
            </w:tcBorders>
            <w:vAlign w:val="center"/>
          </w:tcPr>
          <w:p>
            <w:pPr>
              <w:spacing w:line="360" w:lineRule="exact"/>
              <w:jc w:val="center"/>
              <w:rPr>
                <w:szCs w:val="21"/>
              </w:rPr>
            </w:pPr>
            <w:r>
              <w:rPr>
                <w:rFonts w:hint="eastAsia"/>
              </w:rPr>
              <w:t>邢寨村</w:t>
            </w:r>
          </w:p>
        </w:tc>
        <w:tc>
          <w:tcPr>
            <w:tcW w:w="1066" w:type="dxa"/>
            <w:tcBorders>
              <w:top w:val="single" w:color="auto" w:sz="4" w:space="0"/>
              <w:left w:val="nil"/>
              <w:bottom w:val="single" w:color="auto" w:sz="4" w:space="0"/>
              <w:right w:val="single" w:color="auto" w:sz="4" w:space="0"/>
            </w:tcBorders>
            <w:vAlign w:val="center"/>
          </w:tcPr>
          <w:p>
            <w:pPr>
              <w:spacing w:line="320" w:lineRule="exact"/>
              <w:jc w:val="center"/>
              <w:rPr>
                <w:color w:val="000000"/>
                <w:szCs w:val="21"/>
              </w:rPr>
            </w:pPr>
            <w:r>
              <w:rPr>
                <w:color w:val="000000"/>
              </w:rPr>
              <w:t>7</w:t>
            </w:r>
          </w:p>
        </w:tc>
        <w:tc>
          <w:tcPr>
            <w:tcW w:w="1583" w:type="dxa"/>
            <w:tcBorders>
              <w:top w:val="single" w:color="auto" w:sz="4" w:space="0"/>
              <w:left w:val="nil"/>
              <w:bottom w:val="single" w:color="auto" w:sz="4" w:space="0"/>
              <w:right w:val="single" w:color="auto" w:sz="4" w:space="0"/>
            </w:tcBorders>
            <w:vAlign w:val="center"/>
          </w:tcPr>
          <w:p>
            <w:pPr>
              <w:spacing w:line="320" w:lineRule="exact"/>
              <w:jc w:val="center"/>
              <w:rPr>
                <w:color w:val="000000"/>
                <w:szCs w:val="21"/>
              </w:rPr>
            </w:pPr>
            <w:r>
              <w:rPr>
                <w:color w:val="000000"/>
              </w:rPr>
              <w:t>敏感点</w:t>
            </w:r>
          </w:p>
        </w:tc>
        <w:tc>
          <w:tcPr>
            <w:tcW w:w="1410" w:type="dxa"/>
            <w:tcBorders>
              <w:top w:val="single" w:color="auto" w:sz="4" w:space="0"/>
              <w:left w:val="nil"/>
              <w:bottom w:val="single" w:color="auto" w:sz="4" w:space="0"/>
              <w:right w:val="single" w:color="auto" w:sz="4" w:space="0"/>
            </w:tcBorders>
            <w:vAlign w:val="center"/>
          </w:tcPr>
          <w:p>
            <w:pPr>
              <w:jc w:val="center"/>
              <w:rPr>
                <w:color w:val="000000"/>
                <w:szCs w:val="21"/>
              </w:rPr>
            </w:pPr>
            <w:r>
              <w:rPr>
                <w:color w:val="000000"/>
              </w:rPr>
              <w:t>S</w:t>
            </w:r>
            <w:r>
              <w:rPr>
                <w:rFonts w:hint="eastAsia"/>
                <w:color w:val="000000"/>
              </w:rPr>
              <w:t>E</w:t>
            </w:r>
          </w:p>
        </w:tc>
        <w:tc>
          <w:tcPr>
            <w:tcW w:w="2129" w:type="dxa"/>
            <w:tcBorders>
              <w:top w:val="single" w:color="auto" w:sz="4" w:space="0"/>
              <w:left w:val="nil"/>
              <w:bottom w:val="single" w:color="auto" w:sz="4" w:space="0"/>
              <w:right w:val="single" w:color="auto" w:sz="12" w:space="0"/>
            </w:tcBorders>
            <w:vAlign w:val="center"/>
          </w:tcPr>
          <w:p>
            <w:pPr>
              <w:jc w:val="center"/>
              <w:rPr>
                <w:rFonts w:hint="eastAsia" w:eastAsia="宋体"/>
                <w:color w:val="000000"/>
                <w:szCs w:val="21"/>
                <w:lang w:eastAsia="zh-CN"/>
              </w:rPr>
            </w:pPr>
            <w:r>
              <w:rPr>
                <w:rFonts w:hint="eastAsia"/>
                <w:color w:val="000000"/>
                <w:lang w:eastAsia="zh-CN"/>
              </w:rPr>
              <w:t>507</w:t>
            </w:r>
          </w:p>
        </w:tc>
      </w:tr>
    </w:tbl>
    <w:p>
      <w:pPr>
        <w:spacing w:line="500" w:lineRule="exact"/>
        <w:rPr>
          <w:color w:val="000000" w:themeColor="text1"/>
          <w:sz w:val="24"/>
        </w:rPr>
      </w:pPr>
      <w:r>
        <w:rPr>
          <w:color w:val="000000" w:themeColor="text1"/>
          <w:sz w:val="24"/>
        </w:rPr>
        <w:t>3.3.1.2监测因子及监测分析方法</w:t>
      </w:r>
      <w:bookmarkEnd w:id="200"/>
      <w:bookmarkEnd w:id="201"/>
    </w:p>
    <w:p>
      <w:pPr>
        <w:widowControl/>
        <w:snapToGrid w:val="0"/>
        <w:spacing w:line="500" w:lineRule="exact"/>
        <w:ind w:firstLine="480" w:firstLineChars="200"/>
        <w:rPr>
          <w:color w:val="000000" w:themeColor="text1"/>
          <w:sz w:val="24"/>
          <w:szCs w:val="28"/>
        </w:rPr>
      </w:pPr>
      <w:bookmarkStart w:id="202" w:name="_Toc413829631"/>
      <w:bookmarkStart w:id="203" w:name="_Toc406662998"/>
      <w:r>
        <w:rPr>
          <w:color w:val="000000" w:themeColor="text1"/>
          <w:sz w:val="24"/>
          <w:szCs w:val="28"/>
        </w:rPr>
        <w:t>根据本项目废气污染物产生情况，确定本次环境空气质量现状监测因子为</w:t>
      </w:r>
      <w:r>
        <w:rPr>
          <w:sz w:val="24"/>
        </w:rPr>
        <w:t>PM</w:t>
      </w:r>
      <w:r>
        <w:rPr>
          <w:sz w:val="24"/>
          <w:vertAlign w:val="subscript"/>
        </w:rPr>
        <w:t>10</w:t>
      </w:r>
      <w:r>
        <w:rPr>
          <w:sz w:val="24"/>
        </w:rPr>
        <w:t>、PM</w:t>
      </w:r>
      <w:r>
        <w:rPr>
          <w:sz w:val="24"/>
          <w:vertAlign w:val="subscript"/>
        </w:rPr>
        <w:t>2.5</w:t>
      </w:r>
      <w:r>
        <w:rPr>
          <w:sz w:val="24"/>
        </w:rPr>
        <w:t>、SO</w:t>
      </w:r>
      <w:r>
        <w:rPr>
          <w:sz w:val="24"/>
          <w:vertAlign w:val="subscript"/>
        </w:rPr>
        <w:t>2</w:t>
      </w:r>
      <w:r>
        <w:rPr>
          <w:sz w:val="24"/>
        </w:rPr>
        <w:t>、NO</w:t>
      </w:r>
      <w:r>
        <w:rPr>
          <w:sz w:val="24"/>
          <w:vertAlign w:val="subscript"/>
        </w:rPr>
        <w:t>2</w:t>
      </w:r>
      <w:r>
        <w:rPr>
          <w:sz w:val="24"/>
        </w:rPr>
        <w:t>、O</w:t>
      </w:r>
      <w:r>
        <w:rPr>
          <w:sz w:val="24"/>
          <w:vertAlign w:val="subscript"/>
        </w:rPr>
        <w:t>3</w:t>
      </w:r>
      <w:r>
        <w:rPr>
          <w:sz w:val="24"/>
        </w:rPr>
        <w:t>、CO</w:t>
      </w:r>
      <w:r>
        <w:rPr>
          <w:bCs/>
          <w:sz w:val="24"/>
        </w:rPr>
        <w:t>、</w:t>
      </w:r>
      <w:r>
        <w:rPr>
          <w:sz w:val="24"/>
        </w:rPr>
        <w:t>H</w:t>
      </w:r>
      <w:r>
        <w:rPr>
          <w:sz w:val="24"/>
          <w:vertAlign w:val="subscript"/>
        </w:rPr>
        <w:t>2</w:t>
      </w:r>
      <w:r>
        <w:rPr>
          <w:sz w:val="24"/>
        </w:rPr>
        <w:t>S、NH</w:t>
      </w:r>
      <w:r>
        <w:rPr>
          <w:sz w:val="24"/>
          <w:vertAlign w:val="subscript"/>
        </w:rPr>
        <w:t>3</w:t>
      </w:r>
      <w:r>
        <w:rPr>
          <w:sz w:val="24"/>
        </w:rPr>
        <w:t>同步监测风速、风向、气温、气压、总云、低云及天气状况</w:t>
      </w:r>
      <w:r>
        <w:rPr>
          <w:color w:val="000000" w:themeColor="text1"/>
          <w:sz w:val="24"/>
          <w:szCs w:val="28"/>
        </w:rPr>
        <w:t>。监测方法见表</w:t>
      </w:r>
      <w:r>
        <w:rPr>
          <w:rFonts w:hint="eastAsia"/>
          <w:color w:val="000000" w:themeColor="text1"/>
          <w:sz w:val="24"/>
          <w:szCs w:val="28"/>
        </w:rPr>
        <w:t>3.3-2</w:t>
      </w:r>
      <w:r>
        <w:rPr>
          <w:color w:val="000000" w:themeColor="text1"/>
          <w:sz w:val="24"/>
          <w:szCs w:val="28"/>
        </w:rPr>
        <w:t>。</w:t>
      </w:r>
    </w:p>
    <w:p>
      <w:pPr>
        <w:widowControl/>
        <w:snapToGrid w:val="0"/>
        <w:spacing w:beforeLines="50" w:afterLines="50"/>
        <w:ind w:firstLine="422" w:firstLineChars="200"/>
        <w:jc w:val="center"/>
        <w:rPr>
          <w:b/>
          <w:color w:val="000000" w:themeColor="text1"/>
          <w:szCs w:val="21"/>
        </w:rPr>
      </w:pPr>
    </w:p>
    <w:p>
      <w:pPr>
        <w:pStyle w:val="17"/>
        <w:adjustRightInd w:val="0"/>
        <w:snapToGrid w:val="0"/>
        <w:ind w:firstLine="1054" w:firstLineChars="500"/>
        <w:rPr>
          <w:b/>
          <w:bCs/>
          <w:szCs w:val="28"/>
        </w:rPr>
      </w:pPr>
      <w:r>
        <w:rPr>
          <w:b/>
          <w:color w:val="000000" w:themeColor="text1"/>
          <w:szCs w:val="21"/>
        </w:rPr>
        <w:t>表</w:t>
      </w:r>
      <w:r>
        <w:rPr>
          <w:rFonts w:hint="eastAsia"/>
          <w:b/>
          <w:color w:val="000000" w:themeColor="text1"/>
          <w:szCs w:val="21"/>
        </w:rPr>
        <w:t>3.3-2</w:t>
      </w:r>
      <w:r>
        <w:rPr>
          <w:b/>
          <w:bCs/>
          <w:sz w:val="24"/>
        </w:rPr>
        <w:t>环境空气检测分析方法及使用仪器</w:t>
      </w:r>
    </w:p>
    <w:tbl>
      <w:tblPr>
        <w:tblStyle w:val="44"/>
        <w:tblW w:w="9204"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3957"/>
        <w:gridCol w:w="2469"/>
        <w:gridCol w:w="130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1469" w:type="dxa"/>
            <w:noWrap/>
            <w:vAlign w:val="center"/>
          </w:tcPr>
          <w:p>
            <w:pPr>
              <w:spacing w:line="360" w:lineRule="auto"/>
              <w:jc w:val="center"/>
              <w:rPr>
                <w:b/>
                <w:szCs w:val="21"/>
              </w:rPr>
            </w:pPr>
            <w:r>
              <w:rPr>
                <w:b/>
                <w:szCs w:val="21"/>
              </w:rPr>
              <w:t>检测项目</w:t>
            </w:r>
          </w:p>
        </w:tc>
        <w:tc>
          <w:tcPr>
            <w:tcW w:w="3957" w:type="dxa"/>
            <w:noWrap/>
            <w:vAlign w:val="center"/>
          </w:tcPr>
          <w:p>
            <w:pPr>
              <w:spacing w:line="360" w:lineRule="auto"/>
              <w:jc w:val="center"/>
              <w:rPr>
                <w:b/>
                <w:szCs w:val="21"/>
              </w:rPr>
            </w:pPr>
            <w:r>
              <w:rPr>
                <w:b/>
                <w:szCs w:val="21"/>
              </w:rPr>
              <w:t>检测方法</w:t>
            </w:r>
          </w:p>
        </w:tc>
        <w:tc>
          <w:tcPr>
            <w:tcW w:w="2469" w:type="dxa"/>
            <w:noWrap/>
            <w:vAlign w:val="center"/>
          </w:tcPr>
          <w:p>
            <w:pPr>
              <w:spacing w:line="360" w:lineRule="auto"/>
              <w:jc w:val="center"/>
              <w:rPr>
                <w:b/>
                <w:szCs w:val="21"/>
              </w:rPr>
            </w:pPr>
            <w:r>
              <w:rPr>
                <w:b/>
                <w:szCs w:val="21"/>
              </w:rPr>
              <w:t>使用仪器</w:t>
            </w:r>
          </w:p>
        </w:tc>
        <w:tc>
          <w:tcPr>
            <w:tcW w:w="1309" w:type="dxa"/>
            <w:noWrap/>
            <w:vAlign w:val="center"/>
          </w:tcPr>
          <w:p>
            <w:pPr>
              <w:spacing w:line="360" w:lineRule="auto"/>
              <w:jc w:val="center"/>
              <w:rPr>
                <w:b/>
                <w:szCs w:val="21"/>
              </w:rPr>
            </w:pPr>
            <w:r>
              <w:rPr>
                <w:b/>
                <w:szCs w:val="21"/>
              </w:rPr>
              <w:t>检出限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8" w:hRule="exact"/>
          <w:jc w:val="center"/>
        </w:trPr>
        <w:tc>
          <w:tcPr>
            <w:tcW w:w="1469" w:type="dxa"/>
            <w:noWrap/>
            <w:vAlign w:val="center"/>
          </w:tcPr>
          <w:p>
            <w:pPr>
              <w:spacing w:line="360" w:lineRule="auto"/>
              <w:jc w:val="center"/>
              <w:rPr>
                <w:szCs w:val="21"/>
              </w:rPr>
            </w:pPr>
            <w:r>
              <w:rPr>
                <w:szCs w:val="21"/>
              </w:rPr>
              <w:t>PM</w:t>
            </w:r>
            <w:r>
              <w:rPr>
                <w:szCs w:val="21"/>
                <w:vertAlign w:val="subscript"/>
              </w:rPr>
              <w:t>10</w:t>
            </w:r>
          </w:p>
        </w:tc>
        <w:tc>
          <w:tcPr>
            <w:tcW w:w="3957" w:type="dxa"/>
            <w:noWrap/>
            <w:vAlign w:val="center"/>
          </w:tcPr>
          <w:p>
            <w:pPr>
              <w:jc w:val="center"/>
              <w:rPr>
                <w:szCs w:val="21"/>
              </w:rPr>
            </w:pPr>
            <w:r>
              <w:rPr>
                <w:szCs w:val="21"/>
              </w:rPr>
              <w:t>环境空气  PM</w:t>
            </w:r>
            <w:r>
              <w:rPr>
                <w:szCs w:val="21"/>
                <w:vertAlign w:val="subscript"/>
              </w:rPr>
              <w:t>10</w:t>
            </w:r>
            <w:r>
              <w:rPr>
                <w:szCs w:val="21"/>
              </w:rPr>
              <w:t>和PM</w:t>
            </w:r>
            <w:r>
              <w:rPr>
                <w:szCs w:val="21"/>
                <w:vertAlign w:val="subscript"/>
              </w:rPr>
              <w:t>2.5</w:t>
            </w:r>
            <w:r>
              <w:rPr>
                <w:szCs w:val="21"/>
              </w:rPr>
              <w:t>的测定  重量法</w:t>
            </w:r>
          </w:p>
          <w:p>
            <w:pPr>
              <w:jc w:val="center"/>
              <w:rPr>
                <w:szCs w:val="21"/>
              </w:rPr>
            </w:pPr>
            <w:r>
              <w:rPr>
                <w:szCs w:val="21"/>
              </w:rPr>
              <w:t>HJ 618-2011</w:t>
            </w:r>
          </w:p>
        </w:tc>
        <w:tc>
          <w:tcPr>
            <w:tcW w:w="2469" w:type="dxa"/>
            <w:noWrap/>
            <w:vAlign w:val="center"/>
          </w:tcPr>
          <w:p>
            <w:pPr>
              <w:spacing w:line="360" w:lineRule="auto"/>
              <w:jc w:val="center"/>
              <w:rPr>
                <w:szCs w:val="21"/>
              </w:rPr>
            </w:pPr>
            <w:r>
              <w:rPr>
                <w:szCs w:val="21"/>
              </w:rPr>
              <w:t>综合气体采样器/2050</w:t>
            </w:r>
          </w:p>
          <w:p>
            <w:pPr>
              <w:spacing w:line="360" w:lineRule="auto"/>
              <w:jc w:val="center"/>
              <w:rPr>
                <w:szCs w:val="21"/>
              </w:rPr>
            </w:pPr>
            <w:r>
              <w:rPr>
                <w:szCs w:val="21"/>
              </w:rPr>
              <w:t>电子分析天平/ME204E</w:t>
            </w:r>
          </w:p>
        </w:tc>
        <w:tc>
          <w:tcPr>
            <w:tcW w:w="1309" w:type="dxa"/>
            <w:noWrap/>
            <w:vAlign w:val="center"/>
          </w:tcPr>
          <w:p>
            <w:pPr>
              <w:spacing w:line="360" w:lineRule="auto"/>
              <w:jc w:val="center"/>
              <w:rPr>
                <w:szCs w:val="21"/>
              </w:rPr>
            </w:pPr>
            <w:r>
              <w:rPr>
                <w:szCs w:val="21"/>
              </w:rPr>
              <w:t>10</w:t>
            </w:r>
            <w:r>
              <w:rPr>
                <w:szCs w:val="21"/>
              </w:rPr>
              <w:sym w:font="Symbol" w:char="006D"/>
            </w:r>
            <w:r>
              <w:rPr>
                <w:szCs w:val="21"/>
              </w:rPr>
              <w:t>g/m</w:t>
            </w:r>
            <w:r>
              <w:rPr>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3" w:hRule="exact"/>
          <w:jc w:val="center"/>
        </w:trPr>
        <w:tc>
          <w:tcPr>
            <w:tcW w:w="1469" w:type="dxa"/>
            <w:noWrap/>
            <w:vAlign w:val="center"/>
          </w:tcPr>
          <w:p>
            <w:pPr>
              <w:spacing w:line="360" w:lineRule="auto"/>
              <w:jc w:val="center"/>
              <w:rPr>
                <w:szCs w:val="21"/>
              </w:rPr>
            </w:pPr>
            <w:r>
              <w:rPr>
                <w:szCs w:val="21"/>
              </w:rPr>
              <w:t>PM</w:t>
            </w:r>
            <w:r>
              <w:rPr>
                <w:szCs w:val="21"/>
                <w:vertAlign w:val="subscript"/>
              </w:rPr>
              <w:t>2.5</w:t>
            </w:r>
          </w:p>
        </w:tc>
        <w:tc>
          <w:tcPr>
            <w:tcW w:w="3957" w:type="dxa"/>
            <w:noWrap/>
            <w:vAlign w:val="center"/>
          </w:tcPr>
          <w:p>
            <w:pPr>
              <w:jc w:val="center"/>
              <w:rPr>
                <w:szCs w:val="21"/>
              </w:rPr>
            </w:pPr>
            <w:r>
              <w:rPr>
                <w:szCs w:val="21"/>
              </w:rPr>
              <w:t>环境空气  PM</w:t>
            </w:r>
            <w:r>
              <w:rPr>
                <w:szCs w:val="21"/>
                <w:vertAlign w:val="subscript"/>
              </w:rPr>
              <w:t>10</w:t>
            </w:r>
            <w:r>
              <w:rPr>
                <w:szCs w:val="21"/>
              </w:rPr>
              <w:t>和PM</w:t>
            </w:r>
            <w:r>
              <w:rPr>
                <w:szCs w:val="21"/>
                <w:vertAlign w:val="subscript"/>
              </w:rPr>
              <w:t>2.5</w:t>
            </w:r>
            <w:r>
              <w:rPr>
                <w:szCs w:val="21"/>
              </w:rPr>
              <w:t>的测定  重量法</w:t>
            </w:r>
          </w:p>
          <w:p>
            <w:pPr>
              <w:jc w:val="center"/>
              <w:rPr>
                <w:szCs w:val="21"/>
              </w:rPr>
            </w:pPr>
            <w:r>
              <w:rPr>
                <w:szCs w:val="21"/>
              </w:rPr>
              <w:t>HJ 618-2011</w:t>
            </w:r>
          </w:p>
        </w:tc>
        <w:tc>
          <w:tcPr>
            <w:tcW w:w="2469" w:type="dxa"/>
            <w:noWrap/>
            <w:vAlign w:val="center"/>
          </w:tcPr>
          <w:p>
            <w:pPr>
              <w:spacing w:line="360" w:lineRule="auto"/>
              <w:jc w:val="center"/>
              <w:rPr>
                <w:szCs w:val="21"/>
              </w:rPr>
            </w:pPr>
            <w:r>
              <w:rPr>
                <w:szCs w:val="21"/>
              </w:rPr>
              <w:t>综合气体采样器/2050</w:t>
            </w:r>
          </w:p>
          <w:p>
            <w:pPr>
              <w:spacing w:line="360" w:lineRule="auto"/>
              <w:jc w:val="center"/>
              <w:rPr>
                <w:szCs w:val="21"/>
              </w:rPr>
            </w:pPr>
            <w:r>
              <w:rPr>
                <w:szCs w:val="21"/>
              </w:rPr>
              <w:t>电子分析天平/ME204E</w:t>
            </w:r>
          </w:p>
        </w:tc>
        <w:tc>
          <w:tcPr>
            <w:tcW w:w="1309" w:type="dxa"/>
            <w:noWrap/>
            <w:vAlign w:val="center"/>
          </w:tcPr>
          <w:p>
            <w:pPr>
              <w:spacing w:line="360" w:lineRule="auto"/>
              <w:jc w:val="center"/>
              <w:rPr>
                <w:szCs w:val="21"/>
              </w:rPr>
            </w:pPr>
            <w:r>
              <w:rPr>
                <w:szCs w:val="21"/>
              </w:rPr>
              <w:t>10</w:t>
            </w:r>
            <w:r>
              <w:rPr>
                <w:szCs w:val="21"/>
              </w:rPr>
              <w:sym w:font="Symbol" w:char="006D"/>
            </w:r>
            <w:r>
              <w:rPr>
                <w:szCs w:val="21"/>
              </w:rPr>
              <w:t>g/m</w:t>
            </w:r>
            <w:r>
              <w:rPr>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1" w:hRule="exact"/>
          <w:jc w:val="center"/>
        </w:trPr>
        <w:tc>
          <w:tcPr>
            <w:tcW w:w="1469" w:type="dxa"/>
            <w:noWrap/>
            <w:vAlign w:val="center"/>
          </w:tcPr>
          <w:p>
            <w:pPr>
              <w:spacing w:line="360" w:lineRule="auto"/>
              <w:jc w:val="center"/>
              <w:rPr>
                <w:szCs w:val="21"/>
              </w:rPr>
            </w:pPr>
            <w:r>
              <w:rPr>
                <w:szCs w:val="21"/>
              </w:rPr>
              <w:t>SO</w:t>
            </w:r>
            <w:r>
              <w:rPr>
                <w:szCs w:val="21"/>
                <w:vertAlign w:val="subscript"/>
              </w:rPr>
              <w:t>2</w:t>
            </w:r>
          </w:p>
        </w:tc>
        <w:tc>
          <w:tcPr>
            <w:tcW w:w="3957" w:type="dxa"/>
            <w:noWrap/>
            <w:vAlign w:val="center"/>
          </w:tcPr>
          <w:p>
            <w:pPr>
              <w:jc w:val="center"/>
              <w:rPr>
                <w:szCs w:val="21"/>
              </w:rPr>
            </w:pPr>
            <w:r>
              <w:rPr>
                <w:szCs w:val="21"/>
              </w:rPr>
              <w:t>环境空气 二氧化硫的测定  甲醛吸收-盐酸副玫瑰苯胺分光光度法 HJ 482-2009</w:t>
            </w:r>
          </w:p>
        </w:tc>
        <w:tc>
          <w:tcPr>
            <w:tcW w:w="2469" w:type="dxa"/>
            <w:noWrap/>
            <w:vAlign w:val="center"/>
          </w:tcPr>
          <w:p>
            <w:pPr>
              <w:spacing w:line="360" w:lineRule="auto"/>
              <w:jc w:val="center"/>
              <w:rPr>
                <w:szCs w:val="21"/>
              </w:rPr>
            </w:pPr>
            <w:r>
              <w:rPr>
                <w:szCs w:val="21"/>
              </w:rPr>
              <w:t>综合气体采样器/2050</w:t>
            </w:r>
          </w:p>
          <w:p>
            <w:pPr>
              <w:spacing w:line="360" w:lineRule="auto"/>
              <w:jc w:val="center"/>
              <w:rPr>
                <w:szCs w:val="21"/>
              </w:rPr>
            </w:pPr>
            <w:r>
              <w:rPr>
                <w:szCs w:val="21"/>
              </w:rPr>
              <w:t>分光光度计/T6新悦</w:t>
            </w:r>
          </w:p>
        </w:tc>
        <w:tc>
          <w:tcPr>
            <w:tcW w:w="1309" w:type="dxa"/>
            <w:noWrap/>
            <w:vAlign w:val="center"/>
          </w:tcPr>
          <w:p>
            <w:pPr>
              <w:spacing w:line="360" w:lineRule="auto"/>
              <w:jc w:val="center"/>
              <w:rPr>
                <w:szCs w:val="21"/>
              </w:rPr>
            </w:pPr>
            <w:r>
              <w:rPr>
                <w:szCs w:val="21"/>
              </w:rPr>
              <w:t>7</w:t>
            </w:r>
            <w:r>
              <w:rPr>
                <w:szCs w:val="21"/>
              </w:rPr>
              <w:sym w:font="Symbol" w:char="006D"/>
            </w:r>
            <w:r>
              <w:rPr>
                <w:szCs w:val="21"/>
              </w:rPr>
              <w:t>g/m</w:t>
            </w:r>
            <w:r>
              <w:rPr>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4" w:hRule="exact"/>
          <w:jc w:val="center"/>
        </w:trPr>
        <w:tc>
          <w:tcPr>
            <w:tcW w:w="1469" w:type="dxa"/>
            <w:noWrap/>
            <w:vAlign w:val="center"/>
          </w:tcPr>
          <w:p>
            <w:pPr>
              <w:spacing w:line="360" w:lineRule="auto"/>
              <w:jc w:val="center"/>
              <w:rPr>
                <w:szCs w:val="21"/>
              </w:rPr>
            </w:pPr>
            <w:r>
              <w:rPr>
                <w:szCs w:val="21"/>
              </w:rPr>
              <w:t>NO</w:t>
            </w:r>
            <w:r>
              <w:rPr>
                <w:szCs w:val="21"/>
                <w:vertAlign w:val="subscript"/>
              </w:rPr>
              <w:t>2</w:t>
            </w:r>
          </w:p>
        </w:tc>
        <w:tc>
          <w:tcPr>
            <w:tcW w:w="3957" w:type="dxa"/>
            <w:noWrap/>
            <w:vAlign w:val="center"/>
          </w:tcPr>
          <w:p>
            <w:pPr>
              <w:jc w:val="center"/>
              <w:rPr>
                <w:szCs w:val="21"/>
              </w:rPr>
            </w:pPr>
            <w:r>
              <w:rPr>
                <w:szCs w:val="21"/>
              </w:rPr>
              <w:t xml:space="preserve">环境空气 氮氧化物（一氧化氮和二氧化氮）的测定 盐酸萘乙二胺分光光度法 </w:t>
            </w:r>
          </w:p>
          <w:p>
            <w:pPr>
              <w:jc w:val="center"/>
              <w:rPr>
                <w:szCs w:val="21"/>
              </w:rPr>
            </w:pPr>
            <w:r>
              <w:rPr>
                <w:szCs w:val="21"/>
              </w:rPr>
              <w:t>HJ 479-2009</w:t>
            </w:r>
          </w:p>
        </w:tc>
        <w:tc>
          <w:tcPr>
            <w:tcW w:w="2469" w:type="dxa"/>
            <w:noWrap/>
            <w:vAlign w:val="center"/>
          </w:tcPr>
          <w:p>
            <w:pPr>
              <w:spacing w:line="360" w:lineRule="auto"/>
              <w:jc w:val="center"/>
              <w:rPr>
                <w:szCs w:val="21"/>
              </w:rPr>
            </w:pPr>
            <w:r>
              <w:rPr>
                <w:szCs w:val="21"/>
              </w:rPr>
              <w:t>综合气体采样器/2050</w:t>
            </w:r>
          </w:p>
          <w:p>
            <w:pPr>
              <w:spacing w:line="360" w:lineRule="auto"/>
              <w:jc w:val="center"/>
              <w:rPr>
                <w:szCs w:val="21"/>
              </w:rPr>
            </w:pPr>
            <w:r>
              <w:rPr>
                <w:szCs w:val="21"/>
              </w:rPr>
              <w:t>分光光度计/T6新悦</w:t>
            </w:r>
          </w:p>
        </w:tc>
        <w:tc>
          <w:tcPr>
            <w:tcW w:w="1309" w:type="dxa"/>
            <w:noWrap/>
            <w:vAlign w:val="center"/>
          </w:tcPr>
          <w:p>
            <w:pPr>
              <w:spacing w:line="360" w:lineRule="auto"/>
              <w:jc w:val="center"/>
              <w:rPr>
                <w:szCs w:val="21"/>
              </w:rPr>
            </w:pPr>
            <w:r>
              <w:rPr>
                <w:szCs w:val="21"/>
              </w:rPr>
              <w:t>5</w:t>
            </w:r>
            <w:r>
              <w:rPr>
                <w:szCs w:val="21"/>
              </w:rPr>
              <w:sym w:font="Symbol" w:char="006D"/>
            </w:r>
            <w:r>
              <w:rPr>
                <w:szCs w:val="21"/>
              </w:rPr>
              <w:t>g/m</w:t>
            </w:r>
            <w:r>
              <w:rPr>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4" w:hRule="exact"/>
          <w:jc w:val="center"/>
        </w:trPr>
        <w:tc>
          <w:tcPr>
            <w:tcW w:w="1469" w:type="dxa"/>
            <w:noWrap/>
            <w:vAlign w:val="center"/>
          </w:tcPr>
          <w:p>
            <w:pPr>
              <w:spacing w:line="360" w:lineRule="auto"/>
              <w:jc w:val="center"/>
              <w:rPr>
                <w:szCs w:val="21"/>
              </w:rPr>
            </w:pPr>
            <w:r>
              <w:rPr>
                <w:szCs w:val="21"/>
              </w:rPr>
              <w:t>O</w:t>
            </w:r>
            <w:r>
              <w:rPr>
                <w:szCs w:val="21"/>
                <w:vertAlign w:val="subscript"/>
              </w:rPr>
              <w:t>3</w:t>
            </w:r>
          </w:p>
        </w:tc>
        <w:tc>
          <w:tcPr>
            <w:tcW w:w="3957" w:type="dxa"/>
            <w:noWrap/>
            <w:vAlign w:val="center"/>
          </w:tcPr>
          <w:p>
            <w:pPr>
              <w:spacing w:line="240" w:lineRule="exact"/>
              <w:ind w:left="206" w:leftChars="98"/>
              <w:jc w:val="center"/>
              <w:rPr>
                <w:color w:val="000000"/>
                <w:szCs w:val="21"/>
              </w:rPr>
            </w:pPr>
            <w:r>
              <w:rPr>
                <w:color w:val="000000"/>
                <w:szCs w:val="21"/>
              </w:rPr>
              <w:t>环境空气 臭氧的测定 靛蓝二磺酸钠分光光度法 HJ 504-2009</w:t>
            </w:r>
          </w:p>
        </w:tc>
        <w:tc>
          <w:tcPr>
            <w:tcW w:w="2469" w:type="dxa"/>
            <w:noWrap/>
            <w:vAlign w:val="center"/>
          </w:tcPr>
          <w:p>
            <w:pPr>
              <w:jc w:val="center"/>
              <w:rPr>
                <w:color w:val="000000"/>
                <w:szCs w:val="21"/>
              </w:rPr>
            </w:pPr>
            <w:r>
              <w:rPr>
                <w:color w:val="000000"/>
                <w:szCs w:val="21"/>
              </w:rPr>
              <w:t>2050型型综合气体采样器、T6型新锐分光光度计</w:t>
            </w:r>
          </w:p>
        </w:tc>
        <w:tc>
          <w:tcPr>
            <w:tcW w:w="1309" w:type="dxa"/>
            <w:noWrap/>
            <w:vAlign w:val="center"/>
          </w:tcPr>
          <w:p>
            <w:pPr>
              <w:jc w:val="center"/>
              <w:rPr>
                <w:szCs w:val="21"/>
              </w:rPr>
            </w:pPr>
            <w:r>
              <w:rPr>
                <w:color w:val="000000"/>
                <w:szCs w:val="21"/>
              </w:rPr>
              <w:t>0.01mg/m</w:t>
            </w:r>
            <w:r>
              <w:rPr>
                <w:color w:val="000000"/>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exact"/>
          <w:jc w:val="center"/>
        </w:trPr>
        <w:tc>
          <w:tcPr>
            <w:tcW w:w="1469" w:type="dxa"/>
            <w:noWrap/>
            <w:vAlign w:val="center"/>
          </w:tcPr>
          <w:p>
            <w:pPr>
              <w:spacing w:line="360" w:lineRule="auto"/>
              <w:jc w:val="center"/>
              <w:rPr>
                <w:szCs w:val="21"/>
              </w:rPr>
            </w:pPr>
            <w:r>
              <w:rPr>
                <w:szCs w:val="21"/>
              </w:rPr>
              <w:t>CO</w:t>
            </w:r>
          </w:p>
        </w:tc>
        <w:tc>
          <w:tcPr>
            <w:tcW w:w="3957" w:type="dxa"/>
            <w:noWrap/>
            <w:vAlign w:val="center"/>
          </w:tcPr>
          <w:p>
            <w:pPr>
              <w:jc w:val="center"/>
              <w:rPr>
                <w:color w:val="000000"/>
                <w:szCs w:val="21"/>
              </w:rPr>
            </w:pPr>
            <w:r>
              <w:rPr>
                <w:szCs w:val="21"/>
              </w:rPr>
              <w:t>空气质量 一氧化碳的测定 非分散红外法GB 9801-1988</w:t>
            </w:r>
          </w:p>
        </w:tc>
        <w:tc>
          <w:tcPr>
            <w:tcW w:w="2469" w:type="dxa"/>
            <w:noWrap/>
            <w:vAlign w:val="center"/>
          </w:tcPr>
          <w:p>
            <w:pPr>
              <w:jc w:val="center"/>
              <w:rPr>
                <w:color w:val="000000"/>
                <w:szCs w:val="21"/>
              </w:rPr>
            </w:pPr>
            <w:r>
              <w:rPr>
                <w:color w:val="000000"/>
                <w:szCs w:val="21"/>
              </w:rPr>
              <w:t>TW-3090型CO红外测定仪</w:t>
            </w:r>
          </w:p>
        </w:tc>
        <w:tc>
          <w:tcPr>
            <w:tcW w:w="1309" w:type="dxa"/>
            <w:noWrap/>
            <w:vAlign w:val="center"/>
          </w:tcPr>
          <w:p>
            <w:pPr>
              <w:spacing w:line="360" w:lineRule="auto"/>
              <w:jc w:val="center"/>
              <w:rPr>
                <w:szCs w:val="21"/>
              </w:rPr>
            </w:pPr>
            <w:r>
              <w:rPr>
                <w:color w:val="000000"/>
                <w:szCs w:val="21"/>
              </w:rPr>
              <w:t>0.3mg/m</w:t>
            </w:r>
            <w:r>
              <w:rPr>
                <w:color w:val="000000"/>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exact"/>
          <w:jc w:val="center"/>
        </w:trPr>
        <w:tc>
          <w:tcPr>
            <w:tcW w:w="1469" w:type="dxa"/>
            <w:noWrap/>
            <w:vAlign w:val="center"/>
          </w:tcPr>
          <w:p>
            <w:pPr>
              <w:spacing w:line="360" w:lineRule="auto"/>
              <w:jc w:val="center"/>
              <w:rPr>
                <w:szCs w:val="21"/>
              </w:rPr>
            </w:pPr>
            <w:r>
              <w:rPr>
                <w:szCs w:val="21"/>
              </w:rPr>
              <w:t>H</w:t>
            </w:r>
            <w:r>
              <w:rPr>
                <w:szCs w:val="21"/>
                <w:vertAlign w:val="subscript"/>
              </w:rPr>
              <w:t>2</w:t>
            </w:r>
            <w:r>
              <w:rPr>
                <w:szCs w:val="21"/>
              </w:rPr>
              <w:t>S</w:t>
            </w:r>
          </w:p>
        </w:tc>
        <w:tc>
          <w:tcPr>
            <w:tcW w:w="3957" w:type="dxa"/>
            <w:noWrap/>
            <w:vAlign w:val="center"/>
          </w:tcPr>
          <w:p>
            <w:pPr>
              <w:spacing w:line="360" w:lineRule="auto"/>
              <w:jc w:val="center"/>
              <w:rPr>
                <w:color w:val="000000"/>
                <w:szCs w:val="21"/>
              </w:rPr>
            </w:pPr>
            <w:r>
              <w:rPr>
                <w:szCs w:val="21"/>
              </w:rPr>
              <w:t>环境空气 硫化氢 亚甲基蓝分光光度法  《空气和废气检测分析方法》(第四版增补版) 国家环境保护总局(2003年)第三篇第一章十一 （二）</w:t>
            </w:r>
          </w:p>
        </w:tc>
        <w:tc>
          <w:tcPr>
            <w:tcW w:w="2469" w:type="dxa"/>
            <w:noWrap/>
            <w:vAlign w:val="center"/>
          </w:tcPr>
          <w:p>
            <w:pPr>
              <w:spacing w:line="360" w:lineRule="auto"/>
              <w:jc w:val="center"/>
              <w:rPr>
                <w:szCs w:val="21"/>
              </w:rPr>
            </w:pPr>
            <w:r>
              <w:rPr>
                <w:szCs w:val="21"/>
              </w:rPr>
              <w:t>综合气体采样器/2050</w:t>
            </w:r>
          </w:p>
          <w:p>
            <w:pPr>
              <w:spacing w:line="360" w:lineRule="auto"/>
              <w:jc w:val="center"/>
              <w:rPr>
                <w:color w:val="000000"/>
                <w:szCs w:val="21"/>
              </w:rPr>
            </w:pPr>
            <w:r>
              <w:rPr>
                <w:szCs w:val="21"/>
              </w:rPr>
              <w:t>分光光度计/T6新悦</w:t>
            </w:r>
          </w:p>
        </w:tc>
        <w:tc>
          <w:tcPr>
            <w:tcW w:w="1309" w:type="dxa"/>
            <w:noWrap/>
            <w:vAlign w:val="center"/>
          </w:tcPr>
          <w:p>
            <w:pPr>
              <w:spacing w:line="360" w:lineRule="auto"/>
              <w:jc w:val="center"/>
              <w:rPr>
                <w:szCs w:val="21"/>
              </w:rPr>
            </w:pPr>
            <w:r>
              <w:rPr>
                <w:szCs w:val="21"/>
              </w:rPr>
              <w:t>0.001mg/m</w:t>
            </w:r>
            <w:r>
              <w:rPr>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exact"/>
          <w:jc w:val="center"/>
        </w:trPr>
        <w:tc>
          <w:tcPr>
            <w:tcW w:w="1469" w:type="dxa"/>
            <w:noWrap/>
            <w:vAlign w:val="center"/>
          </w:tcPr>
          <w:p>
            <w:pPr>
              <w:spacing w:line="360" w:lineRule="auto"/>
              <w:jc w:val="center"/>
              <w:rPr>
                <w:szCs w:val="21"/>
              </w:rPr>
            </w:pPr>
            <w:r>
              <w:rPr>
                <w:szCs w:val="21"/>
              </w:rPr>
              <w:t>NH</w:t>
            </w:r>
            <w:r>
              <w:rPr>
                <w:szCs w:val="21"/>
                <w:vertAlign w:val="subscript"/>
              </w:rPr>
              <w:t>3</w:t>
            </w:r>
          </w:p>
        </w:tc>
        <w:tc>
          <w:tcPr>
            <w:tcW w:w="3957" w:type="dxa"/>
            <w:noWrap/>
            <w:vAlign w:val="center"/>
          </w:tcPr>
          <w:p>
            <w:pPr>
              <w:spacing w:afterLines="50"/>
              <w:rPr>
                <w:szCs w:val="21"/>
              </w:rPr>
            </w:pPr>
            <w:r>
              <w:rPr>
                <w:szCs w:val="21"/>
              </w:rPr>
              <w:t>环境空气和废气 氨的测定 纳氏试剂分光光度法  HJ 533-2009</w:t>
            </w:r>
          </w:p>
          <w:p>
            <w:pPr>
              <w:spacing w:afterLines="50"/>
              <w:jc w:val="center"/>
              <w:rPr>
                <w:szCs w:val="21"/>
              </w:rPr>
            </w:pPr>
          </w:p>
          <w:p>
            <w:pPr>
              <w:spacing w:afterLines="50"/>
              <w:jc w:val="center"/>
              <w:rPr>
                <w:szCs w:val="21"/>
              </w:rPr>
            </w:pPr>
          </w:p>
          <w:p>
            <w:pPr>
              <w:spacing w:afterLines="50"/>
              <w:jc w:val="center"/>
              <w:rPr>
                <w:szCs w:val="21"/>
              </w:rPr>
            </w:pPr>
          </w:p>
          <w:p>
            <w:pPr>
              <w:spacing w:afterLines="50"/>
              <w:jc w:val="center"/>
              <w:rPr>
                <w:szCs w:val="21"/>
              </w:rPr>
            </w:pPr>
          </w:p>
        </w:tc>
        <w:tc>
          <w:tcPr>
            <w:tcW w:w="2469" w:type="dxa"/>
            <w:noWrap/>
            <w:vAlign w:val="center"/>
          </w:tcPr>
          <w:p>
            <w:pPr>
              <w:spacing w:line="360" w:lineRule="auto"/>
              <w:jc w:val="center"/>
              <w:rPr>
                <w:szCs w:val="21"/>
              </w:rPr>
            </w:pPr>
            <w:r>
              <w:rPr>
                <w:szCs w:val="21"/>
              </w:rPr>
              <w:t>综合气体采样器/2050</w:t>
            </w:r>
          </w:p>
          <w:p>
            <w:pPr>
              <w:spacing w:line="360" w:lineRule="auto"/>
              <w:jc w:val="center"/>
              <w:rPr>
                <w:szCs w:val="21"/>
              </w:rPr>
            </w:pPr>
            <w:r>
              <w:rPr>
                <w:szCs w:val="21"/>
              </w:rPr>
              <w:t>分光光度计/T6新悦</w:t>
            </w:r>
          </w:p>
        </w:tc>
        <w:tc>
          <w:tcPr>
            <w:tcW w:w="1309" w:type="dxa"/>
            <w:noWrap/>
            <w:vAlign w:val="center"/>
          </w:tcPr>
          <w:p>
            <w:pPr>
              <w:spacing w:line="360" w:lineRule="auto"/>
              <w:jc w:val="center"/>
              <w:rPr>
                <w:szCs w:val="21"/>
              </w:rPr>
            </w:pPr>
            <w:r>
              <w:rPr>
                <w:szCs w:val="21"/>
              </w:rPr>
              <w:t>0.01 mg/m</w:t>
            </w:r>
            <w:r>
              <w:rPr>
                <w:szCs w:val="21"/>
                <w:vertAlign w:val="superscript"/>
              </w:rPr>
              <w:t>3</w:t>
            </w:r>
          </w:p>
        </w:tc>
      </w:tr>
    </w:tbl>
    <w:p>
      <w:pPr>
        <w:spacing w:line="500" w:lineRule="exact"/>
        <w:rPr>
          <w:b/>
          <w:bCs/>
          <w:color w:val="000000" w:themeColor="text1"/>
          <w:sz w:val="24"/>
        </w:rPr>
      </w:pPr>
      <w:r>
        <w:rPr>
          <w:b/>
          <w:bCs/>
          <w:color w:val="000000" w:themeColor="text1"/>
          <w:sz w:val="24"/>
        </w:rPr>
        <w:t>3.3.1.3监测时间及监测频率</w:t>
      </w:r>
      <w:bookmarkEnd w:id="202"/>
      <w:bookmarkEnd w:id="203"/>
    </w:p>
    <w:p>
      <w:pPr>
        <w:adjustRightInd w:val="0"/>
        <w:snapToGrid w:val="0"/>
        <w:spacing w:line="500" w:lineRule="exact"/>
        <w:ind w:firstLine="480" w:firstLineChars="200"/>
        <w:rPr>
          <w:color w:val="000000" w:themeColor="text1"/>
          <w:sz w:val="24"/>
          <w:szCs w:val="28"/>
        </w:rPr>
      </w:pPr>
      <w:r>
        <w:rPr>
          <w:color w:val="000000" w:themeColor="text1"/>
          <w:sz w:val="24"/>
          <w:szCs w:val="28"/>
        </w:rPr>
        <w:t>建设单位委托</w:t>
      </w:r>
      <w:r>
        <w:fldChar w:fldCharType="begin"/>
      </w:r>
      <w:r>
        <w:instrText xml:space="preserve"> HYPERLINK "http://www.baidu.com/link?url=Kqvgse1IizFhl0DC7PEJkDbEFyjrtSWw9UMN_ckf4xA2mKR--rMFFcBWFpGDBL6gZnuvu3mv1WnFiKcWVhGpyK" \t "_blank" </w:instrText>
      </w:r>
      <w:r>
        <w:fldChar w:fldCharType="separate"/>
      </w:r>
      <w:r>
        <w:rPr>
          <w:rStyle w:val="56"/>
          <w:color w:val="000000" w:themeColor="text1"/>
          <w:sz w:val="24"/>
          <w:szCs w:val="28"/>
        </w:rPr>
        <w:t>河南政检检测研究院有限公司</w:t>
      </w:r>
      <w:r>
        <w:rPr>
          <w:rStyle w:val="56"/>
          <w:color w:val="000000" w:themeColor="text1"/>
          <w:sz w:val="24"/>
          <w:szCs w:val="28"/>
        </w:rPr>
        <w:fldChar w:fldCharType="end"/>
      </w:r>
      <w:r>
        <w:rPr>
          <w:color w:val="000000" w:themeColor="text1"/>
          <w:sz w:val="24"/>
          <w:szCs w:val="28"/>
        </w:rPr>
        <w:t>于2019年</w:t>
      </w:r>
      <w:r>
        <w:rPr>
          <w:rFonts w:hint="eastAsia"/>
          <w:color w:val="000000" w:themeColor="text1"/>
          <w:sz w:val="24"/>
          <w:szCs w:val="28"/>
        </w:rPr>
        <w:t>10</w:t>
      </w:r>
      <w:r>
        <w:rPr>
          <w:color w:val="000000" w:themeColor="text1"/>
          <w:sz w:val="24"/>
          <w:szCs w:val="28"/>
        </w:rPr>
        <w:t>月</w:t>
      </w:r>
      <w:r>
        <w:rPr>
          <w:rFonts w:hint="eastAsia"/>
          <w:color w:val="000000" w:themeColor="text1"/>
          <w:sz w:val="24"/>
          <w:szCs w:val="28"/>
        </w:rPr>
        <w:t>21</w:t>
      </w:r>
      <w:r>
        <w:rPr>
          <w:color w:val="000000" w:themeColor="text1"/>
          <w:sz w:val="24"/>
          <w:szCs w:val="28"/>
        </w:rPr>
        <w:t>日～</w:t>
      </w:r>
      <w:r>
        <w:rPr>
          <w:rFonts w:hint="eastAsia"/>
          <w:color w:val="000000" w:themeColor="text1"/>
          <w:sz w:val="24"/>
          <w:szCs w:val="28"/>
        </w:rPr>
        <w:t>10</w:t>
      </w:r>
      <w:r>
        <w:rPr>
          <w:color w:val="000000" w:themeColor="text1"/>
          <w:sz w:val="24"/>
          <w:szCs w:val="28"/>
        </w:rPr>
        <w:t>月</w:t>
      </w:r>
      <w:r>
        <w:rPr>
          <w:rFonts w:hint="eastAsia"/>
          <w:color w:val="000000" w:themeColor="text1"/>
          <w:sz w:val="24"/>
          <w:szCs w:val="28"/>
        </w:rPr>
        <w:t>27</w:t>
      </w:r>
      <w:r>
        <w:rPr>
          <w:color w:val="000000" w:themeColor="text1"/>
          <w:sz w:val="24"/>
          <w:szCs w:val="28"/>
        </w:rPr>
        <w:t>日对区域空气质量现状进行了监测，具体监测频率见表</w:t>
      </w:r>
      <w:r>
        <w:rPr>
          <w:rFonts w:hint="eastAsia"/>
          <w:color w:val="000000" w:themeColor="text1"/>
          <w:sz w:val="24"/>
          <w:szCs w:val="28"/>
        </w:rPr>
        <w:t>3.3-3</w:t>
      </w:r>
      <w:r>
        <w:rPr>
          <w:color w:val="000000" w:themeColor="text1"/>
          <w:sz w:val="24"/>
          <w:szCs w:val="28"/>
        </w:rPr>
        <w:t>。</w:t>
      </w:r>
    </w:p>
    <w:p>
      <w:pPr>
        <w:spacing w:afterLines="30" w:line="500" w:lineRule="exact"/>
        <w:jc w:val="center"/>
        <w:rPr>
          <w:b/>
          <w:color w:val="000000" w:themeColor="text1"/>
          <w:sz w:val="24"/>
        </w:rPr>
      </w:pPr>
      <w:r>
        <w:rPr>
          <w:b/>
          <w:color w:val="000000" w:themeColor="text1"/>
          <w:sz w:val="24"/>
        </w:rPr>
        <w:t>表</w:t>
      </w:r>
      <w:r>
        <w:rPr>
          <w:rFonts w:hint="eastAsia"/>
          <w:b/>
          <w:color w:val="000000" w:themeColor="text1"/>
          <w:sz w:val="24"/>
        </w:rPr>
        <w:t>3.3-3</w:t>
      </w:r>
      <w:r>
        <w:rPr>
          <w:b/>
          <w:color w:val="000000" w:themeColor="text1"/>
          <w:sz w:val="24"/>
        </w:rPr>
        <w:t xml:space="preserve">     环境空气监测频率一览表</w:t>
      </w:r>
    </w:p>
    <w:tbl>
      <w:tblPr>
        <w:tblStyle w:val="44"/>
        <w:tblW w:w="8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794"/>
        <w:gridCol w:w="1022"/>
        <w:gridCol w:w="6244"/>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8" w:hRule="atLeast"/>
          <w:jc w:val="center"/>
        </w:trPr>
        <w:tc>
          <w:tcPr>
            <w:tcW w:w="794" w:type="dxa"/>
            <w:vAlign w:val="center"/>
          </w:tcPr>
          <w:p>
            <w:pPr>
              <w:adjustRightInd w:val="0"/>
              <w:snapToGrid w:val="0"/>
              <w:spacing w:line="240" w:lineRule="exact"/>
              <w:jc w:val="center"/>
              <w:rPr>
                <w:szCs w:val="21"/>
              </w:rPr>
            </w:pPr>
            <w:r>
              <w:rPr>
                <w:szCs w:val="21"/>
              </w:rPr>
              <w:t>检测项目</w:t>
            </w:r>
          </w:p>
        </w:tc>
        <w:tc>
          <w:tcPr>
            <w:tcW w:w="1022" w:type="dxa"/>
            <w:vAlign w:val="center"/>
          </w:tcPr>
          <w:p>
            <w:pPr>
              <w:adjustRightInd w:val="0"/>
              <w:snapToGrid w:val="0"/>
              <w:spacing w:line="240" w:lineRule="exact"/>
              <w:jc w:val="center"/>
              <w:rPr>
                <w:szCs w:val="21"/>
              </w:rPr>
            </w:pPr>
            <w:r>
              <w:rPr>
                <w:szCs w:val="21"/>
              </w:rPr>
              <w:t>取值时间</w:t>
            </w:r>
          </w:p>
        </w:tc>
        <w:tc>
          <w:tcPr>
            <w:tcW w:w="6244" w:type="dxa"/>
            <w:vAlign w:val="center"/>
          </w:tcPr>
          <w:p>
            <w:pPr>
              <w:adjustRightInd w:val="0"/>
              <w:snapToGrid w:val="0"/>
              <w:spacing w:line="240" w:lineRule="exact"/>
              <w:jc w:val="center"/>
              <w:rPr>
                <w:szCs w:val="21"/>
              </w:rPr>
            </w:pPr>
            <w:r>
              <w:rPr>
                <w:szCs w:val="21"/>
              </w:rPr>
              <w:t>检测频率</w:t>
            </w:r>
          </w:p>
        </w:tc>
        <w:tc>
          <w:tcPr>
            <w:tcW w:w="913" w:type="dxa"/>
            <w:vAlign w:val="center"/>
          </w:tcPr>
          <w:p>
            <w:pPr>
              <w:adjustRightInd w:val="0"/>
              <w:snapToGrid w:val="0"/>
              <w:spacing w:line="240" w:lineRule="exact"/>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9" w:hRule="atLeast"/>
          <w:jc w:val="center"/>
        </w:trPr>
        <w:tc>
          <w:tcPr>
            <w:tcW w:w="794" w:type="dxa"/>
            <w:vAlign w:val="center"/>
          </w:tcPr>
          <w:p>
            <w:pPr>
              <w:adjustRightInd w:val="0"/>
              <w:snapToGrid w:val="0"/>
              <w:spacing w:line="240" w:lineRule="exact"/>
              <w:jc w:val="center"/>
              <w:rPr>
                <w:szCs w:val="21"/>
                <w:vertAlign w:val="subscript"/>
              </w:rPr>
            </w:pPr>
            <w:r>
              <w:rPr>
                <w:szCs w:val="21"/>
              </w:rPr>
              <w:t>PM</w:t>
            </w:r>
            <w:r>
              <w:rPr>
                <w:szCs w:val="21"/>
                <w:vertAlign w:val="subscript"/>
              </w:rPr>
              <w:t>2.5</w:t>
            </w:r>
          </w:p>
        </w:tc>
        <w:tc>
          <w:tcPr>
            <w:tcW w:w="1022" w:type="dxa"/>
            <w:vAlign w:val="center"/>
          </w:tcPr>
          <w:p>
            <w:pPr>
              <w:adjustRightInd w:val="0"/>
              <w:snapToGrid w:val="0"/>
              <w:spacing w:line="240" w:lineRule="exact"/>
              <w:jc w:val="center"/>
              <w:rPr>
                <w:szCs w:val="21"/>
              </w:rPr>
            </w:pPr>
            <w:r>
              <w:rPr>
                <w:szCs w:val="21"/>
              </w:rPr>
              <w:t>日平均</w:t>
            </w:r>
          </w:p>
        </w:tc>
        <w:tc>
          <w:tcPr>
            <w:tcW w:w="6244" w:type="dxa"/>
            <w:vAlign w:val="center"/>
          </w:tcPr>
          <w:p>
            <w:pPr>
              <w:adjustRightInd w:val="0"/>
              <w:snapToGrid w:val="0"/>
              <w:spacing w:line="240" w:lineRule="exact"/>
              <w:jc w:val="center"/>
              <w:rPr>
                <w:szCs w:val="21"/>
              </w:rPr>
            </w:pPr>
            <w:r>
              <w:rPr>
                <w:szCs w:val="21"/>
              </w:rPr>
              <w:t>连续检测7天，每日至少有20小时的采样时间</w:t>
            </w:r>
          </w:p>
        </w:tc>
        <w:tc>
          <w:tcPr>
            <w:tcW w:w="913" w:type="dxa"/>
            <w:vMerge w:val="restart"/>
            <w:vAlign w:val="center"/>
          </w:tcPr>
          <w:p>
            <w:pPr>
              <w:adjustRightInd w:val="0"/>
              <w:snapToGrid w:val="0"/>
              <w:spacing w:line="240" w:lineRule="exact"/>
              <w:jc w:val="center"/>
              <w:rPr>
                <w:szCs w:val="21"/>
              </w:rPr>
            </w:pPr>
            <w:r>
              <w:rPr>
                <w:szCs w:val="21"/>
              </w:rPr>
              <w:t>同步监测风速、风向、气温、气压、总云、低云及天气状况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9" w:hRule="atLeast"/>
          <w:jc w:val="center"/>
        </w:trPr>
        <w:tc>
          <w:tcPr>
            <w:tcW w:w="794" w:type="dxa"/>
            <w:vAlign w:val="center"/>
          </w:tcPr>
          <w:p>
            <w:pPr>
              <w:adjustRightInd w:val="0"/>
              <w:snapToGrid w:val="0"/>
              <w:spacing w:line="240" w:lineRule="exact"/>
              <w:jc w:val="center"/>
              <w:rPr>
                <w:szCs w:val="21"/>
                <w:vertAlign w:val="subscript"/>
              </w:rPr>
            </w:pPr>
            <w:r>
              <w:rPr>
                <w:szCs w:val="21"/>
              </w:rPr>
              <w:t>PM</w:t>
            </w:r>
            <w:r>
              <w:rPr>
                <w:szCs w:val="21"/>
                <w:vertAlign w:val="subscript"/>
              </w:rPr>
              <w:t>10</w:t>
            </w:r>
          </w:p>
        </w:tc>
        <w:tc>
          <w:tcPr>
            <w:tcW w:w="1022" w:type="dxa"/>
            <w:vAlign w:val="center"/>
          </w:tcPr>
          <w:p>
            <w:pPr>
              <w:adjustRightInd w:val="0"/>
              <w:snapToGrid w:val="0"/>
              <w:spacing w:line="240" w:lineRule="exact"/>
              <w:jc w:val="center"/>
              <w:rPr>
                <w:szCs w:val="21"/>
              </w:rPr>
            </w:pPr>
            <w:r>
              <w:rPr>
                <w:szCs w:val="21"/>
              </w:rPr>
              <w:t>日平均</w:t>
            </w:r>
          </w:p>
        </w:tc>
        <w:tc>
          <w:tcPr>
            <w:tcW w:w="6244" w:type="dxa"/>
            <w:vAlign w:val="center"/>
          </w:tcPr>
          <w:p>
            <w:pPr>
              <w:adjustRightInd w:val="0"/>
              <w:snapToGrid w:val="0"/>
              <w:spacing w:line="240" w:lineRule="exact"/>
              <w:jc w:val="center"/>
              <w:rPr>
                <w:szCs w:val="21"/>
              </w:rPr>
            </w:pPr>
            <w:r>
              <w:rPr>
                <w:szCs w:val="21"/>
              </w:rPr>
              <w:t>连续检测7天，每日至少有20小时的采样时间</w:t>
            </w:r>
          </w:p>
        </w:tc>
        <w:tc>
          <w:tcPr>
            <w:tcW w:w="913" w:type="dxa"/>
            <w:vMerge w:val="continue"/>
            <w:vAlign w:val="center"/>
          </w:tcPr>
          <w:p>
            <w:pPr>
              <w:adjustRightInd w:val="0"/>
              <w:snapToGrid w:val="0"/>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9" w:hRule="atLeast"/>
          <w:jc w:val="center"/>
        </w:trPr>
        <w:tc>
          <w:tcPr>
            <w:tcW w:w="794" w:type="dxa"/>
            <w:vMerge w:val="restart"/>
            <w:vAlign w:val="center"/>
          </w:tcPr>
          <w:p>
            <w:pPr>
              <w:adjustRightInd w:val="0"/>
              <w:snapToGrid w:val="0"/>
              <w:spacing w:line="240" w:lineRule="exact"/>
              <w:jc w:val="center"/>
              <w:rPr>
                <w:szCs w:val="21"/>
              </w:rPr>
            </w:pPr>
            <w:r>
              <w:rPr>
                <w:szCs w:val="21"/>
              </w:rPr>
              <w:t>CO</w:t>
            </w:r>
          </w:p>
        </w:tc>
        <w:tc>
          <w:tcPr>
            <w:tcW w:w="1022" w:type="dxa"/>
            <w:vAlign w:val="center"/>
          </w:tcPr>
          <w:p>
            <w:pPr>
              <w:adjustRightInd w:val="0"/>
              <w:snapToGrid w:val="0"/>
              <w:spacing w:line="240" w:lineRule="exact"/>
              <w:jc w:val="center"/>
              <w:rPr>
                <w:szCs w:val="21"/>
              </w:rPr>
            </w:pPr>
            <w:r>
              <w:rPr>
                <w:szCs w:val="21"/>
              </w:rPr>
              <w:t>日平均</w:t>
            </w:r>
          </w:p>
        </w:tc>
        <w:tc>
          <w:tcPr>
            <w:tcW w:w="6244" w:type="dxa"/>
            <w:vAlign w:val="center"/>
          </w:tcPr>
          <w:p>
            <w:pPr>
              <w:adjustRightInd w:val="0"/>
              <w:snapToGrid w:val="0"/>
              <w:spacing w:line="240" w:lineRule="exact"/>
              <w:jc w:val="center"/>
              <w:rPr>
                <w:szCs w:val="21"/>
              </w:rPr>
            </w:pPr>
            <w:r>
              <w:rPr>
                <w:szCs w:val="21"/>
              </w:rPr>
              <w:t>连续检测7天，每日至少有20小时的采样时间</w:t>
            </w:r>
          </w:p>
        </w:tc>
        <w:tc>
          <w:tcPr>
            <w:tcW w:w="913" w:type="dxa"/>
            <w:vMerge w:val="continue"/>
            <w:vAlign w:val="center"/>
          </w:tcPr>
          <w:p>
            <w:pPr>
              <w:adjustRightInd w:val="0"/>
              <w:snapToGrid w:val="0"/>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9" w:hRule="atLeast"/>
          <w:jc w:val="center"/>
        </w:trPr>
        <w:tc>
          <w:tcPr>
            <w:tcW w:w="794" w:type="dxa"/>
            <w:vMerge w:val="continue"/>
            <w:vAlign w:val="center"/>
          </w:tcPr>
          <w:p>
            <w:pPr>
              <w:adjustRightInd w:val="0"/>
              <w:snapToGrid w:val="0"/>
              <w:spacing w:line="240" w:lineRule="exact"/>
              <w:jc w:val="center"/>
              <w:rPr>
                <w:szCs w:val="21"/>
              </w:rPr>
            </w:pPr>
          </w:p>
        </w:tc>
        <w:tc>
          <w:tcPr>
            <w:tcW w:w="1022" w:type="dxa"/>
            <w:vAlign w:val="center"/>
          </w:tcPr>
          <w:p>
            <w:pPr>
              <w:adjustRightInd w:val="0"/>
              <w:snapToGrid w:val="0"/>
              <w:spacing w:line="240" w:lineRule="exact"/>
              <w:jc w:val="center"/>
              <w:rPr>
                <w:szCs w:val="21"/>
              </w:rPr>
            </w:pPr>
            <w:r>
              <w:rPr>
                <w:szCs w:val="21"/>
              </w:rPr>
              <w:t>1小时平均</w:t>
            </w:r>
          </w:p>
        </w:tc>
        <w:tc>
          <w:tcPr>
            <w:tcW w:w="6244" w:type="dxa"/>
            <w:vAlign w:val="center"/>
          </w:tcPr>
          <w:p>
            <w:pPr>
              <w:adjustRightInd w:val="0"/>
              <w:snapToGrid w:val="0"/>
              <w:spacing w:line="240" w:lineRule="exact"/>
              <w:jc w:val="center"/>
              <w:rPr>
                <w:szCs w:val="21"/>
              </w:rPr>
            </w:pPr>
            <w:r>
              <w:rPr>
                <w:szCs w:val="21"/>
              </w:rPr>
              <w:t>连续检测7天，每日检测4次，02、08、14、20时各检测一次，每小时至少有45min的采样时间</w:t>
            </w:r>
          </w:p>
        </w:tc>
        <w:tc>
          <w:tcPr>
            <w:tcW w:w="913" w:type="dxa"/>
            <w:vMerge w:val="continue"/>
            <w:vAlign w:val="center"/>
          </w:tcPr>
          <w:p>
            <w:pPr>
              <w:adjustRightInd w:val="0"/>
              <w:snapToGrid w:val="0"/>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9" w:hRule="atLeast"/>
          <w:jc w:val="center"/>
        </w:trPr>
        <w:tc>
          <w:tcPr>
            <w:tcW w:w="794" w:type="dxa"/>
            <w:vMerge w:val="restart"/>
            <w:vAlign w:val="center"/>
          </w:tcPr>
          <w:p>
            <w:pPr>
              <w:adjustRightInd w:val="0"/>
              <w:snapToGrid w:val="0"/>
              <w:spacing w:line="240" w:lineRule="exact"/>
              <w:jc w:val="center"/>
              <w:rPr>
                <w:szCs w:val="21"/>
              </w:rPr>
            </w:pPr>
            <w:r>
              <w:rPr>
                <w:szCs w:val="21"/>
              </w:rPr>
              <w:t>O</w:t>
            </w:r>
            <w:r>
              <w:rPr>
                <w:szCs w:val="21"/>
                <w:vertAlign w:val="subscript"/>
              </w:rPr>
              <w:t>3</w:t>
            </w:r>
          </w:p>
        </w:tc>
        <w:tc>
          <w:tcPr>
            <w:tcW w:w="1022" w:type="dxa"/>
            <w:vAlign w:val="center"/>
          </w:tcPr>
          <w:p>
            <w:pPr>
              <w:adjustRightInd w:val="0"/>
              <w:snapToGrid w:val="0"/>
              <w:spacing w:line="240" w:lineRule="exact"/>
              <w:jc w:val="center"/>
              <w:rPr>
                <w:szCs w:val="21"/>
              </w:rPr>
            </w:pPr>
            <w:r>
              <w:rPr>
                <w:szCs w:val="21"/>
              </w:rPr>
              <w:t>日最大8小时平均</w:t>
            </w:r>
          </w:p>
        </w:tc>
        <w:tc>
          <w:tcPr>
            <w:tcW w:w="6244" w:type="dxa"/>
            <w:vAlign w:val="center"/>
          </w:tcPr>
          <w:p>
            <w:pPr>
              <w:adjustRightInd w:val="0"/>
              <w:snapToGrid w:val="0"/>
              <w:spacing w:line="240" w:lineRule="exact"/>
              <w:jc w:val="center"/>
              <w:rPr>
                <w:szCs w:val="21"/>
              </w:rPr>
            </w:pPr>
            <w:r>
              <w:rPr>
                <w:szCs w:val="21"/>
              </w:rPr>
              <w:t>连续检测7天，每8小时至少有6小时的采样时间</w:t>
            </w:r>
          </w:p>
        </w:tc>
        <w:tc>
          <w:tcPr>
            <w:tcW w:w="913" w:type="dxa"/>
            <w:vMerge w:val="continue"/>
            <w:vAlign w:val="center"/>
          </w:tcPr>
          <w:p>
            <w:pPr>
              <w:adjustRightInd w:val="0"/>
              <w:snapToGrid w:val="0"/>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9" w:hRule="atLeast"/>
          <w:jc w:val="center"/>
        </w:trPr>
        <w:tc>
          <w:tcPr>
            <w:tcW w:w="794" w:type="dxa"/>
            <w:vMerge w:val="continue"/>
            <w:vAlign w:val="center"/>
          </w:tcPr>
          <w:p>
            <w:pPr>
              <w:adjustRightInd w:val="0"/>
              <w:snapToGrid w:val="0"/>
              <w:spacing w:line="240" w:lineRule="exact"/>
              <w:jc w:val="center"/>
              <w:rPr>
                <w:szCs w:val="21"/>
              </w:rPr>
            </w:pPr>
          </w:p>
        </w:tc>
        <w:tc>
          <w:tcPr>
            <w:tcW w:w="1022" w:type="dxa"/>
            <w:vAlign w:val="center"/>
          </w:tcPr>
          <w:p>
            <w:pPr>
              <w:adjustRightInd w:val="0"/>
              <w:snapToGrid w:val="0"/>
              <w:spacing w:line="240" w:lineRule="exact"/>
              <w:jc w:val="center"/>
              <w:rPr>
                <w:szCs w:val="21"/>
              </w:rPr>
            </w:pPr>
            <w:r>
              <w:rPr>
                <w:szCs w:val="21"/>
              </w:rPr>
              <w:t>1小时平均</w:t>
            </w:r>
          </w:p>
        </w:tc>
        <w:tc>
          <w:tcPr>
            <w:tcW w:w="6244" w:type="dxa"/>
            <w:vAlign w:val="center"/>
          </w:tcPr>
          <w:p>
            <w:pPr>
              <w:adjustRightInd w:val="0"/>
              <w:snapToGrid w:val="0"/>
              <w:spacing w:line="240" w:lineRule="exact"/>
              <w:jc w:val="center"/>
              <w:rPr>
                <w:szCs w:val="21"/>
              </w:rPr>
            </w:pPr>
            <w:r>
              <w:rPr>
                <w:szCs w:val="21"/>
              </w:rPr>
              <w:t>连续检测7天，每日检测4次，02、08、14、20时各检测一次，每小时至少有45min的采样时间</w:t>
            </w:r>
          </w:p>
        </w:tc>
        <w:tc>
          <w:tcPr>
            <w:tcW w:w="913" w:type="dxa"/>
            <w:vMerge w:val="continue"/>
            <w:vAlign w:val="center"/>
          </w:tcPr>
          <w:p>
            <w:pPr>
              <w:adjustRightInd w:val="0"/>
              <w:snapToGrid w:val="0"/>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8" w:hRule="atLeast"/>
          <w:jc w:val="center"/>
        </w:trPr>
        <w:tc>
          <w:tcPr>
            <w:tcW w:w="794" w:type="dxa"/>
            <w:vMerge w:val="restart"/>
            <w:vAlign w:val="center"/>
          </w:tcPr>
          <w:p>
            <w:pPr>
              <w:adjustRightInd w:val="0"/>
              <w:snapToGrid w:val="0"/>
              <w:spacing w:line="240" w:lineRule="exact"/>
              <w:jc w:val="center"/>
              <w:rPr>
                <w:szCs w:val="21"/>
                <w:vertAlign w:val="subscript"/>
              </w:rPr>
            </w:pPr>
            <w:r>
              <w:rPr>
                <w:szCs w:val="21"/>
              </w:rPr>
              <w:t>SO</w:t>
            </w:r>
            <w:r>
              <w:rPr>
                <w:szCs w:val="21"/>
                <w:vertAlign w:val="subscript"/>
              </w:rPr>
              <w:t>2</w:t>
            </w:r>
          </w:p>
        </w:tc>
        <w:tc>
          <w:tcPr>
            <w:tcW w:w="1022" w:type="dxa"/>
            <w:vAlign w:val="center"/>
          </w:tcPr>
          <w:p>
            <w:pPr>
              <w:adjustRightInd w:val="0"/>
              <w:snapToGrid w:val="0"/>
              <w:spacing w:line="240" w:lineRule="exact"/>
              <w:jc w:val="center"/>
              <w:rPr>
                <w:szCs w:val="21"/>
              </w:rPr>
            </w:pPr>
            <w:r>
              <w:rPr>
                <w:szCs w:val="21"/>
              </w:rPr>
              <w:t>日平均</w:t>
            </w:r>
          </w:p>
        </w:tc>
        <w:tc>
          <w:tcPr>
            <w:tcW w:w="6244" w:type="dxa"/>
            <w:vAlign w:val="center"/>
          </w:tcPr>
          <w:p>
            <w:pPr>
              <w:adjustRightInd w:val="0"/>
              <w:snapToGrid w:val="0"/>
              <w:spacing w:line="240" w:lineRule="exact"/>
              <w:jc w:val="center"/>
              <w:rPr>
                <w:szCs w:val="21"/>
              </w:rPr>
            </w:pPr>
            <w:r>
              <w:rPr>
                <w:szCs w:val="21"/>
              </w:rPr>
              <w:t>连续检测7天，每日至少有20小时的采样时间</w:t>
            </w:r>
          </w:p>
        </w:tc>
        <w:tc>
          <w:tcPr>
            <w:tcW w:w="913" w:type="dxa"/>
            <w:vMerge w:val="continue"/>
            <w:vAlign w:val="center"/>
          </w:tcPr>
          <w:p>
            <w:pPr>
              <w:adjustRightInd w:val="0"/>
              <w:snapToGrid w:val="0"/>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9" w:hRule="atLeast"/>
          <w:jc w:val="center"/>
        </w:trPr>
        <w:tc>
          <w:tcPr>
            <w:tcW w:w="794" w:type="dxa"/>
            <w:vMerge w:val="continue"/>
            <w:vAlign w:val="center"/>
          </w:tcPr>
          <w:p>
            <w:pPr>
              <w:adjustRightInd w:val="0"/>
              <w:snapToGrid w:val="0"/>
              <w:spacing w:line="240" w:lineRule="exact"/>
              <w:jc w:val="center"/>
              <w:rPr>
                <w:szCs w:val="21"/>
                <w:vertAlign w:val="subscript"/>
              </w:rPr>
            </w:pPr>
          </w:p>
        </w:tc>
        <w:tc>
          <w:tcPr>
            <w:tcW w:w="1022" w:type="dxa"/>
            <w:vAlign w:val="center"/>
          </w:tcPr>
          <w:p>
            <w:pPr>
              <w:adjustRightInd w:val="0"/>
              <w:snapToGrid w:val="0"/>
              <w:spacing w:line="240" w:lineRule="exact"/>
              <w:jc w:val="center"/>
              <w:rPr>
                <w:szCs w:val="21"/>
              </w:rPr>
            </w:pPr>
            <w:r>
              <w:rPr>
                <w:szCs w:val="21"/>
              </w:rPr>
              <w:t>1小时平均</w:t>
            </w:r>
          </w:p>
        </w:tc>
        <w:tc>
          <w:tcPr>
            <w:tcW w:w="6244" w:type="dxa"/>
            <w:vAlign w:val="center"/>
          </w:tcPr>
          <w:p>
            <w:pPr>
              <w:adjustRightInd w:val="0"/>
              <w:snapToGrid w:val="0"/>
              <w:spacing w:line="240" w:lineRule="exact"/>
              <w:jc w:val="center"/>
              <w:rPr>
                <w:szCs w:val="21"/>
              </w:rPr>
            </w:pPr>
            <w:r>
              <w:rPr>
                <w:szCs w:val="21"/>
              </w:rPr>
              <w:t>连续检测7天，每日检测4次，02、08、14、20时各检测一次，每小时至少有45min的采样时间</w:t>
            </w:r>
          </w:p>
        </w:tc>
        <w:tc>
          <w:tcPr>
            <w:tcW w:w="913" w:type="dxa"/>
            <w:vMerge w:val="continue"/>
            <w:vAlign w:val="center"/>
          </w:tcPr>
          <w:p>
            <w:pPr>
              <w:adjustRightInd w:val="0"/>
              <w:snapToGrid w:val="0"/>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9" w:hRule="atLeast"/>
          <w:jc w:val="center"/>
        </w:trPr>
        <w:tc>
          <w:tcPr>
            <w:tcW w:w="794" w:type="dxa"/>
            <w:vMerge w:val="restart"/>
            <w:vAlign w:val="center"/>
          </w:tcPr>
          <w:p>
            <w:pPr>
              <w:adjustRightInd w:val="0"/>
              <w:snapToGrid w:val="0"/>
              <w:spacing w:line="240" w:lineRule="exact"/>
              <w:jc w:val="center"/>
              <w:rPr>
                <w:szCs w:val="21"/>
              </w:rPr>
            </w:pPr>
            <w:r>
              <w:rPr>
                <w:szCs w:val="21"/>
              </w:rPr>
              <w:t>NO</w:t>
            </w:r>
            <w:r>
              <w:rPr>
                <w:szCs w:val="21"/>
                <w:vertAlign w:val="subscript"/>
              </w:rPr>
              <w:t>2</w:t>
            </w:r>
          </w:p>
        </w:tc>
        <w:tc>
          <w:tcPr>
            <w:tcW w:w="1022" w:type="dxa"/>
            <w:vAlign w:val="center"/>
          </w:tcPr>
          <w:p>
            <w:pPr>
              <w:adjustRightInd w:val="0"/>
              <w:snapToGrid w:val="0"/>
              <w:spacing w:line="240" w:lineRule="exact"/>
              <w:jc w:val="center"/>
              <w:rPr>
                <w:szCs w:val="21"/>
              </w:rPr>
            </w:pPr>
            <w:r>
              <w:rPr>
                <w:szCs w:val="21"/>
              </w:rPr>
              <w:t>日平均</w:t>
            </w:r>
          </w:p>
        </w:tc>
        <w:tc>
          <w:tcPr>
            <w:tcW w:w="6244" w:type="dxa"/>
            <w:vAlign w:val="center"/>
          </w:tcPr>
          <w:p>
            <w:pPr>
              <w:adjustRightInd w:val="0"/>
              <w:snapToGrid w:val="0"/>
              <w:spacing w:line="240" w:lineRule="exact"/>
              <w:jc w:val="center"/>
              <w:rPr>
                <w:szCs w:val="21"/>
              </w:rPr>
            </w:pPr>
            <w:r>
              <w:rPr>
                <w:szCs w:val="21"/>
              </w:rPr>
              <w:t>连续检测7天，每日至少有20小时的采样时间</w:t>
            </w:r>
          </w:p>
        </w:tc>
        <w:tc>
          <w:tcPr>
            <w:tcW w:w="913" w:type="dxa"/>
            <w:vMerge w:val="continue"/>
            <w:vAlign w:val="center"/>
          </w:tcPr>
          <w:p>
            <w:pPr>
              <w:adjustRightInd w:val="0"/>
              <w:snapToGrid w:val="0"/>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9" w:hRule="atLeast"/>
          <w:jc w:val="center"/>
        </w:trPr>
        <w:tc>
          <w:tcPr>
            <w:tcW w:w="794" w:type="dxa"/>
            <w:vMerge w:val="continue"/>
            <w:vAlign w:val="center"/>
          </w:tcPr>
          <w:p>
            <w:pPr>
              <w:adjustRightInd w:val="0"/>
              <w:snapToGrid w:val="0"/>
              <w:spacing w:line="240" w:lineRule="exact"/>
              <w:jc w:val="center"/>
              <w:rPr>
                <w:szCs w:val="21"/>
              </w:rPr>
            </w:pPr>
          </w:p>
        </w:tc>
        <w:tc>
          <w:tcPr>
            <w:tcW w:w="1022" w:type="dxa"/>
            <w:vAlign w:val="center"/>
          </w:tcPr>
          <w:p>
            <w:pPr>
              <w:adjustRightInd w:val="0"/>
              <w:snapToGrid w:val="0"/>
              <w:spacing w:line="240" w:lineRule="exact"/>
              <w:jc w:val="center"/>
              <w:rPr>
                <w:szCs w:val="21"/>
              </w:rPr>
            </w:pPr>
            <w:r>
              <w:rPr>
                <w:szCs w:val="21"/>
              </w:rPr>
              <w:t>1小时平均</w:t>
            </w:r>
          </w:p>
        </w:tc>
        <w:tc>
          <w:tcPr>
            <w:tcW w:w="6244" w:type="dxa"/>
            <w:vAlign w:val="center"/>
          </w:tcPr>
          <w:p>
            <w:pPr>
              <w:adjustRightInd w:val="0"/>
              <w:snapToGrid w:val="0"/>
              <w:spacing w:line="240" w:lineRule="exact"/>
              <w:jc w:val="center"/>
              <w:rPr>
                <w:szCs w:val="21"/>
              </w:rPr>
            </w:pPr>
            <w:r>
              <w:rPr>
                <w:szCs w:val="21"/>
              </w:rPr>
              <w:t>连续检测7天，每日检测4次，02、08、14、20时各检测一次，每小时至少有45min的采样时间</w:t>
            </w:r>
          </w:p>
        </w:tc>
        <w:tc>
          <w:tcPr>
            <w:tcW w:w="913" w:type="dxa"/>
            <w:vMerge w:val="continue"/>
            <w:vAlign w:val="center"/>
          </w:tcPr>
          <w:p>
            <w:pPr>
              <w:adjustRightInd w:val="0"/>
              <w:snapToGrid w:val="0"/>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9" w:hRule="atLeast"/>
          <w:jc w:val="center"/>
        </w:trPr>
        <w:tc>
          <w:tcPr>
            <w:tcW w:w="794" w:type="dxa"/>
            <w:vAlign w:val="center"/>
          </w:tcPr>
          <w:p>
            <w:pPr>
              <w:adjustRightInd w:val="0"/>
              <w:snapToGrid w:val="0"/>
              <w:spacing w:line="240" w:lineRule="exact"/>
              <w:jc w:val="center"/>
              <w:rPr>
                <w:szCs w:val="21"/>
              </w:rPr>
            </w:pPr>
            <w:r>
              <w:rPr>
                <w:szCs w:val="21"/>
              </w:rPr>
              <w:t>H</w:t>
            </w:r>
            <w:r>
              <w:rPr>
                <w:szCs w:val="21"/>
                <w:vertAlign w:val="subscript"/>
              </w:rPr>
              <w:t>2</w:t>
            </w:r>
            <w:r>
              <w:rPr>
                <w:szCs w:val="21"/>
              </w:rPr>
              <w:t>S</w:t>
            </w:r>
          </w:p>
        </w:tc>
        <w:tc>
          <w:tcPr>
            <w:tcW w:w="1022" w:type="dxa"/>
            <w:vAlign w:val="center"/>
          </w:tcPr>
          <w:p>
            <w:pPr>
              <w:adjustRightInd w:val="0"/>
              <w:snapToGrid w:val="0"/>
              <w:spacing w:line="240" w:lineRule="exact"/>
              <w:jc w:val="center"/>
              <w:rPr>
                <w:szCs w:val="21"/>
              </w:rPr>
            </w:pPr>
            <w:r>
              <w:rPr>
                <w:szCs w:val="21"/>
              </w:rPr>
              <w:t>1小时平均</w:t>
            </w:r>
          </w:p>
        </w:tc>
        <w:tc>
          <w:tcPr>
            <w:tcW w:w="6244" w:type="dxa"/>
            <w:vAlign w:val="center"/>
          </w:tcPr>
          <w:p>
            <w:pPr>
              <w:adjustRightInd w:val="0"/>
              <w:snapToGrid w:val="0"/>
              <w:spacing w:line="240" w:lineRule="exact"/>
              <w:jc w:val="center"/>
              <w:rPr>
                <w:szCs w:val="21"/>
              </w:rPr>
            </w:pPr>
            <w:r>
              <w:rPr>
                <w:szCs w:val="21"/>
              </w:rPr>
              <w:t>连续检测7天，每日检测4次，02、08、14、20时各检测一次，每小时至少有45min的采样时间</w:t>
            </w:r>
          </w:p>
        </w:tc>
        <w:tc>
          <w:tcPr>
            <w:tcW w:w="913" w:type="dxa"/>
            <w:vMerge w:val="continue"/>
            <w:vAlign w:val="center"/>
          </w:tcPr>
          <w:p>
            <w:pPr>
              <w:adjustRightInd w:val="0"/>
              <w:snapToGrid w:val="0"/>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9" w:hRule="atLeast"/>
          <w:jc w:val="center"/>
        </w:trPr>
        <w:tc>
          <w:tcPr>
            <w:tcW w:w="794" w:type="dxa"/>
            <w:vAlign w:val="center"/>
          </w:tcPr>
          <w:p>
            <w:pPr>
              <w:adjustRightInd w:val="0"/>
              <w:snapToGrid w:val="0"/>
              <w:spacing w:line="240" w:lineRule="exact"/>
              <w:jc w:val="center"/>
              <w:rPr>
                <w:szCs w:val="21"/>
              </w:rPr>
            </w:pPr>
            <w:r>
              <w:rPr>
                <w:szCs w:val="21"/>
              </w:rPr>
              <w:t>NH</w:t>
            </w:r>
            <w:r>
              <w:rPr>
                <w:szCs w:val="21"/>
                <w:vertAlign w:val="subscript"/>
              </w:rPr>
              <w:t>3</w:t>
            </w:r>
          </w:p>
        </w:tc>
        <w:tc>
          <w:tcPr>
            <w:tcW w:w="1022" w:type="dxa"/>
            <w:vAlign w:val="center"/>
          </w:tcPr>
          <w:p>
            <w:pPr>
              <w:adjustRightInd w:val="0"/>
              <w:snapToGrid w:val="0"/>
              <w:spacing w:line="240" w:lineRule="exact"/>
              <w:jc w:val="center"/>
              <w:rPr>
                <w:szCs w:val="21"/>
              </w:rPr>
            </w:pPr>
            <w:r>
              <w:rPr>
                <w:szCs w:val="21"/>
              </w:rPr>
              <w:t>1小时平均</w:t>
            </w:r>
          </w:p>
        </w:tc>
        <w:tc>
          <w:tcPr>
            <w:tcW w:w="6244" w:type="dxa"/>
            <w:vAlign w:val="center"/>
          </w:tcPr>
          <w:p>
            <w:pPr>
              <w:adjustRightInd w:val="0"/>
              <w:snapToGrid w:val="0"/>
              <w:spacing w:line="240" w:lineRule="exact"/>
              <w:jc w:val="center"/>
              <w:rPr>
                <w:szCs w:val="21"/>
              </w:rPr>
            </w:pPr>
            <w:r>
              <w:rPr>
                <w:szCs w:val="21"/>
              </w:rPr>
              <w:t>连续检测7天，每日检测4次，02、08、14、20时各检测一次，每小时至少有45min的采样时间</w:t>
            </w:r>
          </w:p>
        </w:tc>
        <w:tc>
          <w:tcPr>
            <w:tcW w:w="913" w:type="dxa"/>
            <w:vMerge w:val="continue"/>
            <w:vAlign w:val="center"/>
          </w:tcPr>
          <w:p>
            <w:pPr>
              <w:adjustRightInd w:val="0"/>
              <w:snapToGrid w:val="0"/>
              <w:spacing w:line="240" w:lineRule="exact"/>
              <w:jc w:val="center"/>
              <w:rPr>
                <w:szCs w:val="21"/>
              </w:rPr>
            </w:pPr>
          </w:p>
        </w:tc>
      </w:tr>
    </w:tbl>
    <w:p>
      <w:pPr>
        <w:spacing w:line="500" w:lineRule="exact"/>
        <w:rPr>
          <w:b/>
          <w:bCs/>
          <w:color w:val="000000" w:themeColor="text1"/>
          <w:sz w:val="24"/>
        </w:rPr>
      </w:pPr>
      <w:bookmarkStart w:id="204" w:name="_Toc406662999"/>
      <w:bookmarkStart w:id="205" w:name="_Toc413829632"/>
      <w:r>
        <w:rPr>
          <w:b/>
          <w:bCs/>
          <w:color w:val="000000" w:themeColor="text1"/>
          <w:sz w:val="24"/>
        </w:rPr>
        <w:t>3.3.1.4评价因子和评价方法</w:t>
      </w:r>
      <w:bookmarkEnd w:id="204"/>
      <w:bookmarkEnd w:id="205"/>
    </w:p>
    <w:p>
      <w:pPr>
        <w:spacing w:line="520" w:lineRule="exact"/>
        <w:ind w:firstLine="480" w:firstLineChars="200"/>
        <w:rPr>
          <w:color w:val="000000" w:themeColor="text1"/>
          <w:sz w:val="24"/>
        </w:rPr>
      </w:pPr>
      <w:r>
        <w:rPr>
          <w:color w:val="000000" w:themeColor="text1"/>
          <w:sz w:val="24"/>
        </w:rPr>
        <w:t>评价因子采用单因子污染指数法进行评价。具体公式为：</w:t>
      </w:r>
    </w:p>
    <w:p>
      <w:pPr>
        <w:spacing w:line="520" w:lineRule="exact"/>
        <w:ind w:firstLine="570"/>
        <w:jc w:val="center"/>
        <w:rPr>
          <w:color w:val="000000" w:themeColor="text1"/>
          <w:sz w:val="24"/>
        </w:rPr>
      </w:pPr>
      <w:r>
        <w:rPr>
          <w:color w:val="000000" w:themeColor="text1"/>
          <w:sz w:val="24"/>
        </w:rPr>
        <w:t>Pi = Ci / Coi</w:t>
      </w:r>
    </w:p>
    <w:p>
      <w:pPr>
        <w:spacing w:line="520" w:lineRule="exact"/>
        <w:ind w:firstLine="480" w:firstLineChars="200"/>
        <w:rPr>
          <w:color w:val="000000" w:themeColor="text1"/>
          <w:sz w:val="24"/>
        </w:rPr>
      </w:pPr>
      <w:r>
        <w:rPr>
          <w:color w:val="000000" w:themeColor="text1"/>
          <w:sz w:val="24"/>
        </w:rPr>
        <w:t>式中：Pi—i种污染物的污染指数，无量纲；</w:t>
      </w:r>
    </w:p>
    <w:p>
      <w:pPr>
        <w:spacing w:line="520" w:lineRule="exact"/>
        <w:ind w:firstLine="480" w:firstLineChars="200"/>
        <w:rPr>
          <w:color w:val="000000" w:themeColor="text1"/>
          <w:sz w:val="24"/>
        </w:rPr>
      </w:pPr>
      <w:r>
        <w:rPr>
          <w:color w:val="000000" w:themeColor="text1"/>
          <w:sz w:val="24"/>
        </w:rPr>
        <w:t xml:space="preserve">          Ci—i种污染物的实测浓度，mg/m</w:t>
      </w:r>
      <w:r>
        <w:rPr>
          <w:color w:val="000000" w:themeColor="text1"/>
          <w:sz w:val="24"/>
          <w:vertAlign w:val="superscript"/>
        </w:rPr>
        <w:t>3</w:t>
      </w:r>
      <w:r>
        <w:rPr>
          <w:color w:val="000000" w:themeColor="text1"/>
          <w:sz w:val="24"/>
        </w:rPr>
        <w:t>；</w:t>
      </w:r>
    </w:p>
    <w:p>
      <w:pPr>
        <w:spacing w:line="520" w:lineRule="exact"/>
        <w:ind w:firstLine="480" w:firstLineChars="200"/>
        <w:rPr>
          <w:color w:val="000000" w:themeColor="text1"/>
          <w:sz w:val="24"/>
        </w:rPr>
      </w:pPr>
      <w:r>
        <w:rPr>
          <w:color w:val="000000" w:themeColor="text1"/>
          <w:sz w:val="24"/>
        </w:rPr>
        <w:t xml:space="preserve">          Coi—i种污染物的评价标准值，mg/m</w:t>
      </w:r>
      <w:r>
        <w:rPr>
          <w:color w:val="000000" w:themeColor="text1"/>
          <w:sz w:val="24"/>
          <w:vertAlign w:val="superscript"/>
        </w:rPr>
        <w:t>3</w:t>
      </w:r>
      <w:r>
        <w:rPr>
          <w:color w:val="000000" w:themeColor="text1"/>
          <w:sz w:val="24"/>
        </w:rPr>
        <w:t>。</w:t>
      </w:r>
    </w:p>
    <w:p>
      <w:pPr>
        <w:spacing w:line="500" w:lineRule="exact"/>
        <w:rPr>
          <w:b/>
          <w:bCs/>
          <w:color w:val="000000" w:themeColor="text1"/>
          <w:sz w:val="24"/>
        </w:rPr>
      </w:pPr>
      <w:bookmarkStart w:id="206" w:name="_Toc413829633"/>
      <w:bookmarkStart w:id="207" w:name="_Toc406663000"/>
      <w:r>
        <w:rPr>
          <w:b/>
          <w:bCs/>
          <w:color w:val="000000" w:themeColor="text1"/>
          <w:sz w:val="24"/>
        </w:rPr>
        <w:t>3.3.1.5评价标准</w:t>
      </w:r>
      <w:bookmarkEnd w:id="206"/>
      <w:bookmarkEnd w:id="207"/>
    </w:p>
    <w:p>
      <w:pPr>
        <w:spacing w:line="520" w:lineRule="exact"/>
        <w:ind w:firstLine="480" w:firstLineChars="200"/>
        <w:rPr>
          <w:color w:val="000000" w:themeColor="text1"/>
          <w:sz w:val="24"/>
        </w:rPr>
      </w:pPr>
      <w:r>
        <w:rPr>
          <w:color w:val="000000" w:themeColor="text1"/>
          <w:sz w:val="24"/>
        </w:rPr>
        <w:t>根据《环境空气质量标准》（GB3095-2012）中二级标准和</w:t>
      </w:r>
      <w:r>
        <w:rPr>
          <w:sz w:val="24"/>
        </w:rPr>
        <w:t>《环境影响评价技术导则 大气环境（HJ2.2-2018）》中附录D</w:t>
      </w:r>
      <w:r>
        <w:rPr>
          <w:color w:val="000000" w:themeColor="text1"/>
          <w:sz w:val="24"/>
        </w:rPr>
        <w:t>的最高允许浓度限值，评价执行标准具体见表</w:t>
      </w:r>
      <w:r>
        <w:rPr>
          <w:rFonts w:hint="eastAsia"/>
          <w:color w:val="000000" w:themeColor="text1"/>
          <w:sz w:val="24"/>
        </w:rPr>
        <w:t>3.3-4</w:t>
      </w:r>
      <w:r>
        <w:rPr>
          <w:color w:val="000000" w:themeColor="text1"/>
          <w:sz w:val="24"/>
        </w:rPr>
        <w:t>。</w:t>
      </w:r>
    </w:p>
    <w:p>
      <w:pPr>
        <w:spacing w:afterLines="30" w:line="500" w:lineRule="exact"/>
        <w:jc w:val="center"/>
        <w:rPr>
          <w:b/>
          <w:color w:val="000000" w:themeColor="text1"/>
          <w:sz w:val="24"/>
        </w:rPr>
      </w:pPr>
      <w:r>
        <w:rPr>
          <w:b/>
          <w:color w:val="000000" w:themeColor="text1"/>
          <w:sz w:val="24"/>
        </w:rPr>
        <w:t>表</w:t>
      </w:r>
      <w:r>
        <w:rPr>
          <w:rFonts w:hint="eastAsia"/>
          <w:b/>
          <w:color w:val="000000" w:themeColor="text1"/>
          <w:sz w:val="24"/>
        </w:rPr>
        <w:t>3.3-4</w:t>
      </w:r>
      <w:r>
        <w:rPr>
          <w:b/>
          <w:color w:val="000000" w:themeColor="text1"/>
          <w:sz w:val="24"/>
        </w:rPr>
        <w:t xml:space="preserve">    环境空气质量标准</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951"/>
        <w:gridCol w:w="1701"/>
        <w:gridCol w:w="33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985" w:type="dxa"/>
            <w:noWrap/>
            <w:vAlign w:val="center"/>
          </w:tcPr>
          <w:p>
            <w:pPr>
              <w:adjustRightInd w:val="0"/>
              <w:snapToGrid w:val="0"/>
              <w:jc w:val="center"/>
              <w:rPr>
                <w:b/>
                <w:szCs w:val="21"/>
              </w:rPr>
            </w:pPr>
            <w:bookmarkStart w:id="208" w:name="_Toc406663001"/>
            <w:bookmarkStart w:id="209" w:name="_Toc413829634"/>
            <w:r>
              <w:rPr>
                <w:b/>
                <w:szCs w:val="21"/>
              </w:rPr>
              <w:t>污染物名称</w:t>
            </w:r>
          </w:p>
        </w:tc>
        <w:tc>
          <w:tcPr>
            <w:tcW w:w="1951" w:type="dxa"/>
            <w:noWrap/>
            <w:vAlign w:val="center"/>
          </w:tcPr>
          <w:p>
            <w:pPr>
              <w:adjustRightInd w:val="0"/>
              <w:snapToGrid w:val="0"/>
              <w:jc w:val="center"/>
              <w:rPr>
                <w:b/>
                <w:szCs w:val="21"/>
              </w:rPr>
            </w:pPr>
            <w:r>
              <w:rPr>
                <w:b/>
                <w:szCs w:val="21"/>
              </w:rPr>
              <w:t>取值时间</w:t>
            </w:r>
          </w:p>
        </w:tc>
        <w:tc>
          <w:tcPr>
            <w:tcW w:w="1701" w:type="dxa"/>
            <w:noWrap/>
            <w:vAlign w:val="center"/>
          </w:tcPr>
          <w:p>
            <w:pPr>
              <w:adjustRightInd w:val="0"/>
              <w:snapToGrid w:val="0"/>
              <w:jc w:val="center"/>
              <w:rPr>
                <w:b/>
                <w:szCs w:val="21"/>
              </w:rPr>
            </w:pPr>
            <w:r>
              <w:rPr>
                <w:b/>
                <w:szCs w:val="21"/>
              </w:rPr>
              <w:t>单位</w:t>
            </w:r>
          </w:p>
        </w:tc>
        <w:tc>
          <w:tcPr>
            <w:tcW w:w="3309" w:type="dxa"/>
            <w:noWrap/>
            <w:vAlign w:val="center"/>
          </w:tcPr>
          <w:p>
            <w:pPr>
              <w:adjustRightInd w:val="0"/>
              <w:snapToGrid w:val="0"/>
              <w:jc w:val="center"/>
              <w:rPr>
                <w:b/>
                <w:szCs w:val="21"/>
              </w:rPr>
            </w:pPr>
            <w:r>
              <w:rPr>
                <w:b/>
                <w:szCs w:val="21"/>
              </w:rPr>
              <w:t>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985" w:type="dxa"/>
            <w:noWrap/>
            <w:vAlign w:val="center"/>
          </w:tcPr>
          <w:p>
            <w:pPr>
              <w:adjustRightInd w:val="0"/>
              <w:snapToGrid w:val="0"/>
              <w:jc w:val="center"/>
              <w:rPr>
                <w:szCs w:val="21"/>
              </w:rPr>
            </w:pPr>
            <w:r>
              <w:rPr>
                <w:szCs w:val="21"/>
              </w:rPr>
              <w:t>H</w:t>
            </w:r>
            <w:r>
              <w:rPr>
                <w:szCs w:val="21"/>
                <w:vertAlign w:val="subscript"/>
              </w:rPr>
              <w:t>2</w:t>
            </w:r>
            <w:r>
              <w:rPr>
                <w:szCs w:val="21"/>
              </w:rPr>
              <w:t>S</w:t>
            </w:r>
          </w:p>
        </w:tc>
        <w:tc>
          <w:tcPr>
            <w:tcW w:w="1951" w:type="dxa"/>
            <w:noWrap/>
            <w:vAlign w:val="center"/>
          </w:tcPr>
          <w:p>
            <w:pPr>
              <w:adjustRightInd w:val="0"/>
              <w:snapToGrid w:val="0"/>
              <w:jc w:val="center"/>
              <w:rPr>
                <w:szCs w:val="21"/>
              </w:rPr>
            </w:pPr>
            <w:r>
              <w:rPr>
                <w:szCs w:val="21"/>
              </w:rPr>
              <w:t>一次值</w:t>
            </w:r>
          </w:p>
        </w:tc>
        <w:tc>
          <w:tcPr>
            <w:tcW w:w="1701" w:type="dxa"/>
            <w:noWrap/>
            <w:vAlign w:val="center"/>
          </w:tcPr>
          <w:p>
            <w:pPr>
              <w:adjustRightInd w:val="0"/>
              <w:snapToGrid w:val="0"/>
              <w:jc w:val="center"/>
              <w:rPr>
                <w:szCs w:val="21"/>
              </w:rPr>
            </w:pPr>
            <w:r>
              <w:rPr>
                <w:szCs w:val="21"/>
              </w:rPr>
              <w:t>mg/m</w:t>
            </w:r>
            <w:r>
              <w:rPr>
                <w:szCs w:val="21"/>
                <w:vertAlign w:val="superscript"/>
              </w:rPr>
              <w:t>3</w:t>
            </w:r>
          </w:p>
        </w:tc>
        <w:tc>
          <w:tcPr>
            <w:tcW w:w="3309" w:type="dxa"/>
            <w:noWrap/>
            <w:vAlign w:val="center"/>
          </w:tcPr>
          <w:p>
            <w:pPr>
              <w:adjustRightInd w:val="0"/>
              <w:snapToGrid w:val="0"/>
              <w:jc w:val="center"/>
              <w:rPr>
                <w:szCs w:val="21"/>
              </w:rPr>
            </w:pPr>
            <w:r>
              <w:rPr>
                <w:szCs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985" w:type="dxa"/>
            <w:noWrap/>
            <w:vAlign w:val="center"/>
          </w:tcPr>
          <w:p>
            <w:pPr>
              <w:adjustRightInd w:val="0"/>
              <w:snapToGrid w:val="0"/>
              <w:jc w:val="center"/>
              <w:rPr>
                <w:szCs w:val="21"/>
              </w:rPr>
            </w:pPr>
            <w:r>
              <w:rPr>
                <w:szCs w:val="21"/>
              </w:rPr>
              <w:t>NH</w:t>
            </w:r>
            <w:r>
              <w:rPr>
                <w:szCs w:val="21"/>
                <w:vertAlign w:val="subscript"/>
              </w:rPr>
              <w:t>3</w:t>
            </w:r>
          </w:p>
        </w:tc>
        <w:tc>
          <w:tcPr>
            <w:tcW w:w="1951" w:type="dxa"/>
            <w:noWrap/>
            <w:vAlign w:val="center"/>
          </w:tcPr>
          <w:p>
            <w:pPr>
              <w:adjustRightInd w:val="0"/>
              <w:snapToGrid w:val="0"/>
              <w:jc w:val="center"/>
              <w:rPr>
                <w:szCs w:val="21"/>
              </w:rPr>
            </w:pPr>
            <w:r>
              <w:rPr>
                <w:szCs w:val="21"/>
              </w:rPr>
              <w:t>一次值</w:t>
            </w:r>
          </w:p>
        </w:tc>
        <w:tc>
          <w:tcPr>
            <w:tcW w:w="1701" w:type="dxa"/>
            <w:noWrap/>
            <w:vAlign w:val="center"/>
          </w:tcPr>
          <w:p>
            <w:pPr>
              <w:jc w:val="center"/>
              <w:rPr>
                <w:szCs w:val="21"/>
              </w:rPr>
            </w:pPr>
            <w:r>
              <w:rPr>
                <w:szCs w:val="21"/>
              </w:rPr>
              <w:t>mg/m</w:t>
            </w:r>
            <w:r>
              <w:rPr>
                <w:szCs w:val="21"/>
                <w:vertAlign w:val="superscript"/>
              </w:rPr>
              <w:t>3</w:t>
            </w:r>
          </w:p>
        </w:tc>
        <w:tc>
          <w:tcPr>
            <w:tcW w:w="3309" w:type="dxa"/>
            <w:noWrap/>
            <w:vAlign w:val="center"/>
          </w:tcPr>
          <w:p>
            <w:pPr>
              <w:adjustRightInd w:val="0"/>
              <w:snapToGrid w:val="0"/>
              <w:jc w:val="center"/>
              <w:rPr>
                <w:szCs w:val="21"/>
              </w:rPr>
            </w:pPr>
            <w:r>
              <w:rPr>
                <w:szCs w:val="21"/>
              </w:rPr>
              <w:t>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985" w:type="dxa"/>
            <w:vMerge w:val="restart"/>
            <w:noWrap/>
            <w:vAlign w:val="center"/>
          </w:tcPr>
          <w:p>
            <w:pPr>
              <w:adjustRightInd w:val="0"/>
              <w:snapToGrid w:val="0"/>
              <w:jc w:val="center"/>
              <w:rPr>
                <w:szCs w:val="21"/>
              </w:rPr>
            </w:pPr>
            <w:r>
              <w:rPr>
                <w:szCs w:val="21"/>
              </w:rPr>
              <w:t>SO</w:t>
            </w:r>
            <w:r>
              <w:rPr>
                <w:szCs w:val="21"/>
                <w:vertAlign w:val="subscript"/>
              </w:rPr>
              <w:t>2</w:t>
            </w:r>
          </w:p>
        </w:tc>
        <w:tc>
          <w:tcPr>
            <w:tcW w:w="1951" w:type="dxa"/>
            <w:noWrap/>
            <w:vAlign w:val="center"/>
          </w:tcPr>
          <w:p>
            <w:pPr>
              <w:topLinePunct/>
              <w:jc w:val="center"/>
              <w:rPr>
                <w:szCs w:val="21"/>
              </w:rPr>
            </w:pPr>
            <w:r>
              <w:rPr>
                <w:szCs w:val="21"/>
              </w:rPr>
              <w:t>1小时平均</w:t>
            </w:r>
          </w:p>
        </w:tc>
        <w:tc>
          <w:tcPr>
            <w:tcW w:w="1701" w:type="dxa"/>
            <w:noWrap/>
            <w:vAlign w:val="center"/>
          </w:tcPr>
          <w:p>
            <w:pPr>
              <w:jc w:val="center"/>
              <w:rPr>
                <w:szCs w:val="21"/>
              </w:rPr>
            </w:pPr>
            <w:r>
              <w:rPr>
                <w:szCs w:val="21"/>
              </w:rPr>
              <w:t>µg/m</w:t>
            </w:r>
            <w:r>
              <w:rPr>
                <w:szCs w:val="21"/>
                <w:vertAlign w:val="superscript"/>
              </w:rPr>
              <w:t>3</w:t>
            </w:r>
          </w:p>
        </w:tc>
        <w:tc>
          <w:tcPr>
            <w:tcW w:w="3309" w:type="dxa"/>
            <w:noWrap/>
            <w:vAlign w:val="center"/>
          </w:tcPr>
          <w:p>
            <w:pPr>
              <w:adjustRightInd w:val="0"/>
              <w:snapToGrid w:val="0"/>
              <w:jc w:val="center"/>
              <w:rPr>
                <w:szCs w:val="21"/>
              </w:rPr>
            </w:pPr>
            <w:r>
              <w:rPr>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985" w:type="dxa"/>
            <w:vMerge w:val="continue"/>
            <w:noWrap/>
            <w:vAlign w:val="center"/>
          </w:tcPr>
          <w:p>
            <w:pPr>
              <w:adjustRightInd w:val="0"/>
              <w:snapToGrid w:val="0"/>
              <w:jc w:val="center"/>
              <w:rPr>
                <w:szCs w:val="21"/>
              </w:rPr>
            </w:pPr>
          </w:p>
        </w:tc>
        <w:tc>
          <w:tcPr>
            <w:tcW w:w="1951" w:type="dxa"/>
            <w:noWrap/>
            <w:vAlign w:val="center"/>
          </w:tcPr>
          <w:p>
            <w:pPr>
              <w:topLinePunct/>
              <w:jc w:val="center"/>
              <w:rPr>
                <w:szCs w:val="21"/>
              </w:rPr>
            </w:pPr>
            <w:r>
              <w:rPr>
                <w:szCs w:val="21"/>
              </w:rPr>
              <w:t>24小时平均</w:t>
            </w:r>
          </w:p>
        </w:tc>
        <w:tc>
          <w:tcPr>
            <w:tcW w:w="1701" w:type="dxa"/>
            <w:noWrap/>
            <w:vAlign w:val="center"/>
          </w:tcPr>
          <w:p>
            <w:pPr>
              <w:jc w:val="center"/>
              <w:rPr>
                <w:szCs w:val="21"/>
              </w:rPr>
            </w:pPr>
            <w:r>
              <w:rPr>
                <w:szCs w:val="21"/>
              </w:rPr>
              <w:t>µg/m</w:t>
            </w:r>
            <w:r>
              <w:rPr>
                <w:szCs w:val="21"/>
                <w:vertAlign w:val="superscript"/>
              </w:rPr>
              <w:t>3</w:t>
            </w:r>
          </w:p>
        </w:tc>
        <w:tc>
          <w:tcPr>
            <w:tcW w:w="3309" w:type="dxa"/>
            <w:noWrap/>
            <w:vAlign w:val="center"/>
          </w:tcPr>
          <w:p>
            <w:pPr>
              <w:adjustRightInd w:val="0"/>
              <w:snapToGrid w:val="0"/>
              <w:jc w:val="center"/>
              <w:rPr>
                <w:szCs w:val="21"/>
              </w:rPr>
            </w:pPr>
            <w:r>
              <w:rPr>
                <w:szCs w:val="21"/>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985" w:type="dxa"/>
            <w:vMerge w:val="restart"/>
            <w:noWrap/>
            <w:vAlign w:val="center"/>
          </w:tcPr>
          <w:p>
            <w:pPr>
              <w:adjustRightInd w:val="0"/>
              <w:snapToGrid w:val="0"/>
              <w:jc w:val="center"/>
              <w:rPr>
                <w:szCs w:val="21"/>
              </w:rPr>
            </w:pPr>
            <w:r>
              <w:rPr>
                <w:szCs w:val="21"/>
              </w:rPr>
              <w:t>NO</w:t>
            </w:r>
            <w:r>
              <w:rPr>
                <w:szCs w:val="21"/>
                <w:vertAlign w:val="subscript"/>
              </w:rPr>
              <w:t>2</w:t>
            </w:r>
          </w:p>
        </w:tc>
        <w:tc>
          <w:tcPr>
            <w:tcW w:w="1951" w:type="dxa"/>
            <w:noWrap/>
            <w:vAlign w:val="center"/>
          </w:tcPr>
          <w:p>
            <w:pPr>
              <w:topLinePunct/>
              <w:jc w:val="center"/>
              <w:rPr>
                <w:szCs w:val="21"/>
              </w:rPr>
            </w:pPr>
            <w:r>
              <w:rPr>
                <w:szCs w:val="21"/>
              </w:rPr>
              <w:t>1小时平均</w:t>
            </w:r>
          </w:p>
        </w:tc>
        <w:tc>
          <w:tcPr>
            <w:tcW w:w="1701" w:type="dxa"/>
            <w:noWrap/>
            <w:vAlign w:val="center"/>
          </w:tcPr>
          <w:p>
            <w:pPr>
              <w:jc w:val="center"/>
              <w:rPr>
                <w:szCs w:val="21"/>
              </w:rPr>
            </w:pPr>
            <w:r>
              <w:rPr>
                <w:szCs w:val="21"/>
              </w:rPr>
              <w:t>µg/m</w:t>
            </w:r>
            <w:r>
              <w:rPr>
                <w:szCs w:val="21"/>
                <w:vertAlign w:val="superscript"/>
              </w:rPr>
              <w:t>3</w:t>
            </w:r>
          </w:p>
        </w:tc>
        <w:tc>
          <w:tcPr>
            <w:tcW w:w="3309" w:type="dxa"/>
            <w:noWrap/>
            <w:vAlign w:val="center"/>
          </w:tcPr>
          <w:p>
            <w:pPr>
              <w:adjustRightInd w:val="0"/>
              <w:snapToGrid w:val="0"/>
              <w:jc w:val="center"/>
              <w:rPr>
                <w:szCs w:val="21"/>
              </w:rPr>
            </w:pPr>
            <w:r>
              <w:rPr>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985" w:type="dxa"/>
            <w:vMerge w:val="continue"/>
            <w:noWrap/>
            <w:vAlign w:val="center"/>
          </w:tcPr>
          <w:p>
            <w:pPr>
              <w:adjustRightInd w:val="0"/>
              <w:snapToGrid w:val="0"/>
              <w:jc w:val="center"/>
              <w:rPr>
                <w:szCs w:val="21"/>
              </w:rPr>
            </w:pPr>
          </w:p>
        </w:tc>
        <w:tc>
          <w:tcPr>
            <w:tcW w:w="1951" w:type="dxa"/>
            <w:noWrap/>
            <w:vAlign w:val="center"/>
          </w:tcPr>
          <w:p>
            <w:pPr>
              <w:topLinePunct/>
              <w:jc w:val="center"/>
              <w:rPr>
                <w:szCs w:val="21"/>
              </w:rPr>
            </w:pPr>
            <w:r>
              <w:rPr>
                <w:szCs w:val="21"/>
              </w:rPr>
              <w:t>24小时平均</w:t>
            </w:r>
          </w:p>
        </w:tc>
        <w:tc>
          <w:tcPr>
            <w:tcW w:w="1701" w:type="dxa"/>
            <w:noWrap/>
            <w:vAlign w:val="center"/>
          </w:tcPr>
          <w:p>
            <w:pPr>
              <w:jc w:val="center"/>
              <w:rPr>
                <w:szCs w:val="21"/>
              </w:rPr>
            </w:pPr>
            <w:r>
              <w:rPr>
                <w:szCs w:val="21"/>
              </w:rPr>
              <w:t>µg/m</w:t>
            </w:r>
            <w:r>
              <w:rPr>
                <w:szCs w:val="21"/>
                <w:vertAlign w:val="superscript"/>
              </w:rPr>
              <w:t>3</w:t>
            </w:r>
          </w:p>
        </w:tc>
        <w:tc>
          <w:tcPr>
            <w:tcW w:w="3309" w:type="dxa"/>
            <w:noWrap/>
            <w:vAlign w:val="center"/>
          </w:tcPr>
          <w:p>
            <w:pPr>
              <w:adjustRightInd w:val="0"/>
              <w:snapToGrid w:val="0"/>
              <w:jc w:val="center"/>
              <w:rPr>
                <w:szCs w:val="21"/>
              </w:rPr>
            </w:pPr>
            <w:r>
              <w:rPr>
                <w:szCs w:val="21"/>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985" w:type="dxa"/>
            <w:noWrap/>
            <w:vAlign w:val="center"/>
          </w:tcPr>
          <w:p>
            <w:pPr>
              <w:adjustRightInd w:val="0"/>
              <w:snapToGrid w:val="0"/>
              <w:jc w:val="center"/>
              <w:rPr>
                <w:szCs w:val="21"/>
              </w:rPr>
            </w:pPr>
            <w:r>
              <w:rPr>
                <w:szCs w:val="21"/>
              </w:rPr>
              <w:t>PM</w:t>
            </w:r>
            <w:r>
              <w:rPr>
                <w:szCs w:val="21"/>
                <w:vertAlign w:val="subscript"/>
              </w:rPr>
              <w:t>10</w:t>
            </w:r>
          </w:p>
        </w:tc>
        <w:tc>
          <w:tcPr>
            <w:tcW w:w="1951" w:type="dxa"/>
            <w:noWrap/>
            <w:vAlign w:val="center"/>
          </w:tcPr>
          <w:p>
            <w:pPr>
              <w:adjustRightInd w:val="0"/>
              <w:snapToGrid w:val="0"/>
              <w:jc w:val="center"/>
              <w:rPr>
                <w:szCs w:val="21"/>
              </w:rPr>
            </w:pPr>
            <w:r>
              <w:rPr>
                <w:szCs w:val="21"/>
              </w:rPr>
              <w:t>24小时平均</w:t>
            </w:r>
          </w:p>
        </w:tc>
        <w:tc>
          <w:tcPr>
            <w:tcW w:w="1701" w:type="dxa"/>
            <w:noWrap/>
            <w:vAlign w:val="center"/>
          </w:tcPr>
          <w:p>
            <w:pPr>
              <w:jc w:val="center"/>
              <w:rPr>
                <w:szCs w:val="21"/>
              </w:rPr>
            </w:pPr>
            <w:r>
              <w:rPr>
                <w:szCs w:val="21"/>
              </w:rPr>
              <w:t>µg/m</w:t>
            </w:r>
            <w:r>
              <w:rPr>
                <w:szCs w:val="21"/>
                <w:vertAlign w:val="superscript"/>
              </w:rPr>
              <w:t>3</w:t>
            </w:r>
          </w:p>
        </w:tc>
        <w:tc>
          <w:tcPr>
            <w:tcW w:w="3309" w:type="dxa"/>
            <w:noWrap/>
            <w:vAlign w:val="center"/>
          </w:tcPr>
          <w:p>
            <w:pPr>
              <w:adjustRightInd w:val="0"/>
              <w:snapToGrid w:val="0"/>
              <w:jc w:val="center"/>
              <w:rPr>
                <w:szCs w:val="21"/>
              </w:rPr>
            </w:pPr>
            <w:r>
              <w:rPr>
                <w:szCs w:val="21"/>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985" w:type="dxa"/>
            <w:noWrap/>
            <w:vAlign w:val="center"/>
          </w:tcPr>
          <w:p>
            <w:pPr>
              <w:adjustRightInd w:val="0"/>
              <w:snapToGrid w:val="0"/>
              <w:jc w:val="center"/>
              <w:rPr>
                <w:szCs w:val="21"/>
              </w:rPr>
            </w:pPr>
            <w:r>
              <w:rPr>
                <w:szCs w:val="21"/>
              </w:rPr>
              <w:t>PM2.5</w:t>
            </w:r>
          </w:p>
        </w:tc>
        <w:tc>
          <w:tcPr>
            <w:tcW w:w="1951" w:type="dxa"/>
            <w:noWrap/>
            <w:vAlign w:val="center"/>
          </w:tcPr>
          <w:p>
            <w:pPr>
              <w:adjustRightInd w:val="0"/>
              <w:snapToGrid w:val="0"/>
              <w:jc w:val="center"/>
              <w:rPr>
                <w:szCs w:val="21"/>
              </w:rPr>
            </w:pPr>
            <w:r>
              <w:rPr>
                <w:szCs w:val="21"/>
              </w:rPr>
              <w:t>24小时平均</w:t>
            </w:r>
          </w:p>
        </w:tc>
        <w:tc>
          <w:tcPr>
            <w:tcW w:w="1701" w:type="dxa"/>
            <w:noWrap/>
            <w:vAlign w:val="center"/>
          </w:tcPr>
          <w:p>
            <w:pPr>
              <w:jc w:val="center"/>
              <w:rPr>
                <w:szCs w:val="21"/>
              </w:rPr>
            </w:pPr>
            <w:r>
              <w:rPr>
                <w:szCs w:val="21"/>
              </w:rPr>
              <w:t>µg/m</w:t>
            </w:r>
            <w:r>
              <w:rPr>
                <w:szCs w:val="21"/>
                <w:vertAlign w:val="superscript"/>
              </w:rPr>
              <w:t>3</w:t>
            </w:r>
          </w:p>
        </w:tc>
        <w:tc>
          <w:tcPr>
            <w:tcW w:w="3309" w:type="dxa"/>
            <w:noWrap/>
            <w:vAlign w:val="center"/>
          </w:tcPr>
          <w:p>
            <w:pPr>
              <w:adjustRightInd w:val="0"/>
              <w:snapToGrid w:val="0"/>
              <w:jc w:val="center"/>
              <w:rPr>
                <w:szCs w:val="21"/>
              </w:rPr>
            </w:pPr>
            <w:r>
              <w:rPr>
                <w:szCs w:val="21"/>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985" w:type="dxa"/>
            <w:vMerge w:val="restart"/>
            <w:noWrap/>
            <w:vAlign w:val="center"/>
          </w:tcPr>
          <w:p>
            <w:pPr>
              <w:adjustRightInd w:val="0"/>
              <w:snapToGrid w:val="0"/>
              <w:jc w:val="center"/>
              <w:rPr>
                <w:szCs w:val="21"/>
              </w:rPr>
            </w:pPr>
            <w:r>
              <w:rPr>
                <w:szCs w:val="21"/>
              </w:rPr>
              <w:t>CO</w:t>
            </w:r>
          </w:p>
        </w:tc>
        <w:tc>
          <w:tcPr>
            <w:tcW w:w="1951" w:type="dxa"/>
            <w:noWrap/>
            <w:vAlign w:val="center"/>
          </w:tcPr>
          <w:p>
            <w:pPr>
              <w:topLinePunct/>
              <w:jc w:val="center"/>
              <w:rPr>
                <w:szCs w:val="21"/>
              </w:rPr>
            </w:pPr>
            <w:r>
              <w:rPr>
                <w:szCs w:val="21"/>
              </w:rPr>
              <w:t>1小时平均</w:t>
            </w:r>
          </w:p>
        </w:tc>
        <w:tc>
          <w:tcPr>
            <w:tcW w:w="1701" w:type="dxa"/>
            <w:noWrap/>
            <w:vAlign w:val="center"/>
          </w:tcPr>
          <w:p>
            <w:pPr>
              <w:jc w:val="center"/>
              <w:rPr>
                <w:szCs w:val="21"/>
              </w:rPr>
            </w:pPr>
            <w:r>
              <w:rPr>
                <w:szCs w:val="21"/>
              </w:rPr>
              <w:t>mg/m</w:t>
            </w:r>
            <w:r>
              <w:rPr>
                <w:szCs w:val="21"/>
                <w:vertAlign w:val="superscript"/>
              </w:rPr>
              <w:t>3</w:t>
            </w:r>
          </w:p>
        </w:tc>
        <w:tc>
          <w:tcPr>
            <w:tcW w:w="3309" w:type="dxa"/>
            <w:noWrap/>
            <w:vAlign w:val="center"/>
          </w:tcPr>
          <w:p>
            <w:pPr>
              <w:adjustRightInd w:val="0"/>
              <w:snapToGrid w:val="0"/>
              <w:jc w:val="center"/>
              <w:rPr>
                <w:szCs w:val="21"/>
              </w:rPr>
            </w:pPr>
            <w:r>
              <w:rPr>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985" w:type="dxa"/>
            <w:vMerge w:val="continue"/>
            <w:noWrap/>
            <w:vAlign w:val="center"/>
          </w:tcPr>
          <w:p>
            <w:pPr>
              <w:adjustRightInd w:val="0"/>
              <w:snapToGrid w:val="0"/>
              <w:jc w:val="center"/>
              <w:rPr>
                <w:szCs w:val="21"/>
              </w:rPr>
            </w:pPr>
          </w:p>
        </w:tc>
        <w:tc>
          <w:tcPr>
            <w:tcW w:w="1951" w:type="dxa"/>
            <w:noWrap/>
            <w:vAlign w:val="center"/>
          </w:tcPr>
          <w:p>
            <w:pPr>
              <w:topLinePunct/>
              <w:jc w:val="center"/>
              <w:rPr>
                <w:szCs w:val="21"/>
              </w:rPr>
            </w:pPr>
            <w:r>
              <w:rPr>
                <w:szCs w:val="21"/>
              </w:rPr>
              <w:t>24小时平均</w:t>
            </w:r>
          </w:p>
        </w:tc>
        <w:tc>
          <w:tcPr>
            <w:tcW w:w="1701" w:type="dxa"/>
            <w:noWrap/>
            <w:vAlign w:val="center"/>
          </w:tcPr>
          <w:p>
            <w:pPr>
              <w:jc w:val="center"/>
              <w:rPr>
                <w:szCs w:val="21"/>
              </w:rPr>
            </w:pPr>
            <w:r>
              <w:rPr>
                <w:szCs w:val="21"/>
              </w:rPr>
              <w:t>mg/m</w:t>
            </w:r>
            <w:r>
              <w:rPr>
                <w:szCs w:val="21"/>
                <w:vertAlign w:val="superscript"/>
              </w:rPr>
              <w:t>3</w:t>
            </w:r>
          </w:p>
        </w:tc>
        <w:tc>
          <w:tcPr>
            <w:tcW w:w="3309" w:type="dxa"/>
            <w:noWrap/>
            <w:vAlign w:val="center"/>
          </w:tcPr>
          <w:p>
            <w:pPr>
              <w:adjustRightInd w:val="0"/>
              <w:snapToGrid w:val="0"/>
              <w:jc w:val="center"/>
              <w:rPr>
                <w:szCs w:val="21"/>
              </w:rPr>
            </w:pPr>
            <w:r>
              <w:rPr>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985" w:type="dxa"/>
            <w:vMerge w:val="restart"/>
            <w:noWrap/>
            <w:vAlign w:val="center"/>
          </w:tcPr>
          <w:p>
            <w:pPr>
              <w:adjustRightInd w:val="0"/>
              <w:snapToGrid w:val="0"/>
              <w:jc w:val="center"/>
              <w:rPr>
                <w:szCs w:val="21"/>
              </w:rPr>
            </w:pPr>
            <w:r>
              <w:rPr>
                <w:szCs w:val="21"/>
              </w:rPr>
              <w:t>O</w:t>
            </w:r>
            <w:r>
              <w:rPr>
                <w:szCs w:val="21"/>
                <w:vertAlign w:val="subscript"/>
              </w:rPr>
              <w:t>3</w:t>
            </w:r>
          </w:p>
        </w:tc>
        <w:tc>
          <w:tcPr>
            <w:tcW w:w="1951" w:type="dxa"/>
            <w:noWrap/>
            <w:vAlign w:val="center"/>
          </w:tcPr>
          <w:p>
            <w:pPr>
              <w:topLinePunct/>
              <w:jc w:val="center"/>
              <w:rPr>
                <w:szCs w:val="21"/>
              </w:rPr>
            </w:pPr>
            <w:r>
              <w:rPr>
                <w:szCs w:val="21"/>
              </w:rPr>
              <w:t>1小时平均</w:t>
            </w:r>
          </w:p>
        </w:tc>
        <w:tc>
          <w:tcPr>
            <w:tcW w:w="1701" w:type="dxa"/>
            <w:noWrap/>
            <w:vAlign w:val="center"/>
          </w:tcPr>
          <w:p>
            <w:pPr>
              <w:jc w:val="center"/>
              <w:rPr>
                <w:szCs w:val="21"/>
              </w:rPr>
            </w:pPr>
            <w:r>
              <w:rPr>
                <w:szCs w:val="21"/>
              </w:rPr>
              <w:t>µg/m</w:t>
            </w:r>
            <w:r>
              <w:rPr>
                <w:szCs w:val="21"/>
                <w:vertAlign w:val="superscript"/>
              </w:rPr>
              <w:t>3</w:t>
            </w:r>
          </w:p>
        </w:tc>
        <w:tc>
          <w:tcPr>
            <w:tcW w:w="3309" w:type="dxa"/>
            <w:noWrap/>
            <w:vAlign w:val="center"/>
          </w:tcPr>
          <w:p>
            <w:pPr>
              <w:adjustRightInd w:val="0"/>
              <w:snapToGrid w:val="0"/>
              <w:jc w:val="center"/>
              <w:rPr>
                <w:szCs w:val="21"/>
              </w:rPr>
            </w:pPr>
            <w:r>
              <w:rPr>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985" w:type="dxa"/>
            <w:vMerge w:val="continue"/>
            <w:noWrap/>
            <w:vAlign w:val="center"/>
          </w:tcPr>
          <w:p>
            <w:pPr>
              <w:adjustRightInd w:val="0"/>
              <w:snapToGrid w:val="0"/>
              <w:jc w:val="center"/>
              <w:rPr>
                <w:szCs w:val="21"/>
              </w:rPr>
            </w:pPr>
          </w:p>
        </w:tc>
        <w:tc>
          <w:tcPr>
            <w:tcW w:w="1951" w:type="dxa"/>
            <w:noWrap/>
            <w:vAlign w:val="center"/>
          </w:tcPr>
          <w:p>
            <w:pPr>
              <w:topLinePunct/>
              <w:jc w:val="center"/>
              <w:rPr>
                <w:szCs w:val="21"/>
              </w:rPr>
            </w:pPr>
            <w:r>
              <w:rPr>
                <w:szCs w:val="21"/>
              </w:rPr>
              <w:t>日最大8小时平均</w:t>
            </w:r>
          </w:p>
        </w:tc>
        <w:tc>
          <w:tcPr>
            <w:tcW w:w="1701" w:type="dxa"/>
            <w:noWrap/>
            <w:vAlign w:val="center"/>
          </w:tcPr>
          <w:p>
            <w:pPr>
              <w:jc w:val="center"/>
              <w:rPr>
                <w:szCs w:val="21"/>
              </w:rPr>
            </w:pPr>
            <w:r>
              <w:rPr>
                <w:szCs w:val="21"/>
              </w:rPr>
              <w:t>µg/m</w:t>
            </w:r>
            <w:r>
              <w:rPr>
                <w:szCs w:val="21"/>
                <w:vertAlign w:val="superscript"/>
              </w:rPr>
              <w:t>3</w:t>
            </w:r>
          </w:p>
        </w:tc>
        <w:tc>
          <w:tcPr>
            <w:tcW w:w="3309" w:type="dxa"/>
            <w:noWrap/>
            <w:vAlign w:val="center"/>
          </w:tcPr>
          <w:p>
            <w:pPr>
              <w:adjustRightInd w:val="0"/>
              <w:snapToGrid w:val="0"/>
              <w:jc w:val="center"/>
              <w:rPr>
                <w:szCs w:val="21"/>
              </w:rPr>
            </w:pPr>
            <w:r>
              <w:rPr>
                <w:szCs w:val="21"/>
              </w:rPr>
              <w:t>160</w:t>
            </w:r>
          </w:p>
        </w:tc>
      </w:tr>
    </w:tbl>
    <w:p>
      <w:pPr>
        <w:spacing w:line="500" w:lineRule="exact"/>
        <w:rPr>
          <w:b/>
          <w:bCs/>
          <w:color w:val="000000" w:themeColor="text1"/>
          <w:sz w:val="24"/>
        </w:rPr>
      </w:pPr>
      <w:r>
        <w:rPr>
          <w:b/>
          <w:bCs/>
          <w:color w:val="000000" w:themeColor="text1"/>
          <w:sz w:val="24"/>
        </w:rPr>
        <w:t>3.3.1.6监测结果与分析</w:t>
      </w:r>
      <w:bookmarkEnd w:id="208"/>
      <w:bookmarkEnd w:id="209"/>
    </w:p>
    <w:p>
      <w:pPr>
        <w:spacing w:line="520" w:lineRule="exact"/>
        <w:ind w:firstLine="480" w:firstLineChars="200"/>
        <w:rPr>
          <w:color w:val="000000" w:themeColor="text1"/>
          <w:sz w:val="24"/>
        </w:rPr>
      </w:pPr>
      <w:r>
        <w:rPr>
          <w:color w:val="000000" w:themeColor="text1"/>
          <w:sz w:val="24"/>
        </w:rPr>
        <w:t>本评价环境空气质量监测统计结果列于表</w:t>
      </w:r>
      <w:r>
        <w:rPr>
          <w:rFonts w:hint="eastAsia"/>
          <w:color w:val="000000" w:themeColor="text1"/>
          <w:sz w:val="24"/>
        </w:rPr>
        <w:t>3.3-5</w:t>
      </w:r>
    </w:p>
    <w:p>
      <w:pPr>
        <w:topLinePunct/>
        <w:spacing w:beforeLines="50"/>
        <w:jc w:val="center"/>
        <w:rPr>
          <w:b/>
          <w:szCs w:val="21"/>
        </w:rPr>
      </w:pPr>
      <w:r>
        <w:rPr>
          <w:b/>
          <w:spacing w:val="-8"/>
          <w:sz w:val="24"/>
        </w:rPr>
        <w:t>表</w:t>
      </w:r>
      <w:r>
        <w:rPr>
          <w:rFonts w:hint="eastAsia"/>
          <w:b/>
          <w:spacing w:val="-8"/>
          <w:sz w:val="24"/>
        </w:rPr>
        <w:t>3.3-5</w:t>
      </w:r>
      <w:r>
        <w:rPr>
          <w:b/>
          <w:szCs w:val="21"/>
        </w:rPr>
        <w:t>环境空气质量现状评价结果</w:t>
      </w:r>
    </w:p>
    <w:tbl>
      <w:tblPr>
        <w:tblStyle w:val="44"/>
        <w:tblW w:w="91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06"/>
        <w:gridCol w:w="1311"/>
        <w:gridCol w:w="1522"/>
        <w:gridCol w:w="848"/>
        <w:gridCol w:w="756"/>
        <w:gridCol w:w="1485"/>
        <w:gridCol w:w="13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tblHeader/>
        </w:trPr>
        <w:tc>
          <w:tcPr>
            <w:tcW w:w="541" w:type="dxa"/>
            <w:noWrap/>
            <w:vAlign w:val="center"/>
          </w:tcPr>
          <w:p>
            <w:pPr>
              <w:jc w:val="center"/>
              <w:rPr>
                <w:szCs w:val="21"/>
              </w:rPr>
            </w:pPr>
            <w:r>
              <w:rPr>
                <w:szCs w:val="21"/>
              </w:rPr>
              <w:t>监测点位</w:t>
            </w:r>
          </w:p>
        </w:tc>
        <w:tc>
          <w:tcPr>
            <w:tcW w:w="1406" w:type="dxa"/>
            <w:noWrap/>
            <w:vAlign w:val="center"/>
          </w:tcPr>
          <w:p>
            <w:pPr>
              <w:jc w:val="center"/>
              <w:rPr>
                <w:szCs w:val="21"/>
              </w:rPr>
            </w:pPr>
            <w:r>
              <w:rPr>
                <w:szCs w:val="21"/>
              </w:rPr>
              <w:t>监测项目</w:t>
            </w:r>
          </w:p>
        </w:tc>
        <w:tc>
          <w:tcPr>
            <w:tcW w:w="1311" w:type="dxa"/>
            <w:noWrap/>
            <w:vAlign w:val="center"/>
          </w:tcPr>
          <w:p>
            <w:pPr>
              <w:jc w:val="center"/>
              <w:rPr>
                <w:szCs w:val="21"/>
              </w:rPr>
            </w:pPr>
            <w:r>
              <w:rPr>
                <w:szCs w:val="21"/>
              </w:rPr>
              <w:t>测值范围（mg/m</w:t>
            </w:r>
            <w:r>
              <w:rPr>
                <w:szCs w:val="21"/>
                <w:vertAlign w:val="superscript"/>
              </w:rPr>
              <w:t>3</w:t>
            </w:r>
            <w:r>
              <w:rPr>
                <w:szCs w:val="21"/>
              </w:rPr>
              <w:t>）</w:t>
            </w:r>
          </w:p>
        </w:tc>
        <w:tc>
          <w:tcPr>
            <w:tcW w:w="1522" w:type="dxa"/>
            <w:noWrap/>
            <w:vAlign w:val="center"/>
          </w:tcPr>
          <w:p>
            <w:pPr>
              <w:jc w:val="center"/>
              <w:rPr>
                <w:szCs w:val="21"/>
              </w:rPr>
            </w:pPr>
            <w:r>
              <w:rPr>
                <w:szCs w:val="21"/>
              </w:rPr>
              <w:t>评价标准（mg/m</w:t>
            </w:r>
            <w:r>
              <w:rPr>
                <w:szCs w:val="21"/>
                <w:vertAlign w:val="superscript"/>
              </w:rPr>
              <w:t>3</w:t>
            </w:r>
            <w:r>
              <w:rPr>
                <w:szCs w:val="21"/>
              </w:rPr>
              <w:t>）</w:t>
            </w:r>
          </w:p>
        </w:tc>
        <w:tc>
          <w:tcPr>
            <w:tcW w:w="848" w:type="dxa"/>
            <w:noWrap/>
            <w:vAlign w:val="center"/>
          </w:tcPr>
          <w:p>
            <w:pPr>
              <w:jc w:val="center"/>
              <w:rPr>
                <w:szCs w:val="21"/>
              </w:rPr>
            </w:pPr>
            <w:r>
              <w:rPr>
                <w:szCs w:val="21"/>
              </w:rPr>
              <w:t>超标率</w:t>
            </w:r>
          </w:p>
          <w:p>
            <w:pPr>
              <w:jc w:val="center"/>
              <w:rPr>
                <w:szCs w:val="21"/>
              </w:rPr>
            </w:pPr>
            <w:r>
              <w:rPr>
                <w:szCs w:val="21"/>
              </w:rPr>
              <w:t>（%）</w:t>
            </w:r>
          </w:p>
        </w:tc>
        <w:tc>
          <w:tcPr>
            <w:tcW w:w="756" w:type="dxa"/>
            <w:noWrap/>
            <w:vAlign w:val="center"/>
          </w:tcPr>
          <w:p>
            <w:pPr>
              <w:jc w:val="center"/>
              <w:rPr>
                <w:szCs w:val="21"/>
              </w:rPr>
            </w:pPr>
            <w:r>
              <w:rPr>
                <w:szCs w:val="21"/>
              </w:rPr>
              <w:t>达标</w:t>
            </w:r>
          </w:p>
          <w:p>
            <w:pPr>
              <w:jc w:val="center"/>
              <w:rPr>
                <w:szCs w:val="21"/>
              </w:rPr>
            </w:pPr>
            <w:r>
              <w:rPr>
                <w:szCs w:val="21"/>
              </w:rPr>
              <w:t>情况</w:t>
            </w:r>
          </w:p>
        </w:tc>
        <w:tc>
          <w:tcPr>
            <w:tcW w:w="1485" w:type="dxa"/>
            <w:noWrap/>
            <w:vAlign w:val="center"/>
          </w:tcPr>
          <w:p>
            <w:pPr>
              <w:jc w:val="center"/>
              <w:rPr>
                <w:szCs w:val="21"/>
              </w:rPr>
            </w:pPr>
            <w:r>
              <w:rPr>
                <w:szCs w:val="21"/>
              </w:rPr>
              <w:t>标准指数范围</w:t>
            </w:r>
          </w:p>
        </w:tc>
        <w:tc>
          <w:tcPr>
            <w:tcW w:w="1313" w:type="dxa"/>
            <w:noWrap/>
            <w:vAlign w:val="center"/>
          </w:tcPr>
          <w:p>
            <w:pPr>
              <w:jc w:val="center"/>
              <w:rPr>
                <w:szCs w:val="21"/>
              </w:rPr>
            </w:pPr>
            <w:r>
              <w:rPr>
                <w:szCs w:val="21"/>
              </w:rPr>
              <w:t>最大质量浓度值占标率（%）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541" w:type="dxa"/>
            <w:vMerge w:val="restart"/>
            <w:noWrap/>
            <w:vAlign w:val="center"/>
          </w:tcPr>
          <w:p>
            <w:pPr>
              <w:jc w:val="center"/>
              <w:rPr>
                <w:szCs w:val="21"/>
              </w:rPr>
            </w:pPr>
            <w:r>
              <w:rPr>
                <w:rFonts w:hint="eastAsia"/>
              </w:rPr>
              <w:t>仙翁庙村</w:t>
            </w:r>
          </w:p>
        </w:tc>
        <w:tc>
          <w:tcPr>
            <w:tcW w:w="1406" w:type="dxa"/>
            <w:noWrap/>
            <w:vAlign w:val="center"/>
          </w:tcPr>
          <w:p>
            <w:pPr>
              <w:jc w:val="center"/>
              <w:rPr>
                <w:szCs w:val="21"/>
              </w:rPr>
            </w:pPr>
            <w:r>
              <w:rPr>
                <w:szCs w:val="21"/>
              </w:rPr>
              <w:t>H</w:t>
            </w:r>
            <w:r>
              <w:rPr>
                <w:szCs w:val="21"/>
                <w:vertAlign w:val="subscript"/>
              </w:rPr>
              <w:t>2</w:t>
            </w:r>
            <w:r>
              <w:rPr>
                <w:szCs w:val="21"/>
              </w:rPr>
              <w:t>S一次值</w:t>
            </w:r>
          </w:p>
        </w:tc>
        <w:tc>
          <w:tcPr>
            <w:tcW w:w="1311" w:type="dxa"/>
            <w:noWrap/>
            <w:vAlign w:val="center"/>
          </w:tcPr>
          <w:p>
            <w:pPr>
              <w:jc w:val="center"/>
              <w:rPr>
                <w:szCs w:val="21"/>
              </w:rPr>
            </w:pPr>
            <w:r>
              <w:rPr>
                <w:szCs w:val="21"/>
              </w:rPr>
              <w:t>未检出</w:t>
            </w:r>
          </w:p>
        </w:tc>
        <w:tc>
          <w:tcPr>
            <w:tcW w:w="1522" w:type="dxa"/>
            <w:noWrap/>
            <w:vAlign w:val="center"/>
          </w:tcPr>
          <w:p>
            <w:pPr>
              <w:jc w:val="center"/>
              <w:rPr>
                <w:szCs w:val="21"/>
              </w:rPr>
            </w:pPr>
            <w:r>
              <w:rPr>
                <w:szCs w:val="21"/>
              </w:rPr>
              <w:t>0.01</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szCs w:val="21"/>
              </w:rPr>
            </w:pPr>
            <w:r>
              <w:rPr>
                <w:szCs w:val="21"/>
              </w:rPr>
              <w:t>0</w:t>
            </w:r>
          </w:p>
        </w:tc>
        <w:tc>
          <w:tcPr>
            <w:tcW w:w="1313" w:type="dxa"/>
            <w:noWrap/>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exact"/>
        </w:trPr>
        <w:tc>
          <w:tcPr>
            <w:tcW w:w="541" w:type="dxa"/>
            <w:vMerge w:val="continue"/>
            <w:noWrap/>
            <w:vAlign w:val="center"/>
          </w:tcPr>
          <w:p>
            <w:pPr>
              <w:jc w:val="center"/>
              <w:rPr>
                <w:szCs w:val="21"/>
              </w:rPr>
            </w:pPr>
          </w:p>
        </w:tc>
        <w:tc>
          <w:tcPr>
            <w:tcW w:w="1406" w:type="dxa"/>
            <w:noWrap/>
            <w:vAlign w:val="center"/>
          </w:tcPr>
          <w:p>
            <w:pPr>
              <w:jc w:val="center"/>
              <w:rPr>
                <w:szCs w:val="21"/>
              </w:rPr>
            </w:pPr>
            <w:r>
              <w:rPr>
                <w:szCs w:val="21"/>
              </w:rPr>
              <w:t>NH</w:t>
            </w:r>
            <w:r>
              <w:rPr>
                <w:szCs w:val="21"/>
                <w:vertAlign w:val="subscript"/>
              </w:rPr>
              <w:t>3</w:t>
            </w:r>
            <w:r>
              <w:rPr>
                <w:szCs w:val="21"/>
              </w:rPr>
              <w:t>一次值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23</w:t>
            </w:r>
            <w:r>
              <w:rPr>
                <w:bCs/>
                <w:color w:val="000000"/>
                <w:szCs w:val="21"/>
              </w:rPr>
              <w:t>~0.0</w:t>
            </w:r>
            <w:r>
              <w:rPr>
                <w:rFonts w:hint="eastAsia"/>
                <w:bCs/>
                <w:color w:val="000000"/>
                <w:szCs w:val="21"/>
              </w:rPr>
              <w:t>77</w:t>
            </w:r>
          </w:p>
        </w:tc>
        <w:tc>
          <w:tcPr>
            <w:tcW w:w="1522" w:type="dxa"/>
            <w:noWrap/>
            <w:vAlign w:val="center"/>
          </w:tcPr>
          <w:p>
            <w:pPr>
              <w:jc w:val="center"/>
              <w:rPr>
                <w:szCs w:val="21"/>
              </w:rPr>
            </w:pPr>
            <w:r>
              <w:rPr>
                <w:szCs w:val="21"/>
              </w:rPr>
              <w:t>0.2</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115</w:t>
            </w:r>
            <w:r>
              <w:rPr>
                <w:bCs/>
                <w:color w:val="000000"/>
                <w:szCs w:val="21"/>
              </w:rPr>
              <w:t>~0.</w:t>
            </w:r>
            <w:r>
              <w:rPr>
                <w:rFonts w:hint="eastAsia"/>
                <w:bCs/>
                <w:color w:val="000000"/>
                <w:szCs w:val="21"/>
              </w:rPr>
              <w:t>385</w:t>
            </w:r>
          </w:p>
        </w:tc>
        <w:tc>
          <w:tcPr>
            <w:tcW w:w="1313" w:type="dxa"/>
            <w:noWrap/>
            <w:vAlign w:val="center"/>
          </w:tcPr>
          <w:p>
            <w:pPr>
              <w:jc w:val="center"/>
              <w:rPr>
                <w:bCs/>
                <w:color w:val="000000"/>
                <w:szCs w:val="21"/>
              </w:rPr>
            </w:pPr>
            <w:r>
              <w:rPr>
                <w:rFonts w:hint="eastAsia"/>
                <w:bCs/>
                <w:color w:val="000000"/>
                <w:szCs w:val="21"/>
              </w:rPr>
              <w:t>38.5</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541" w:type="dxa"/>
            <w:vMerge w:val="continue"/>
            <w:noWrap/>
            <w:vAlign w:val="center"/>
          </w:tcPr>
          <w:p>
            <w:pPr>
              <w:jc w:val="center"/>
              <w:rPr>
                <w:szCs w:val="21"/>
              </w:rPr>
            </w:pPr>
          </w:p>
        </w:tc>
        <w:tc>
          <w:tcPr>
            <w:tcW w:w="1406" w:type="dxa"/>
            <w:noWrap/>
            <w:vAlign w:val="center"/>
          </w:tcPr>
          <w:p>
            <w:pPr>
              <w:jc w:val="center"/>
              <w:rPr>
                <w:szCs w:val="21"/>
              </w:rPr>
            </w:pPr>
            <w:r>
              <w:rPr>
                <w:szCs w:val="21"/>
              </w:rPr>
              <w:t>SO</w:t>
            </w:r>
            <w:r>
              <w:rPr>
                <w:szCs w:val="21"/>
                <w:vertAlign w:val="subscript"/>
              </w:rPr>
              <w:t>2</w:t>
            </w:r>
            <w:r>
              <w:rPr>
                <w:szCs w:val="21"/>
              </w:rPr>
              <w:t>小时值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09</w:t>
            </w:r>
            <w:r>
              <w:rPr>
                <w:bCs/>
                <w:color w:val="000000"/>
                <w:szCs w:val="21"/>
              </w:rPr>
              <w:t>~0.0</w:t>
            </w:r>
            <w:r>
              <w:rPr>
                <w:rFonts w:hint="eastAsia"/>
                <w:bCs/>
                <w:color w:val="000000"/>
                <w:szCs w:val="21"/>
              </w:rPr>
              <w:t>21</w:t>
            </w:r>
          </w:p>
        </w:tc>
        <w:tc>
          <w:tcPr>
            <w:tcW w:w="1522" w:type="dxa"/>
            <w:noWrap/>
            <w:vAlign w:val="center"/>
          </w:tcPr>
          <w:p>
            <w:pPr>
              <w:adjustRightInd w:val="0"/>
              <w:snapToGrid w:val="0"/>
              <w:jc w:val="center"/>
              <w:rPr>
                <w:szCs w:val="21"/>
              </w:rPr>
            </w:pPr>
            <w:r>
              <w:rPr>
                <w:szCs w:val="21"/>
              </w:rPr>
              <w:t>0.50</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0.0</w:t>
            </w:r>
            <w:r>
              <w:rPr>
                <w:rFonts w:hint="eastAsia"/>
                <w:bCs/>
                <w:color w:val="000000"/>
                <w:szCs w:val="21"/>
              </w:rPr>
              <w:t>18</w:t>
            </w:r>
            <w:r>
              <w:rPr>
                <w:bCs/>
                <w:color w:val="000000"/>
                <w:szCs w:val="21"/>
              </w:rPr>
              <w:t>~0.0</w:t>
            </w:r>
            <w:r>
              <w:rPr>
                <w:rFonts w:hint="eastAsia"/>
                <w:bCs/>
                <w:color w:val="000000"/>
                <w:szCs w:val="21"/>
              </w:rPr>
              <w:t>42</w:t>
            </w:r>
          </w:p>
        </w:tc>
        <w:tc>
          <w:tcPr>
            <w:tcW w:w="1313" w:type="dxa"/>
            <w:noWrap/>
            <w:vAlign w:val="center"/>
          </w:tcPr>
          <w:p>
            <w:pPr>
              <w:jc w:val="center"/>
              <w:rPr>
                <w:bCs/>
                <w:color w:val="000000"/>
                <w:szCs w:val="21"/>
              </w:rPr>
            </w:pPr>
            <w:r>
              <w:rPr>
                <w:rFonts w:hint="eastAsia"/>
                <w:bCs/>
                <w:color w:val="000000"/>
                <w:szCs w:val="21"/>
              </w:rPr>
              <w:t>4.2</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szCs w:val="21"/>
              </w:rPr>
            </w:pPr>
            <w:r>
              <w:rPr>
                <w:szCs w:val="21"/>
              </w:rPr>
              <w:t>SO</w:t>
            </w:r>
            <w:r>
              <w:rPr>
                <w:szCs w:val="21"/>
                <w:vertAlign w:val="subscript"/>
              </w:rPr>
              <w:t>2</w:t>
            </w:r>
            <w:r>
              <w:rPr>
                <w:szCs w:val="21"/>
              </w:rPr>
              <w:t>日均值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09</w:t>
            </w:r>
            <w:r>
              <w:rPr>
                <w:bCs/>
                <w:color w:val="000000"/>
                <w:szCs w:val="21"/>
              </w:rPr>
              <w:t>~0.01</w:t>
            </w:r>
            <w:r>
              <w:rPr>
                <w:rFonts w:hint="eastAsia"/>
                <w:bCs/>
                <w:color w:val="000000"/>
                <w:szCs w:val="21"/>
              </w:rPr>
              <w:t>5</w:t>
            </w:r>
          </w:p>
        </w:tc>
        <w:tc>
          <w:tcPr>
            <w:tcW w:w="1522" w:type="dxa"/>
            <w:noWrap/>
            <w:vAlign w:val="center"/>
          </w:tcPr>
          <w:p>
            <w:pPr>
              <w:adjustRightInd w:val="0"/>
              <w:snapToGrid w:val="0"/>
              <w:jc w:val="center"/>
              <w:rPr>
                <w:szCs w:val="21"/>
              </w:rPr>
            </w:pPr>
            <w:r>
              <w:rPr>
                <w:szCs w:val="21"/>
              </w:rPr>
              <w:t>0.15</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0.06~0.1</w:t>
            </w:r>
          </w:p>
        </w:tc>
        <w:tc>
          <w:tcPr>
            <w:tcW w:w="1313" w:type="dxa"/>
            <w:noWrap/>
            <w:vAlign w:val="center"/>
          </w:tcPr>
          <w:p>
            <w:pPr>
              <w:jc w:val="center"/>
              <w:rPr>
                <w:bCs/>
                <w:color w:val="000000"/>
                <w:szCs w:val="21"/>
              </w:rPr>
            </w:pPr>
            <w:r>
              <w:rPr>
                <w:rFonts w:hint="eastAsia"/>
                <w:bCs/>
                <w:color w:val="000000"/>
                <w:szCs w:val="21"/>
              </w:rPr>
              <w:t>10</w:t>
            </w:r>
            <w:r>
              <w:rPr>
                <w:bCs/>
                <w:color w:val="000000"/>
                <w:szCs w:val="21"/>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color w:val="000000" w:themeColor="text1"/>
                <w:szCs w:val="21"/>
              </w:rPr>
            </w:pPr>
            <w:r>
              <w:rPr>
                <w:color w:val="000000" w:themeColor="text1"/>
                <w:szCs w:val="21"/>
              </w:rPr>
              <w:t>NO</w:t>
            </w:r>
            <w:r>
              <w:rPr>
                <w:color w:val="000000" w:themeColor="text1"/>
                <w:szCs w:val="21"/>
                <w:vertAlign w:val="subscript"/>
              </w:rPr>
              <w:t>2</w:t>
            </w:r>
            <w:r>
              <w:rPr>
                <w:color w:val="000000" w:themeColor="text1"/>
                <w:szCs w:val="21"/>
              </w:rPr>
              <w:t>小时值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27</w:t>
            </w:r>
            <w:r>
              <w:rPr>
                <w:bCs/>
                <w:color w:val="000000"/>
                <w:szCs w:val="21"/>
              </w:rPr>
              <w:t>~0.0</w:t>
            </w:r>
            <w:r>
              <w:rPr>
                <w:rFonts w:hint="eastAsia"/>
                <w:bCs/>
                <w:color w:val="000000"/>
                <w:szCs w:val="21"/>
              </w:rPr>
              <w:t>62</w:t>
            </w:r>
          </w:p>
        </w:tc>
        <w:tc>
          <w:tcPr>
            <w:tcW w:w="1522" w:type="dxa"/>
            <w:noWrap/>
            <w:vAlign w:val="center"/>
          </w:tcPr>
          <w:p>
            <w:pPr>
              <w:adjustRightInd w:val="0"/>
              <w:snapToGrid w:val="0"/>
              <w:jc w:val="center"/>
              <w:rPr>
                <w:szCs w:val="21"/>
              </w:rPr>
            </w:pPr>
            <w:r>
              <w:rPr>
                <w:szCs w:val="21"/>
              </w:rPr>
              <w:t>0.2</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0.1</w:t>
            </w:r>
            <w:r>
              <w:rPr>
                <w:rFonts w:hint="eastAsia"/>
                <w:bCs/>
                <w:color w:val="000000"/>
                <w:szCs w:val="21"/>
              </w:rPr>
              <w:t>3</w:t>
            </w:r>
            <w:r>
              <w:rPr>
                <w:bCs/>
                <w:color w:val="000000"/>
                <w:szCs w:val="21"/>
              </w:rPr>
              <w:t>5~0.</w:t>
            </w:r>
            <w:r>
              <w:rPr>
                <w:rFonts w:hint="eastAsia"/>
                <w:bCs/>
                <w:color w:val="000000"/>
                <w:szCs w:val="21"/>
              </w:rPr>
              <w:t>31</w:t>
            </w:r>
          </w:p>
        </w:tc>
        <w:tc>
          <w:tcPr>
            <w:tcW w:w="1313" w:type="dxa"/>
            <w:noWrap/>
            <w:vAlign w:val="center"/>
          </w:tcPr>
          <w:p>
            <w:pPr>
              <w:jc w:val="center"/>
              <w:rPr>
                <w:bCs/>
                <w:color w:val="000000"/>
                <w:szCs w:val="21"/>
              </w:rPr>
            </w:pPr>
            <w:r>
              <w:rPr>
                <w:rFonts w:hint="eastAsia"/>
                <w:bCs/>
                <w:color w:val="000000"/>
                <w:szCs w:val="21"/>
              </w:rPr>
              <w:t>31</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color w:val="000000" w:themeColor="text1"/>
                <w:szCs w:val="21"/>
              </w:rPr>
            </w:pPr>
            <w:r>
              <w:rPr>
                <w:color w:val="000000" w:themeColor="text1"/>
                <w:szCs w:val="21"/>
              </w:rPr>
              <w:t>NO</w:t>
            </w:r>
            <w:r>
              <w:rPr>
                <w:color w:val="000000" w:themeColor="text1"/>
                <w:szCs w:val="21"/>
                <w:vertAlign w:val="subscript"/>
              </w:rPr>
              <w:t>2</w:t>
            </w:r>
            <w:r>
              <w:rPr>
                <w:color w:val="000000" w:themeColor="text1"/>
                <w:szCs w:val="21"/>
              </w:rPr>
              <w:t>日均值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22</w:t>
            </w:r>
            <w:r>
              <w:rPr>
                <w:bCs/>
                <w:color w:val="000000"/>
                <w:szCs w:val="21"/>
              </w:rPr>
              <w:t>~0.0</w:t>
            </w:r>
            <w:r>
              <w:rPr>
                <w:rFonts w:hint="eastAsia"/>
                <w:bCs/>
                <w:color w:val="000000"/>
                <w:szCs w:val="21"/>
              </w:rPr>
              <w:t>45</w:t>
            </w:r>
          </w:p>
        </w:tc>
        <w:tc>
          <w:tcPr>
            <w:tcW w:w="1522" w:type="dxa"/>
            <w:noWrap/>
            <w:vAlign w:val="center"/>
          </w:tcPr>
          <w:p>
            <w:pPr>
              <w:adjustRightInd w:val="0"/>
              <w:snapToGrid w:val="0"/>
              <w:jc w:val="center"/>
              <w:rPr>
                <w:szCs w:val="21"/>
              </w:rPr>
            </w:pPr>
            <w:r>
              <w:rPr>
                <w:szCs w:val="21"/>
              </w:rPr>
              <w:t>0.08</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275</w:t>
            </w:r>
            <w:r>
              <w:rPr>
                <w:bCs/>
                <w:color w:val="000000"/>
                <w:szCs w:val="21"/>
              </w:rPr>
              <w:t>~0.</w:t>
            </w:r>
            <w:r>
              <w:rPr>
                <w:rFonts w:hint="eastAsia"/>
                <w:bCs/>
                <w:color w:val="000000"/>
                <w:szCs w:val="21"/>
              </w:rPr>
              <w:t>5625</w:t>
            </w:r>
          </w:p>
        </w:tc>
        <w:tc>
          <w:tcPr>
            <w:tcW w:w="1313" w:type="dxa"/>
            <w:noWrap/>
            <w:vAlign w:val="center"/>
          </w:tcPr>
          <w:p>
            <w:pPr>
              <w:jc w:val="center"/>
              <w:rPr>
                <w:bCs/>
                <w:color w:val="000000"/>
                <w:szCs w:val="21"/>
              </w:rPr>
            </w:pPr>
            <w:r>
              <w:rPr>
                <w:rFonts w:hint="eastAsia"/>
                <w:bCs/>
                <w:color w:val="000000"/>
                <w:szCs w:val="21"/>
              </w:rPr>
              <w:t>56.25</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trPr>
        <w:tc>
          <w:tcPr>
            <w:tcW w:w="541" w:type="dxa"/>
            <w:vMerge w:val="continue"/>
            <w:noWrap/>
            <w:vAlign w:val="center"/>
          </w:tcPr>
          <w:p>
            <w:pPr>
              <w:jc w:val="center"/>
              <w:rPr>
                <w:szCs w:val="21"/>
              </w:rPr>
            </w:pPr>
          </w:p>
        </w:tc>
        <w:tc>
          <w:tcPr>
            <w:tcW w:w="1406" w:type="dxa"/>
            <w:noWrap/>
            <w:vAlign w:val="center"/>
          </w:tcPr>
          <w:p>
            <w:pPr>
              <w:jc w:val="center"/>
              <w:rPr>
                <w:color w:val="000000" w:themeColor="text1"/>
                <w:szCs w:val="21"/>
              </w:rPr>
            </w:pPr>
            <w:r>
              <w:rPr>
                <w:color w:val="000000" w:themeColor="text1"/>
                <w:szCs w:val="21"/>
              </w:rPr>
              <w:t>PM</w:t>
            </w:r>
            <w:r>
              <w:rPr>
                <w:color w:val="000000" w:themeColor="text1"/>
                <w:szCs w:val="21"/>
                <w:vertAlign w:val="subscript"/>
              </w:rPr>
              <w:t>10</w:t>
            </w:r>
            <w:r>
              <w:rPr>
                <w:color w:val="000000" w:themeColor="text1"/>
                <w:szCs w:val="21"/>
              </w:rPr>
              <w:t>日均值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61</w:t>
            </w:r>
            <w:r>
              <w:rPr>
                <w:bCs/>
                <w:color w:val="000000"/>
                <w:szCs w:val="21"/>
              </w:rPr>
              <w:t>~0.0</w:t>
            </w:r>
            <w:r>
              <w:rPr>
                <w:rFonts w:hint="eastAsia"/>
                <w:bCs/>
                <w:color w:val="000000"/>
                <w:szCs w:val="21"/>
              </w:rPr>
              <w:t>80</w:t>
            </w:r>
          </w:p>
        </w:tc>
        <w:tc>
          <w:tcPr>
            <w:tcW w:w="1522" w:type="dxa"/>
            <w:noWrap/>
            <w:vAlign w:val="center"/>
          </w:tcPr>
          <w:p>
            <w:pPr>
              <w:jc w:val="center"/>
              <w:rPr>
                <w:szCs w:val="21"/>
              </w:rPr>
            </w:pPr>
            <w:r>
              <w:rPr>
                <w:szCs w:val="21"/>
              </w:rPr>
              <w:t>0.15</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0.4</w:t>
            </w:r>
            <w:r>
              <w:rPr>
                <w:rFonts w:hint="eastAsia"/>
                <w:bCs/>
                <w:color w:val="000000"/>
                <w:szCs w:val="21"/>
              </w:rPr>
              <w:t>07</w:t>
            </w:r>
            <w:r>
              <w:rPr>
                <w:bCs/>
                <w:color w:val="000000"/>
                <w:szCs w:val="21"/>
              </w:rPr>
              <w:t>~0.</w:t>
            </w:r>
            <w:r>
              <w:rPr>
                <w:rFonts w:hint="eastAsia"/>
                <w:bCs/>
                <w:color w:val="000000"/>
                <w:szCs w:val="21"/>
              </w:rPr>
              <w:t>5333</w:t>
            </w:r>
          </w:p>
        </w:tc>
        <w:tc>
          <w:tcPr>
            <w:tcW w:w="1313" w:type="dxa"/>
            <w:noWrap/>
            <w:vAlign w:val="center"/>
          </w:tcPr>
          <w:p>
            <w:pPr>
              <w:jc w:val="center"/>
              <w:rPr>
                <w:bCs/>
                <w:color w:val="000000"/>
                <w:szCs w:val="21"/>
              </w:rPr>
            </w:pPr>
            <w:r>
              <w:rPr>
                <w:rFonts w:hint="eastAsia"/>
                <w:bCs/>
                <w:color w:val="000000"/>
                <w:szCs w:val="21"/>
              </w:rPr>
              <w:t>53.33</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trPr>
        <w:tc>
          <w:tcPr>
            <w:tcW w:w="541" w:type="dxa"/>
            <w:vMerge w:val="continue"/>
            <w:noWrap/>
            <w:vAlign w:val="center"/>
          </w:tcPr>
          <w:p>
            <w:pPr>
              <w:jc w:val="center"/>
              <w:rPr>
                <w:szCs w:val="21"/>
              </w:rPr>
            </w:pPr>
          </w:p>
        </w:tc>
        <w:tc>
          <w:tcPr>
            <w:tcW w:w="1406" w:type="dxa"/>
            <w:noWrap/>
            <w:vAlign w:val="center"/>
          </w:tcPr>
          <w:p>
            <w:pPr>
              <w:jc w:val="center"/>
              <w:rPr>
                <w:bCs/>
                <w:color w:val="000000" w:themeColor="text1"/>
                <w:szCs w:val="21"/>
              </w:rPr>
            </w:pPr>
            <w:r>
              <w:rPr>
                <w:bCs/>
                <w:color w:val="000000" w:themeColor="text1"/>
                <w:szCs w:val="21"/>
              </w:rPr>
              <w:t>CO小时值</w:t>
            </w:r>
          </w:p>
        </w:tc>
        <w:tc>
          <w:tcPr>
            <w:tcW w:w="1311" w:type="dxa"/>
            <w:noWrap/>
            <w:vAlign w:val="center"/>
          </w:tcPr>
          <w:p>
            <w:pPr>
              <w:jc w:val="center"/>
              <w:rPr>
                <w:bCs/>
                <w:color w:val="000000"/>
                <w:szCs w:val="21"/>
              </w:rPr>
            </w:pPr>
            <w:r>
              <w:rPr>
                <w:bCs/>
                <w:color w:val="000000"/>
                <w:szCs w:val="21"/>
              </w:rPr>
              <w:t>0.</w:t>
            </w:r>
            <w:r>
              <w:rPr>
                <w:rFonts w:hint="eastAsia"/>
                <w:bCs/>
                <w:color w:val="000000"/>
                <w:szCs w:val="21"/>
              </w:rPr>
              <w:t>363</w:t>
            </w:r>
            <w:r>
              <w:rPr>
                <w:bCs/>
                <w:color w:val="000000"/>
                <w:szCs w:val="21"/>
              </w:rPr>
              <w:t>~0.</w:t>
            </w:r>
            <w:r>
              <w:rPr>
                <w:rFonts w:hint="eastAsia"/>
                <w:bCs/>
                <w:color w:val="000000"/>
                <w:szCs w:val="21"/>
              </w:rPr>
              <w:t>788</w:t>
            </w:r>
          </w:p>
        </w:tc>
        <w:tc>
          <w:tcPr>
            <w:tcW w:w="1522" w:type="dxa"/>
            <w:noWrap/>
            <w:vAlign w:val="center"/>
          </w:tcPr>
          <w:p>
            <w:pPr>
              <w:jc w:val="center"/>
              <w:rPr>
                <w:bCs/>
                <w:color w:val="000000"/>
                <w:szCs w:val="21"/>
              </w:rPr>
            </w:pPr>
            <w:r>
              <w:rPr>
                <w:bCs/>
                <w:color w:val="000000"/>
                <w:szCs w:val="21"/>
              </w:rPr>
              <w:t>10</w:t>
            </w:r>
          </w:p>
        </w:tc>
        <w:tc>
          <w:tcPr>
            <w:tcW w:w="848" w:type="dxa"/>
            <w:noWrap/>
            <w:vAlign w:val="center"/>
          </w:tcPr>
          <w:p>
            <w:pPr>
              <w:jc w:val="center"/>
              <w:rPr>
                <w:bCs/>
                <w:color w:val="000000"/>
                <w:szCs w:val="21"/>
              </w:rPr>
            </w:pPr>
            <w:r>
              <w:rPr>
                <w:bCs/>
                <w:color w:val="000000"/>
                <w:szCs w:val="21"/>
              </w:rPr>
              <w:t>0</w:t>
            </w:r>
          </w:p>
        </w:tc>
        <w:tc>
          <w:tcPr>
            <w:tcW w:w="756" w:type="dxa"/>
            <w:noWrap/>
            <w:vAlign w:val="center"/>
          </w:tcPr>
          <w:p>
            <w:pPr>
              <w:jc w:val="center"/>
              <w:rPr>
                <w:bCs/>
                <w:color w:val="000000"/>
                <w:szCs w:val="21"/>
              </w:rPr>
            </w:pPr>
            <w:r>
              <w:rPr>
                <w:bCs/>
                <w:color w:val="000000"/>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0363</w:t>
            </w:r>
            <w:r>
              <w:rPr>
                <w:bCs/>
                <w:color w:val="000000"/>
                <w:szCs w:val="21"/>
              </w:rPr>
              <w:t>~0.</w:t>
            </w:r>
            <w:r>
              <w:rPr>
                <w:rFonts w:hint="eastAsia"/>
                <w:bCs/>
                <w:color w:val="000000"/>
                <w:szCs w:val="21"/>
              </w:rPr>
              <w:t>0788</w:t>
            </w:r>
          </w:p>
        </w:tc>
        <w:tc>
          <w:tcPr>
            <w:tcW w:w="1313" w:type="dxa"/>
            <w:noWrap/>
            <w:vAlign w:val="center"/>
          </w:tcPr>
          <w:p>
            <w:pPr>
              <w:jc w:val="center"/>
              <w:rPr>
                <w:bCs/>
                <w:color w:val="000000"/>
                <w:szCs w:val="21"/>
              </w:rPr>
            </w:pPr>
            <w:r>
              <w:rPr>
                <w:rFonts w:hint="eastAsia"/>
                <w:bCs/>
                <w:color w:val="000000"/>
                <w:szCs w:val="21"/>
              </w:rPr>
              <w:t>7.88</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trPr>
        <w:tc>
          <w:tcPr>
            <w:tcW w:w="541" w:type="dxa"/>
            <w:vMerge w:val="continue"/>
            <w:noWrap/>
            <w:vAlign w:val="center"/>
          </w:tcPr>
          <w:p>
            <w:pPr>
              <w:jc w:val="center"/>
              <w:rPr>
                <w:szCs w:val="21"/>
              </w:rPr>
            </w:pPr>
          </w:p>
        </w:tc>
        <w:tc>
          <w:tcPr>
            <w:tcW w:w="1406" w:type="dxa"/>
            <w:noWrap/>
            <w:vAlign w:val="center"/>
          </w:tcPr>
          <w:p>
            <w:pPr>
              <w:jc w:val="center"/>
              <w:rPr>
                <w:bCs/>
                <w:color w:val="000000" w:themeColor="text1"/>
                <w:szCs w:val="21"/>
              </w:rPr>
            </w:pPr>
            <w:r>
              <w:rPr>
                <w:bCs/>
                <w:color w:val="000000" w:themeColor="text1"/>
                <w:szCs w:val="21"/>
              </w:rPr>
              <w:t>CO日均值</w:t>
            </w:r>
          </w:p>
        </w:tc>
        <w:tc>
          <w:tcPr>
            <w:tcW w:w="1311" w:type="dxa"/>
            <w:noWrap/>
            <w:vAlign w:val="center"/>
          </w:tcPr>
          <w:p>
            <w:pPr>
              <w:jc w:val="center"/>
              <w:rPr>
                <w:bCs/>
                <w:color w:val="000000"/>
                <w:szCs w:val="21"/>
              </w:rPr>
            </w:pPr>
            <w:r>
              <w:rPr>
                <w:bCs/>
                <w:color w:val="000000"/>
                <w:szCs w:val="21"/>
              </w:rPr>
              <w:t>0.</w:t>
            </w:r>
            <w:r>
              <w:rPr>
                <w:rFonts w:hint="eastAsia"/>
                <w:bCs/>
                <w:color w:val="000000"/>
                <w:szCs w:val="21"/>
              </w:rPr>
              <w:t>413</w:t>
            </w:r>
            <w:r>
              <w:rPr>
                <w:bCs/>
                <w:color w:val="000000"/>
                <w:szCs w:val="21"/>
              </w:rPr>
              <w:t>~</w:t>
            </w:r>
            <w:r>
              <w:rPr>
                <w:rFonts w:hint="eastAsia"/>
                <w:bCs/>
                <w:color w:val="000000"/>
                <w:szCs w:val="21"/>
              </w:rPr>
              <w:t>0.775</w:t>
            </w:r>
          </w:p>
        </w:tc>
        <w:tc>
          <w:tcPr>
            <w:tcW w:w="1522" w:type="dxa"/>
            <w:noWrap/>
            <w:vAlign w:val="center"/>
          </w:tcPr>
          <w:p>
            <w:pPr>
              <w:jc w:val="center"/>
              <w:rPr>
                <w:bCs/>
                <w:color w:val="000000"/>
                <w:szCs w:val="21"/>
              </w:rPr>
            </w:pPr>
            <w:r>
              <w:rPr>
                <w:bCs/>
                <w:color w:val="000000"/>
                <w:szCs w:val="21"/>
              </w:rPr>
              <w:t>4</w:t>
            </w:r>
          </w:p>
        </w:tc>
        <w:tc>
          <w:tcPr>
            <w:tcW w:w="848" w:type="dxa"/>
            <w:noWrap/>
            <w:vAlign w:val="center"/>
          </w:tcPr>
          <w:p>
            <w:pPr>
              <w:jc w:val="center"/>
              <w:rPr>
                <w:bCs/>
                <w:color w:val="000000"/>
                <w:szCs w:val="21"/>
              </w:rPr>
            </w:pPr>
            <w:r>
              <w:rPr>
                <w:bCs/>
                <w:color w:val="000000"/>
                <w:szCs w:val="21"/>
              </w:rPr>
              <w:t>0</w:t>
            </w:r>
          </w:p>
        </w:tc>
        <w:tc>
          <w:tcPr>
            <w:tcW w:w="756" w:type="dxa"/>
            <w:noWrap/>
            <w:vAlign w:val="center"/>
          </w:tcPr>
          <w:p>
            <w:pPr>
              <w:jc w:val="center"/>
              <w:rPr>
                <w:bCs/>
                <w:color w:val="000000"/>
                <w:szCs w:val="21"/>
              </w:rPr>
            </w:pPr>
            <w:r>
              <w:rPr>
                <w:bCs/>
                <w:color w:val="000000"/>
                <w:szCs w:val="21"/>
              </w:rPr>
              <w:t>达标</w:t>
            </w:r>
          </w:p>
        </w:tc>
        <w:tc>
          <w:tcPr>
            <w:tcW w:w="1485" w:type="dxa"/>
            <w:noWrap/>
            <w:vAlign w:val="center"/>
          </w:tcPr>
          <w:p>
            <w:pPr>
              <w:jc w:val="center"/>
              <w:rPr>
                <w:bCs/>
                <w:color w:val="000000"/>
                <w:szCs w:val="21"/>
              </w:rPr>
            </w:pPr>
            <w:r>
              <w:rPr>
                <w:bCs/>
                <w:color w:val="000000"/>
                <w:szCs w:val="21"/>
              </w:rPr>
              <w:t>0.1</w:t>
            </w:r>
            <w:r>
              <w:rPr>
                <w:rFonts w:hint="eastAsia"/>
                <w:bCs/>
                <w:color w:val="000000"/>
                <w:szCs w:val="21"/>
              </w:rPr>
              <w:t>03</w:t>
            </w:r>
            <w:r>
              <w:rPr>
                <w:bCs/>
                <w:color w:val="000000"/>
                <w:szCs w:val="21"/>
              </w:rPr>
              <w:t>~0.</w:t>
            </w:r>
            <w:r>
              <w:rPr>
                <w:rFonts w:hint="eastAsia"/>
                <w:bCs/>
                <w:color w:val="000000"/>
                <w:szCs w:val="21"/>
              </w:rPr>
              <w:t>194</w:t>
            </w:r>
          </w:p>
        </w:tc>
        <w:tc>
          <w:tcPr>
            <w:tcW w:w="1313" w:type="dxa"/>
            <w:noWrap/>
            <w:vAlign w:val="center"/>
          </w:tcPr>
          <w:p>
            <w:pPr>
              <w:jc w:val="center"/>
              <w:rPr>
                <w:bCs/>
                <w:color w:val="000000"/>
                <w:szCs w:val="21"/>
              </w:rPr>
            </w:pPr>
            <w:r>
              <w:rPr>
                <w:rFonts w:hint="eastAsia"/>
                <w:bCs/>
                <w:color w:val="000000"/>
                <w:szCs w:val="21"/>
              </w:rPr>
              <w:t>19.4</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trPr>
        <w:tc>
          <w:tcPr>
            <w:tcW w:w="541" w:type="dxa"/>
            <w:vMerge w:val="continue"/>
            <w:noWrap/>
            <w:vAlign w:val="center"/>
          </w:tcPr>
          <w:p>
            <w:pPr>
              <w:jc w:val="center"/>
              <w:rPr>
                <w:szCs w:val="21"/>
              </w:rPr>
            </w:pPr>
          </w:p>
        </w:tc>
        <w:tc>
          <w:tcPr>
            <w:tcW w:w="1406" w:type="dxa"/>
            <w:noWrap/>
            <w:vAlign w:val="center"/>
          </w:tcPr>
          <w:p>
            <w:pPr>
              <w:jc w:val="center"/>
              <w:rPr>
                <w:bCs/>
                <w:color w:val="000000" w:themeColor="text1"/>
                <w:szCs w:val="21"/>
              </w:rPr>
            </w:pPr>
            <w:r>
              <w:rPr>
                <w:bCs/>
                <w:color w:val="000000" w:themeColor="text1"/>
                <w:szCs w:val="21"/>
              </w:rPr>
              <w:t>O3小时值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3</w:t>
            </w:r>
            <w:r>
              <w:rPr>
                <w:bCs/>
                <w:color w:val="000000"/>
                <w:szCs w:val="21"/>
              </w:rPr>
              <w:t>~0.0</w:t>
            </w:r>
            <w:r>
              <w:rPr>
                <w:rFonts w:hint="eastAsia"/>
                <w:bCs/>
                <w:color w:val="000000"/>
                <w:szCs w:val="21"/>
              </w:rPr>
              <w:t>69</w:t>
            </w:r>
          </w:p>
        </w:tc>
        <w:tc>
          <w:tcPr>
            <w:tcW w:w="1522" w:type="dxa"/>
            <w:noWrap/>
            <w:vAlign w:val="center"/>
          </w:tcPr>
          <w:p>
            <w:pPr>
              <w:jc w:val="center"/>
              <w:rPr>
                <w:bCs/>
                <w:color w:val="000000"/>
                <w:szCs w:val="21"/>
              </w:rPr>
            </w:pPr>
            <w:r>
              <w:rPr>
                <w:bCs/>
                <w:color w:val="000000"/>
                <w:szCs w:val="21"/>
              </w:rPr>
              <w:t>0.2</w:t>
            </w:r>
          </w:p>
        </w:tc>
        <w:tc>
          <w:tcPr>
            <w:tcW w:w="848" w:type="dxa"/>
            <w:noWrap/>
            <w:vAlign w:val="center"/>
          </w:tcPr>
          <w:p>
            <w:pPr>
              <w:jc w:val="center"/>
              <w:rPr>
                <w:bCs/>
                <w:color w:val="000000"/>
                <w:szCs w:val="21"/>
              </w:rPr>
            </w:pPr>
            <w:r>
              <w:rPr>
                <w:bCs/>
                <w:color w:val="000000"/>
                <w:szCs w:val="21"/>
              </w:rPr>
              <w:t>0</w:t>
            </w:r>
          </w:p>
        </w:tc>
        <w:tc>
          <w:tcPr>
            <w:tcW w:w="756" w:type="dxa"/>
            <w:noWrap/>
            <w:vAlign w:val="center"/>
          </w:tcPr>
          <w:p>
            <w:pPr>
              <w:jc w:val="center"/>
              <w:rPr>
                <w:bCs/>
                <w:color w:val="000000"/>
                <w:szCs w:val="21"/>
              </w:rPr>
            </w:pPr>
            <w:r>
              <w:rPr>
                <w:bCs/>
                <w:color w:val="000000"/>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1</w:t>
            </w:r>
            <w:r>
              <w:rPr>
                <w:bCs/>
                <w:color w:val="000000"/>
                <w:szCs w:val="21"/>
              </w:rPr>
              <w:t>5~0.</w:t>
            </w:r>
            <w:r>
              <w:rPr>
                <w:rFonts w:hint="eastAsia"/>
                <w:bCs/>
                <w:color w:val="000000"/>
                <w:szCs w:val="21"/>
              </w:rPr>
              <w:t>345</w:t>
            </w:r>
          </w:p>
        </w:tc>
        <w:tc>
          <w:tcPr>
            <w:tcW w:w="1313" w:type="dxa"/>
            <w:noWrap/>
            <w:vAlign w:val="center"/>
          </w:tcPr>
          <w:p>
            <w:pPr>
              <w:jc w:val="center"/>
              <w:rPr>
                <w:bCs/>
                <w:color w:val="000000"/>
                <w:szCs w:val="21"/>
              </w:rPr>
            </w:pPr>
            <w:r>
              <w:rPr>
                <w:rFonts w:hint="eastAsia"/>
                <w:bCs/>
                <w:color w:val="000000"/>
                <w:szCs w:val="21"/>
              </w:rPr>
              <w:t>34.5</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trPr>
        <w:tc>
          <w:tcPr>
            <w:tcW w:w="541" w:type="dxa"/>
            <w:vMerge w:val="continue"/>
            <w:noWrap/>
            <w:vAlign w:val="center"/>
          </w:tcPr>
          <w:p>
            <w:pPr>
              <w:jc w:val="center"/>
              <w:rPr>
                <w:szCs w:val="21"/>
              </w:rPr>
            </w:pPr>
          </w:p>
        </w:tc>
        <w:tc>
          <w:tcPr>
            <w:tcW w:w="1406" w:type="dxa"/>
            <w:noWrap/>
            <w:vAlign w:val="center"/>
          </w:tcPr>
          <w:p>
            <w:pPr>
              <w:jc w:val="center"/>
              <w:rPr>
                <w:bCs/>
                <w:color w:val="000000"/>
                <w:szCs w:val="21"/>
              </w:rPr>
            </w:pPr>
            <w:r>
              <w:rPr>
                <w:bCs/>
                <w:color w:val="000000"/>
                <w:szCs w:val="21"/>
              </w:rPr>
              <w:t>O3日均值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32</w:t>
            </w:r>
            <w:r>
              <w:rPr>
                <w:bCs/>
                <w:color w:val="000000"/>
                <w:szCs w:val="21"/>
              </w:rPr>
              <w:t>~0.068</w:t>
            </w:r>
          </w:p>
        </w:tc>
        <w:tc>
          <w:tcPr>
            <w:tcW w:w="1522" w:type="dxa"/>
            <w:noWrap/>
            <w:vAlign w:val="center"/>
          </w:tcPr>
          <w:p>
            <w:pPr>
              <w:jc w:val="center"/>
              <w:rPr>
                <w:bCs/>
                <w:color w:val="000000"/>
                <w:szCs w:val="21"/>
              </w:rPr>
            </w:pPr>
            <w:r>
              <w:rPr>
                <w:bCs/>
                <w:color w:val="000000"/>
                <w:szCs w:val="21"/>
              </w:rPr>
              <w:t>0.16</w:t>
            </w:r>
          </w:p>
        </w:tc>
        <w:tc>
          <w:tcPr>
            <w:tcW w:w="848" w:type="dxa"/>
            <w:noWrap/>
            <w:vAlign w:val="center"/>
          </w:tcPr>
          <w:p>
            <w:pPr>
              <w:jc w:val="center"/>
              <w:rPr>
                <w:bCs/>
                <w:color w:val="000000"/>
                <w:szCs w:val="21"/>
              </w:rPr>
            </w:pPr>
            <w:r>
              <w:rPr>
                <w:bCs/>
                <w:color w:val="000000"/>
                <w:szCs w:val="21"/>
              </w:rPr>
              <w:t>0</w:t>
            </w:r>
          </w:p>
        </w:tc>
        <w:tc>
          <w:tcPr>
            <w:tcW w:w="756" w:type="dxa"/>
            <w:noWrap/>
            <w:vAlign w:val="center"/>
          </w:tcPr>
          <w:p>
            <w:pPr>
              <w:jc w:val="center"/>
              <w:rPr>
                <w:bCs/>
                <w:color w:val="000000"/>
                <w:szCs w:val="21"/>
              </w:rPr>
            </w:pPr>
            <w:r>
              <w:rPr>
                <w:bCs/>
                <w:color w:val="000000"/>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2</w:t>
            </w:r>
            <w:r>
              <w:rPr>
                <w:bCs/>
                <w:color w:val="000000"/>
                <w:szCs w:val="21"/>
              </w:rPr>
              <w:t>~0.425</w:t>
            </w:r>
          </w:p>
        </w:tc>
        <w:tc>
          <w:tcPr>
            <w:tcW w:w="1313" w:type="dxa"/>
            <w:noWrap/>
            <w:vAlign w:val="center"/>
          </w:tcPr>
          <w:p>
            <w:pPr>
              <w:jc w:val="center"/>
              <w:rPr>
                <w:bCs/>
                <w:color w:val="000000"/>
                <w:szCs w:val="21"/>
              </w:rPr>
            </w:pPr>
            <w:r>
              <w:rPr>
                <w:bCs/>
                <w:color w:val="000000"/>
                <w:szCs w:val="21"/>
              </w:rPr>
              <w:t>42.50%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trPr>
        <w:tc>
          <w:tcPr>
            <w:tcW w:w="541" w:type="dxa"/>
            <w:vMerge w:val="continue"/>
            <w:noWrap/>
            <w:vAlign w:val="center"/>
          </w:tcPr>
          <w:p>
            <w:pPr>
              <w:jc w:val="center"/>
              <w:rPr>
                <w:szCs w:val="21"/>
              </w:rPr>
            </w:pPr>
          </w:p>
        </w:tc>
        <w:tc>
          <w:tcPr>
            <w:tcW w:w="1406" w:type="dxa"/>
            <w:noWrap/>
            <w:vAlign w:val="center"/>
          </w:tcPr>
          <w:p>
            <w:pPr>
              <w:jc w:val="center"/>
              <w:rPr>
                <w:bCs/>
                <w:color w:val="000000"/>
                <w:szCs w:val="21"/>
              </w:rPr>
            </w:pPr>
            <w:r>
              <w:rPr>
                <w:bCs/>
                <w:color w:val="000000"/>
                <w:szCs w:val="21"/>
              </w:rPr>
              <w:t>PM</w:t>
            </w:r>
            <w:r>
              <w:rPr>
                <w:bCs/>
                <w:color w:val="000000"/>
                <w:szCs w:val="21"/>
                <w:vertAlign w:val="subscript"/>
              </w:rPr>
              <w:t>2.5</w:t>
            </w:r>
            <w:r>
              <w:rPr>
                <w:bCs/>
                <w:color w:val="000000"/>
                <w:szCs w:val="21"/>
              </w:rPr>
              <w:t>日均值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24</w:t>
            </w:r>
            <w:r>
              <w:rPr>
                <w:bCs/>
                <w:color w:val="000000"/>
                <w:szCs w:val="21"/>
              </w:rPr>
              <w:t>~0.0</w:t>
            </w:r>
            <w:r>
              <w:rPr>
                <w:rFonts w:hint="eastAsia"/>
                <w:bCs/>
                <w:color w:val="000000"/>
                <w:szCs w:val="21"/>
              </w:rPr>
              <w:t>43</w:t>
            </w:r>
          </w:p>
        </w:tc>
        <w:tc>
          <w:tcPr>
            <w:tcW w:w="1522" w:type="dxa"/>
            <w:noWrap/>
            <w:vAlign w:val="center"/>
          </w:tcPr>
          <w:p>
            <w:pPr>
              <w:jc w:val="center"/>
              <w:rPr>
                <w:bCs/>
                <w:color w:val="000000"/>
                <w:szCs w:val="21"/>
              </w:rPr>
            </w:pPr>
            <w:r>
              <w:rPr>
                <w:bCs/>
                <w:color w:val="000000"/>
                <w:szCs w:val="21"/>
              </w:rPr>
              <w:t>0.075</w:t>
            </w:r>
          </w:p>
        </w:tc>
        <w:tc>
          <w:tcPr>
            <w:tcW w:w="848" w:type="dxa"/>
            <w:noWrap/>
            <w:vAlign w:val="center"/>
          </w:tcPr>
          <w:p>
            <w:pPr>
              <w:jc w:val="center"/>
              <w:rPr>
                <w:bCs/>
                <w:color w:val="000000"/>
                <w:szCs w:val="21"/>
              </w:rPr>
            </w:pPr>
            <w:r>
              <w:rPr>
                <w:bCs/>
                <w:color w:val="000000"/>
                <w:szCs w:val="21"/>
              </w:rPr>
              <w:t>0</w:t>
            </w:r>
          </w:p>
        </w:tc>
        <w:tc>
          <w:tcPr>
            <w:tcW w:w="756" w:type="dxa"/>
            <w:noWrap/>
            <w:vAlign w:val="center"/>
          </w:tcPr>
          <w:p>
            <w:pPr>
              <w:jc w:val="center"/>
              <w:rPr>
                <w:bCs/>
                <w:color w:val="000000"/>
                <w:szCs w:val="21"/>
              </w:rPr>
            </w:pPr>
            <w:r>
              <w:rPr>
                <w:bCs/>
                <w:color w:val="000000"/>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32</w:t>
            </w:r>
            <w:r>
              <w:rPr>
                <w:bCs/>
                <w:color w:val="000000"/>
                <w:szCs w:val="21"/>
              </w:rPr>
              <w:t>~0.</w:t>
            </w:r>
            <w:r>
              <w:rPr>
                <w:rFonts w:hint="eastAsia"/>
                <w:bCs/>
                <w:color w:val="000000"/>
                <w:szCs w:val="21"/>
              </w:rPr>
              <w:t>5733</w:t>
            </w:r>
          </w:p>
        </w:tc>
        <w:tc>
          <w:tcPr>
            <w:tcW w:w="1313" w:type="dxa"/>
            <w:noWrap/>
            <w:vAlign w:val="center"/>
          </w:tcPr>
          <w:p>
            <w:pPr>
              <w:jc w:val="center"/>
              <w:rPr>
                <w:bCs/>
                <w:color w:val="000000"/>
                <w:szCs w:val="21"/>
              </w:rPr>
            </w:pPr>
            <w:r>
              <w:rPr>
                <w:rFonts w:hint="eastAsia"/>
                <w:bCs/>
                <w:color w:val="000000"/>
                <w:szCs w:val="21"/>
              </w:rPr>
              <w:t>57</w:t>
            </w:r>
            <w:r>
              <w:rPr>
                <w:bCs/>
                <w:color w:val="000000"/>
                <w:szCs w:val="21"/>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restart"/>
            <w:noWrap/>
            <w:vAlign w:val="center"/>
          </w:tcPr>
          <w:p>
            <w:pPr>
              <w:jc w:val="center"/>
              <w:rPr>
                <w:szCs w:val="21"/>
              </w:rPr>
            </w:pPr>
            <w:r>
              <w:rPr>
                <w:rFonts w:hint="eastAsia"/>
              </w:rPr>
              <w:t>老任庄村</w:t>
            </w:r>
          </w:p>
        </w:tc>
        <w:tc>
          <w:tcPr>
            <w:tcW w:w="1406" w:type="dxa"/>
            <w:noWrap/>
            <w:vAlign w:val="center"/>
          </w:tcPr>
          <w:p>
            <w:pPr>
              <w:jc w:val="center"/>
              <w:rPr>
                <w:szCs w:val="21"/>
              </w:rPr>
            </w:pPr>
            <w:r>
              <w:rPr>
                <w:szCs w:val="21"/>
              </w:rPr>
              <w:t>H</w:t>
            </w:r>
            <w:r>
              <w:rPr>
                <w:szCs w:val="21"/>
                <w:vertAlign w:val="subscript"/>
              </w:rPr>
              <w:t>2</w:t>
            </w:r>
            <w:r>
              <w:rPr>
                <w:szCs w:val="21"/>
              </w:rPr>
              <w:t>S一次值</w:t>
            </w:r>
          </w:p>
        </w:tc>
        <w:tc>
          <w:tcPr>
            <w:tcW w:w="1311" w:type="dxa"/>
            <w:noWrap/>
            <w:vAlign w:val="center"/>
          </w:tcPr>
          <w:p>
            <w:pPr>
              <w:jc w:val="center"/>
              <w:rPr>
                <w:szCs w:val="21"/>
              </w:rPr>
            </w:pPr>
            <w:r>
              <w:rPr>
                <w:szCs w:val="21"/>
              </w:rPr>
              <w:t>未检出</w:t>
            </w:r>
          </w:p>
        </w:tc>
        <w:tc>
          <w:tcPr>
            <w:tcW w:w="1522" w:type="dxa"/>
            <w:noWrap/>
            <w:vAlign w:val="center"/>
          </w:tcPr>
          <w:p>
            <w:pPr>
              <w:jc w:val="center"/>
              <w:rPr>
                <w:szCs w:val="21"/>
              </w:rPr>
            </w:pPr>
            <w:r>
              <w:rPr>
                <w:szCs w:val="21"/>
              </w:rPr>
              <w:t>0.01</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szCs w:val="21"/>
              </w:rPr>
            </w:pPr>
            <w:r>
              <w:rPr>
                <w:szCs w:val="21"/>
              </w:rPr>
              <w:t>0</w:t>
            </w:r>
          </w:p>
        </w:tc>
        <w:tc>
          <w:tcPr>
            <w:tcW w:w="1313" w:type="dxa"/>
            <w:noWrap/>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szCs w:val="21"/>
              </w:rPr>
            </w:pPr>
            <w:r>
              <w:rPr>
                <w:szCs w:val="21"/>
              </w:rPr>
              <w:t>NH</w:t>
            </w:r>
            <w:r>
              <w:rPr>
                <w:szCs w:val="21"/>
                <w:vertAlign w:val="subscript"/>
              </w:rPr>
              <w:t>3</w:t>
            </w:r>
            <w:r>
              <w:rPr>
                <w:szCs w:val="21"/>
              </w:rPr>
              <w:t>一次值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23</w:t>
            </w:r>
            <w:r>
              <w:rPr>
                <w:bCs/>
                <w:color w:val="000000"/>
                <w:szCs w:val="21"/>
              </w:rPr>
              <w:t>~0.0</w:t>
            </w:r>
            <w:r>
              <w:rPr>
                <w:rFonts w:hint="eastAsia"/>
                <w:bCs/>
                <w:color w:val="000000"/>
                <w:szCs w:val="21"/>
              </w:rPr>
              <w:t>75</w:t>
            </w:r>
          </w:p>
        </w:tc>
        <w:tc>
          <w:tcPr>
            <w:tcW w:w="1522" w:type="dxa"/>
            <w:noWrap/>
            <w:vAlign w:val="center"/>
          </w:tcPr>
          <w:p>
            <w:pPr>
              <w:jc w:val="center"/>
              <w:rPr>
                <w:szCs w:val="21"/>
              </w:rPr>
            </w:pPr>
            <w:r>
              <w:rPr>
                <w:szCs w:val="21"/>
              </w:rPr>
              <w:t>0.2</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0.1</w:t>
            </w:r>
            <w:r>
              <w:rPr>
                <w:rFonts w:hint="eastAsia"/>
                <w:bCs/>
                <w:color w:val="000000"/>
                <w:szCs w:val="21"/>
              </w:rPr>
              <w:t>1</w:t>
            </w:r>
            <w:r>
              <w:rPr>
                <w:bCs/>
                <w:color w:val="000000"/>
                <w:szCs w:val="21"/>
              </w:rPr>
              <w:t>5~0.</w:t>
            </w:r>
            <w:r>
              <w:rPr>
                <w:rFonts w:hint="eastAsia"/>
                <w:bCs/>
                <w:color w:val="000000"/>
                <w:szCs w:val="21"/>
              </w:rPr>
              <w:t>375</w:t>
            </w:r>
          </w:p>
        </w:tc>
        <w:tc>
          <w:tcPr>
            <w:tcW w:w="1313" w:type="dxa"/>
            <w:noWrap/>
            <w:vAlign w:val="center"/>
          </w:tcPr>
          <w:p>
            <w:pPr>
              <w:jc w:val="center"/>
              <w:rPr>
                <w:bCs/>
                <w:color w:val="000000"/>
                <w:szCs w:val="21"/>
              </w:rPr>
            </w:pPr>
            <w:r>
              <w:rPr>
                <w:rFonts w:hint="eastAsia"/>
                <w:bCs/>
                <w:color w:val="000000"/>
                <w:szCs w:val="21"/>
              </w:rPr>
              <w:t>37.5</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szCs w:val="21"/>
              </w:rPr>
            </w:pPr>
            <w:r>
              <w:rPr>
                <w:szCs w:val="21"/>
              </w:rPr>
              <w:t>SO</w:t>
            </w:r>
            <w:r>
              <w:rPr>
                <w:szCs w:val="21"/>
                <w:vertAlign w:val="subscript"/>
              </w:rPr>
              <w:t>2</w:t>
            </w:r>
            <w:r>
              <w:rPr>
                <w:szCs w:val="21"/>
              </w:rPr>
              <w:t>小时值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08</w:t>
            </w:r>
            <w:r>
              <w:rPr>
                <w:bCs/>
                <w:color w:val="000000"/>
                <w:szCs w:val="21"/>
              </w:rPr>
              <w:t>~0.0</w:t>
            </w:r>
            <w:r>
              <w:rPr>
                <w:rFonts w:hint="eastAsia"/>
                <w:bCs/>
                <w:color w:val="000000"/>
                <w:szCs w:val="21"/>
              </w:rPr>
              <w:t>21</w:t>
            </w:r>
          </w:p>
        </w:tc>
        <w:tc>
          <w:tcPr>
            <w:tcW w:w="1522" w:type="dxa"/>
            <w:noWrap/>
            <w:vAlign w:val="center"/>
          </w:tcPr>
          <w:p>
            <w:pPr>
              <w:adjustRightInd w:val="0"/>
              <w:snapToGrid w:val="0"/>
              <w:jc w:val="center"/>
              <w:rPr>
                <w:szCs w:val="21"/>
              </w:rPr>
            </w:pPr>
            <w:r>
              <w:rPr>
                <w:szCs w:val="21"/>
              </w:rPr>
              <w:t>0.50</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0.0</w:t>
            </w:r>
            <w:r>
              <w:rPr>
                <w:rFonts w:hint="eastAsia"/>
                <w:bCs/>
                <w:color w:val="000000"/>
                <w:szCs w:val="21"/>
              </w:rPr>
              <w:t>16</w:t>
            </w:r>
            <w:r>
              <w:rPr>
                <w:bCs/>
                <w:color w:val="000000"/>
                <w:szCs w:val="21"/>
              </w:rPr>
              <w:t>~0.0</w:t>
            </w:r>
            <w:r>
              <w:rPr>
                <w:rFonts w:hint="eastAsia"/>
                <w:bCs/>
                <w:color w:val="000000"/>
                <w:szCs w:val="21"/>
              </w:rPr>
              <w:t>42</w:t>
            </w:r>
          </w:p>
        </w:tc>
        <w:tc>
          <w:tcPr>
            <w:tcW w:w="1313" w:type="dxa"/>
            <w:noWrap/>
            <w:vAlign w:val="center"/>
          </w:tcPr>
          <w:p>
            <w:pPr>
              <w:jc w:val="center"/>
              <w:rPr>
                <w:bCs/>
                <w:color w:val="000000"/>
                <w:szCs w:val="21"/>
              </w:rPr>
            </w:pPr>
            <w:r>
              <w:rPr>
                <w:rFonts w:hint="eastAsia"/>
                <w:bCs/>
                <w:color w:val="000000"/>
                <w:szCs w:val="21"/>
              </w:rPr>
              <w:t>4.2</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szCs w:val="21"/>
              </w:rPr>
            </w:pPr>
            <w:r>
              <w:rPr>
                <w:szCs w:val="21"/>
              </w:rPr>
              <w:t>SO</w:t>
            </w:r>
            <w:r>
              <w:rPr>
                <w:szCs w:val="21"/>
                <w:vertAlign w:val="subscript"/>
              </w:rPr>
              <w:t>2</w:t>
            </w:r>
            <w:r>
              <w:rPr>
                <w:szCs w:val="21"/>
              </w:rPr>
              <w:t>日均值</w:t>
            </w:r>
          </w:p>
        </w:tc>
        <w:tc>
          <w:tcPr>
            <w:tcW w:w="1311" w:type="dxa"/>
            <w:noWrap/>
            <w:vAlign w:val="center"/>
          </w:tcPr>
          <w:p>
            <w:pPr>
              <w:jc w:val="center"/>
              <w:rPr>
                <w:bCs/>
                <w:color w:val="000000"/>
                <w:szCs w:val="21"/>
              </w:rPr>
            </w:pPr>
            <w:r>
              <w:rPr>
                <w:bCs/>
                <w:color w:val="000000"/>
                <w:szCs w:val="21"/>
              </w:rPr>
              <w:t>0.009~0.0</w:t>
            </w:r>
            <w:r>
              <w:rPr>
                <w:rFonts w:hint="eastAsia"/>
                <w:bCs/>
                <w:color w:val="000000"/>
                <w:szCs w:val="21"/>
              </w:rPr>
              <w:t>17</w:t>
            </w:r>
          </w:p>
        </w:tc>
        <w:tc>
          <w:tcPr>
            <w:tcW w:w="1522" w:type="dxa"/>
            <w:noWrap/>
            <w:vAlign w:val="center"/>
          </w:tcPr>
          <w:p>
            <w:pPr>
              <w:adjustRightInd w:val="0"/>
              <w:snapToGrid w:val="0"/>
              <w:jc w:val="center"/>
              <w:rPr>
                <w:szCs w:val="21"/>
              </w:rPr>
            </w:pPr>
            <w:r>
              <w:rPr>
                <w:szCs w:val="21"/>
              </w:rPr>
              <w:t>0.15</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0.06~0.1</w:t>
            </w:r>
            <w:r>
              <w:rPr>
                <w:rFonts w:hint="eastAsia"/>
                <w:bCs/>
                <w:color w:val="000000"/>
                <w:szCs w:val="21"/>
              </w:rPr>
              <w:t>13</w:t>
            </w:r>
          </w:p>
        </w:tc>
        <w:tc>
          <w:tcPr>
            <w:tcW w:w="1313" w:type="dxa"/>
            <w:noWrap/>
            <w:vAlign w:val="center"/>
          </w:tcPr>
          <w:p>
            <w:pPr>
              <w:jc w:val="center"/>
              <w:rPr>
                <w:bCs/>
                <w:color w:val="000000"/>
                <w:szCs w:val="21"/>
              </w:rPr>
            </w:pPr>
            <w:r>
              <w:rPr>
                <w:rFonts w:hint="eastAsia"/>
                <w:bCs/>
                <w:color w:val="000000"/>
                <w:szCs w:val="21"/>
              </w:rPr>
              <w:t>11.3</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exact"/>
        </w:trPr>
        <w:tc>
          <w:tcPr>
            <w:tcW w:w="541" w:type="dxa"/>
            <w:vMerge w:val="continue"/>
            <w:noWrap/>
            <w:vAlign w:val="center"/>
          </w:tcPr>
          <w:p>
            <w:pPr>
              <w:jc w:val="center"/>
              <w:rPr>
                <w:szCs w:val="21"/>
              </w:rPr>
            </w:pPr>
          </w:p>
        </w:tc>
        <w:tc>
          <w:tcPr>
            <w:tcW w:w="1406" w:type="dxa"/>
            <w:noWrap/>
            <w:vAlign w:val="center"/>
          </w:tcPr>
          <w:p>
            <w:pPr>
              <w:jc w:val="center"/>
              <w:rPr>
                <w:szCs w:val="21"/>
              </w:rPr>
            </w:pPr>
            <w:r>
              <w:rPr>
                <w:szCs w:val="21"/>
              </w:rPr>
              <w:t>NO</w:t>
            </w:r>
            <w:r>
              <w:rPr>
                <w:szCs w:val="21"/>
                <w:vertAlign w:val="subscript"/>
              </w:rPr>
              <w:t>2</w:t>
            </w:r>
            <w:r>
              <w:rPr>
                <w:szCs w:val="21"/>
              </w:rPr>
              <w:t>小时值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27</w:t>
            </w:r>
            <w:r>
              <w:rPr>
                <w:bCs/>
                <w:color w:val="000000"/>
                <w:szCs w:val="21"/>
              </w:rPr>
              <w:t>~0.0</w:t>
            </w:r>
            <w:r>
              <w:rPr>
                <w:rFonts w:hint="eastAsia"/>
                <w:bCs/>
                <w:color w:val="000000"/>
                <w:szCs w:val="21"/>
              </w:rPr>
              <w:t>6</w:t>
            </w:r>
          </w:p>
        </w:tc>
        <w:tc>
          <w:tcPr>
            <w:tcW w:w="1522" w:type="dxa"/>
            <w:noWrap/>
            <w:vAlign w:val="center"/>
          </w:tcPr>
          <w:p>
            <w:pPr>
              <w:adjustRightInd w:val="0"/>
              <w:snapToGrid w:val="0"/>
              <w:jc w:val="center"/>
              <w:rPr>
                <w:szCs w:val="21"/>
              </w:rPr>
            </w:pPr>
            <w:r>
              <w:rPr>
                <w:szCs w:val="21"/>
              </w:rPr>
              <w:t>0.2</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135</w:t>
            </w:r>
            <w:r>
              <w:rPr>
                <w:bCs/>
                <w:color w:val="000000"/>
                <w:szCs w:val="21"/>
              </w:rPr>
              <w:t>~0.</w:t>
            </w:r>
            <w:r>
              <w:rPr>
                <w:rFonts w:hint="eastAsia"/>
                <w:bCs/>
                <w:color w:val="000000"/>
                <w:szCs w:val="21"/>
              </w:rPr>
              <w:t>3</w:t>
            </w:r>
          </w:p>
        </w:tc>
        <w:tc>
          <w:tcPr>
            <w:tcW w:w="1313" w:type="dxa"/>
            <w:noWrap/>
            <w:vAlign w:val="center"/>
          </w:tcPr>
          <w:p>
            <w:pPr>
              <w:jc w:val="center"/>
              <w:rPr>
                <w:bCs/>
                <w:color w:val="000000"/>
                <w:szCs w:val="21"/>
              </w:rPr>
            </w:pPr>
            <w:r>
              <w:rPr>
                <w:rFonts w:hint="eastAsia"/>
                <w:bCs/>
                <w:color w:val="000000"/>
                <w:szCs w:val="21"/>
              </w:rPr>
              <w:t>30</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szCs w:val="21"/>
              </w:rPr>
            </w:pPr>
            <w:r>
              <w:rPr>
                <w:szCs w:val="21"/>
              </w:rPr>
              <w:t>NO</w:t>
            </w:r>
            <w:r>
              <w:rPr>
                <w:szCs w:val="21"/>
                <w:vertAlign w:val="subscript"/>
              </w:rPr>
              <w:t>2</w:t>
            </w:r>
            <w:r>
              <w:rPr>
                <w:szCs w:val="21"/>
              </w:rPr>
              <w:t>日均值</w:t>
            </w:r>
          </w:p>
        </w:tc>
        <w:tc>
          <w:tcPr>
            <w:tcW w:w="1311" w:type="dxa"/>
            <w:noWrap/>
            <w:vAlign w:val="center"/>
          </w:tcPr>
          <w:p>
            <w:pPr>
              <w:jc w:val="center"/>
              <w:rPr>
                <w:bCs/>
                <w:color w:val="000000"/>
                <w:szCs w:val="21"/>
              </w:rPr>
            </w:pPr>
            <w:r>
              <w:rPr>
                <w:bCs/>
                <w:color w:val="000000"/>
                <w:szCs w:val="21"/>
              </w:rPr>
              <w:t>0.02</w:t>
            </w:r>
            <w:r>
              <w:rPr>
                <w:rFonts w:hint="eastAsia"/>
                <w:bCs/>
                <w:color w:val="000000"/>
                <w:szCs w:val="21"/>
              </w:rPr>
              <w:t>3</w:t>
            </w:r>
            <w:r>
              <w:rPr>
                <w:bCs/>
                <w:color w:val="000000"/>
                <w:szCs w:val="21"/>
              </w:rPr>
              <w:t>~0.0</w:t>
            </w:r>
            <w:r>
              <w:rPr>
                <w:rFonts w:hint="eastAsia"/>
                <w:bCs/>
                <w:color w:val="000000"/>
                <w:szCs w:val="21"/>
              </w:rPr>
              <w:t>46</w:t>
            </w:r>
          </w:p>
        </w:tc>
        <w:tc>
          <w:tcPr>
            <w:tcW w:w="1522" w:type="dxa"/>
            <w:noWrap/>
            <w:vAlign w:val="center"/>
          </w:tcPr>
          <w:p>
            <w:pPr>
              <w:adjustRightInd w:val="0"/>
              <w:snapToGrid w:val="0"/>
              <w:jc w:val="center"/>
              <w:rPr>
                <w:szCs w:val="21"/>
              </w:rPr>
            </w:pPr>
            <w:r>
              <w:rPr>
                <w:szCs w:val="21"/>
              </w:rPr>
              <w:t>0.08</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2875</w:t>
            </w:r>
            <w:r>
              <w:rPr>
                <w:bCs/>
                <w:color w:val="000000"/>
                <w:szCs w:val="21"/>
              </w:rPr>
              <w:t>~0.</w:t>
            </w:r>
            <w:r>
              <w:rPr>
                <w:rFonts w:hint="eastAsia"/>
                <w:bCs/>
                <w:color w:val="000000"/>
                <w:szCs w:val="21"/>
              </w:rPr>
              <w:t>575</w:t>
            </w:r>
          </w:p>
        </w:tc>
        <w:tc>
          <w:tcPr>
            <w:tcW w:w="1313" w:type="dxa"/>
            <w:noWrap/>
            <w:vAlign w:val="center"/>
          </w:tcPr>
          <w:p>
            <w:pPr>
              <w:jc w:val="center"/>
              <w:rPr>
                <w:bCs/>
                <w:color w:val="000000"/>
                <w:szCs w:val="21"/>
              </w:rPr>
            </w:pPr>
            <w:r>
              <w:rPr>
                <w:rFonts w:hint="eastAsia"/>
                <w:bCs/>
                <w:color w:val="000000"/>
                <w:szCs w:val="21"/>
              </w:rPr>
              <w:t>57.5</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szCs w:val="21"/>
              </w:rPr>
            </w:pPr>
            <w:r>
              <w:rPr>
                <w:szCs w:val="21"/>
              </w:rPr>
              <w:t>PM</w:t>
            </w:r>
            <w:r>
              <w:rPr>
                <w:szCs w:val="21"/>
                <w:vertAlign w:val="subscript"/>
              </w:rPr>
              <w:t>10</w:t>
            </w:r>
            <w:r>
              <w:rPr>
                <w:szCs w:val="21"/>
              </w:rPr>
              <w:t>日均值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55</w:t>
            </w:r>
            <w:r>
              <w:rPr>
                <w:bCs/>
                <w:color w:val="000000"/>
                <w:szCs w:val="21"/>
              </w:rPr>
              <w:t>~0.0</w:t>
            </w:r>
            <w:r>
              <w:rPr>
                <w:rFonts w:hint="eastAsia"/>
                <w:bCs/>
                <w:color w:val="000000"/>
                <w:szCs w:val="21"/>
              </w:rPr>
              <w:t>86</w:t>
            </w:r>
          </w:p>
        </w:tc>
        <w:tc>
          <w:tcPr>
            <w:tcW w:w="1522" w:type="dxa"/>
            <w:noWrap/>
            <w:vAlign w:val="center"/>
          </w:tcPr>
          <w:p>
            <w:pPr>
              <w:jc w:val="center"/>
              <w:rPr>
                <w:szCs w:val="21"/>
              </w:rPr>
            </w:pPr>
            <w:r>
              <w:rPr>
                <w:szCs w:val="21"/>
              </w:rPr>
              <w:t>0.15</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3667</w:t>
            </w:r>
            <w:r>
              <w:rPr>
                <w:bCs/>
                <w:color w:val="000000"/>
                <w:szCs w:val="21"/>
              </w:rPr>
              <w:t>~0.</w:t>
            </w:r>
            <w:r>
              <w:rPr>
                <w:rFonts w:hint="eastAsia"/>
                <w:bCs/>
                <w:color w:val="000000"/>
                <w:szCs w:val="21"/>
              </w:rPr>
              <w:t>573</w:t>
            </w:r>
            <w:r>
              <w:rPr>
                <w:bCs/>
                <w:color w:val="000000"/>
                <w:szCs w:val="21"/>
              </w:rPr>
              <w:t>3</w:t>
            </w:r>
          </w:p>
        </w:tc>
        <w:tc>
          <w:tcPr>
            <w:tcW w:w="1313" w:type="dxa"/>
            <w:noWrap/>
            <w:vAlign w:val="center"/>
          </w:tcPr>
          <w:p>
            <w:pPr>
              <w:jc w:val="center"/>
              <w:rPr>
                <w:bCs/>
                <w:color w:val="000000"/>
                <w:szCs w:val="21"/>
              </w:rPr>
            </w:pPr>
            <w:r>
              <w:rPr>
                <w:rFonts w:hint="eastAsia"/>
                <w:bCs/>
                <w:color w:val="000000"/>
                <w:szCs w:val="21"/>
              </w:rPr>
              <w:t>57</w:t>
            </w:r>
            <w:r>
              <w:rPr>
                <w:bCs/>
                <w:color w:val="000000"/>
                <w:szCs w:val="21"/>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bCs/>
                <w:color w:val="000000"/>
                <w:szCs w:val="21"/>
              </w:rPr>
            </w:pPr>
            <w:r>
              <w:rPr>
                <w:bCs/>
                <w:color w:val="000000"/>
                <w:szCs w:val="21"/>
              </w:rPr>
              <w:t>CO小时值</w:t>
            </w:r>
          </w:p>
        </w:tc>
        <w:tc>
          <w:tcPr>
            <w:tcW w:w="1311" w:type="dxa"/>
            <w:noWrap/>
            <w:vAlign w:val="center"/>
          </w:tcPr>
          <w:p>
            <w:pPr>
              <w:jc w:val="center"/>
              <w:rPr>
                <w:bCs/>
                <w:color w:val="000000"/>
                <w:szCs w:val="21"/>
              </w:rPr>
            </w:pPr>
            <w:r>
              <w:rPr>
                <w:bCs/>
                <w:color w:val="000000"/>
                <w:szCs w:val="21"/>
              </w:rPr>
              <w:t>0.</w:t>
            </w:r>
            <w:r>
              <w:rPr>
                <w:rFonts w:hint="eastAsia"/>
                <w:bCs/>
                <w:color w:val="000000"/>
                <w:szCs w:val="21"/>
              </w:rPr>
              <w:t>35</w:t>
            </w:r>
            <w:r>
              <w:rPr>
                <w:bCs/>
                <w:color w:val="000000"/>
                <w:szCs w:val="21"/>
              </w:rPr>
              <w:t>~0.8</w:t>
            </w:r>
            <w:r>
              <w:rPr>
                <w:rFonts w:hint="eastAsia"/>
                <w:bCs/>
                <w:color w:val="000000"/>
                <w:szCs w:val="21"/>
              </w:rPr>
              <w:t>38</w:t>
            </w:r>
          </w:p>
        </w:tc>
        <w:tc>
          <w:tcPr>
            <w:tcW w:w="1522" w:type="dxa"/>
            <w:noWrap/>
            <w:vAlign w:val="center"/>
          </w:tcPr>
          <w:p>
            <w:pPr>
              <w:jc w:val="center"/>
              <w:rPr>
                <w:bCs/>
                <w:color w:val="000000"/>
                <w:szCs w:val="21"/>
              </w:rPr>
            </w:pPr>
            <w:r>
              <w:rPr>
                <w:bCs/>
                <w:color w:val="000000"/>
                <w:szCs w:val="21"/>
              </w:rPr>
              <w:t>10</w:t>
            </w:r>
          </w:p>
        </w:tc>
        <w:tc>
          <w:tcPr>
            <w:tcW w:w="848" w:type="dxa"/>
            <w:noWrap/>
            <w:vAlign w:val="center"/>
          </w:tcPr>
          <w:p>
            <w:pPr>
              <w:jc w:val="center"/>
              <w:rPr>
                <w:bCs/>
                <w:color w:val="000000"/>
                <w:szCs w:val="21"/>
              </w:rPr>
            </w:pPr>
            <w:r>
              <w:rPr>
                <w:bCs/>
                <w:color w:val="000000"/>
                <w:szCs w:val="21"/>
              </w:rPr>
              <w:t>0</w:t>
            </w:r>
          </w:p>
        </w:tc>
        <w:tc>
          <w:tcPr>
            <w:tcW w:w="756" w:type="dxa"/>
            <w:noWrap/>
            <w:vAlign w:val="center"/>
          </w:tcPr>
          <w:p>
            <w:pPr>
              <w:jc w:val="center"/>
              <w:rPr>
                <w:bCs/>
                <w:color w:val="000000"/>
                <w:szCs w:val="21"/>
              </w:rPr>
            </w:pPr>
            <w:r>
              <w:rPr>
                <w:bCs/>
                <w:color w:val="000000"/>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035</w:t>
            </w:r>
            <w:r>
              <w:rPr>
                <w:bCs/>
                <w:color w:val="000000"/>
                <w:szCs w:val="21"/>
              </w:rPr>
              <w:t>~0.</w:t>
            </w:r>
            <w:r>
              <w:rPr>
                <w:rFonts w:hint="eastAsia"/>
                <w:bCs/>
                <w:color w:val="000000"/>
                <w:szCs w:val="21"/>
              </w:rPr>
              <w:t>0</w:t>
            </w:r>
            <w:r>
              <w:rPr>
                <w:bCs/>
                <w:color w:val="000000"/>
                <w:szCs w:val="21"/>
              </w:rPr>
              <w:t>8</w:t>
            </w:r>
            <w:r>
              <w:rPr>
                <w:rFonts w:hint="eastAsia"/>
                <w:bCs/>
                <w:color w:val="000000"/>
                <w:szCs w:val="21"/>
              </w:rPr>
              <w:t>38</w:t>
            </w:r>
          </w:p>
        </w:tc>
        <w:tc>
          <w:tcPr>
            <w:tcW w:w="1313" w:type="dxa"/>
            <w:noWrap/>
            <w:vAlign w:val="center"/>
          </w:tcPr>
          <w:p>
            <w:pPr>
              <w:jc w:val="center"/>
              <w:rPr>
                <w:bCs/>
                <w:color w:val="000000"/>
                <w:szCs w:val="21"/>
              </w:rPr>
            </w:pPr>
            <w:r>
              <w:rPr>
                <w:bCs/>
                <w:color w:val="000000"/>
                <w:szCs w:val="21"/>
              </w:rPr>
              <w:t>8.</w:t>
            </w:r>
            <w:r>
              <w:rPr>
                <w:rFonts w:hint="eastAsia"/>
                <w:bCs/>
                <w:color w:val="000000"/>
                <w:szCs w:val="21"/>
              </w:rPr>
              <w:t>38</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bCs/>
                <w:color w:val="000000"/>
                <w:szCs w:val="21"/>
              </w:rPr>
            </w:pPr>
            <w:r>
              <w:rPr>
                <w:bCs/>
                <w:color w:val="000000"/>
                <w:szCs w:val="21"/>
              </w:rPr>
              <w:t>CO日均值</w:t>
            </w:r>
          </w:p>
        </w:tc>
        <w:tc>
          <w:tcPr>
            <w:tcW w:w="1311" w:type="dxa"/>
            <w:noWrap/>
            <w:vAlign w:val="center"/>
          </w:tcPr>
          <w:p>
            <w:pPr>
              <w:jc w:val="center"/>
              <w:rPr>
                <w:bCs/>
                <w:color w:val="000000"/>
                <w:szCs w:val="21"/>
              </w:rPr>
            </w:pPr>
            <w:r>
              <w:rPr>
                <w:bCs/>
                <w:color w:val="000000"/>
                <w:szCs w:val="21"/>
              </w:rPr>
              <w:t>0.</w:t>
            </w:r>
            <w:r>
              <w:rPr>
                <w:rFonts w:hint="eastAsia"/>
                <w:bCs/>
                <w:color w:val="000000"/>
                <w:szCs w:val="21"/>
              </w:rPr>
              <w:t>375</w:t>
            </w:r>
            <w:r>
              <w:rPr>
                <w:bCs/>
                <w:color w:val="000000"/>
                <w:szCs w:val="21"/>
              </w:rPr>
              <w:t>~</w:t>
            </w:r>
            <w:r>
              <w:rPr>
                <w:rFonts w:hint="eastAsia"/>
                <w:bCs/>
                <w:color w:val="000000"/>
                <w:szCs w:val="21"/>
              </w:rPr>
              <w:t>0.825</w:t>
            </w:r>
          </w:p>
        </w:tc>
        <w:tc>
          <w:tcPr>
            <w:tcW w:w="1522" w:type="dxa"/>
            <w:noWrap/>
            <w:vAlign w:val="center"/>
          </w:tcPr>
          <w:p>
            <w:pPr>
              <w:jc w:val="center"/>
              <w:rPr>
                <w:bCs/>
                <w:color w:val="000000"/>
                <w:szCs w:val="21"/>
              </w:rPr>
            </w:pPr>
            <w:r>
              <w:rPr>
                <w:bCs/>
                <w:color w:val="000000"/>
                <w:szCs w:val="21"/>
              </w:rPr>
              <w:t>4</w:t>
            </w:r>
          </w:p>
        </w:tc>
        <w:tc>
          <w:tcPr>
            <w:tcW w:w="848" w:type="dxa"/>
            <w:noWrap/>
            <w:vAlign w:val="center"/>
          </w:tcPr>
          <w:p>
            <w:pPr>
              <w:jc w:val="center"/>
              <w:rPr>
                <w:bCs/>
                <w:color w:val="000000"/>
                <w:szCs w:val="21"/>
              </w:rPr>
            </w:pPr>
            <w:r>
              <w:rPr>
                <w:bCs/>
                <w:color w:val="000000"/>
                <w:szCs w:val="21"/>
              </w:rPr>
              <w:t>0</w:t>
            </w:r>
          </w:p>
        </w:tc>
        <w:tc>
          <w:tcPr>
            <w:tcW w:w="756" w:type="dxa"/>
            <w:noWrap/>
            <w:vAlign w:val="center"/>
          </w:tcPr>
          <w:p>
            <w:pPr>
              <w:jc w:val="center"/>
              <w:rPr>
                <w:bCs/>
                <w:color w:val="000000"/>
                <w:szCs w:val="21"/>
              </w:rPr>
            </w:pPr>
            <w:r>
              <w:rPr>
                <w:bCs/>
                <w:color w:val="000000"/>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0937</w:t>
            </w:r>
            <w:r>
              <w:rPr>
                <w:bCs/>
                <w:color w:val="000000"/>
                <w:szCs w:val="21"/>
              </w:rPr>
              <w:t>~0.</w:t>
            </w:r>
            <w:r>
              <w:rPr>
                <w:rFonts w:hint="eastAsia"/>
                <w:bCs/>
                <w:color w:val="000000"/>
                <w:szCs w:val="21"/>
              </w:rPr>
              <w:t>2063</w:t>
            </w:r>
          </w:p>
        </w:tc>
        <w:tc>
          <w:tcPr>
            <w:tcW w:w="1313" w:type="dxa"/>
            <w:noWrap/>
            <w:vAlign w:val="center"/>
          </w:tcPr>
          <w:p>
            <w:pPr>
              <w:jc w:val="center"/>
              <w:rPr>
                <w:bCs/>
                <w:color w:val="000000"/>
                <w:szCs w:val="21"/>
              </w:rPr>
            </w:pPr>
            <w:r>
              <w:rPr>
                <w:rFonts w:hint="eastAsia"/>
                <w:bCs/>
                <w:color w:val="000000"/>
                <w:szCs w:val="21"/>
              </w:rPr>
              <w:t>20.63</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bCs/>
                <w:color w:val="000000"/>
                <w:szCs w:val="21"/>
              </w:rPr>
            </w:pPr>
            <w:r>
              <w:rPr>
                <w:bCs/>
                <w:color w:val="000000"/>
                <w:szCs w:val="21"/>
              </w:rPr>
              <w:t>O</w:t>
            </w:r>
            <w:r>
              <w:rPr>
                <w:bCs/>
                <w:color w:val="000000"/>
                <w:szCs w:val="21"/>
                <w:vertAlign w:val="subscript"/>
              </w:rPr>
              <w:t>3</w:t>
            </w:r>
            <w:r>
              <w:rPr>
                <w:bCs/>
                <w:color w:val="000000"/>
                <w:szCs w:val="21"/>
              </w:rPr>
              <w:t>小时值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28</w:t>
            </w:r>
            <w:r>
              <w:rPr>
                <w:bCs/>
                <w:color w:val="000000"/>
                <w:szCs w:val="21"/>
              </w:rPr>
              <w:t>~0.0</w:t>
            </w:r>
            <w:r>
              <w:rPr>
                <w:rFonts w:hint="eastAsia"/>
                <w:bCs/>
                <w:color w:val="000000"/>
                <w:szCs w:val="21"/>
              </w:rPr>
              <w:t>68</w:t>
            </w:r>
          </w:p>
        </w:tc>
        <w:tc>
          <w:tcPr>
            <w:tcW w:w="1522" w:type="dxa"/>
            <w:noWrap/>
            <w:vAlign w:val="center"/>
          </w:tcPr>
          <w:p>
            <w:pPr>
              <w:jc w:val="center"/>
              <w:rPr>
                <w:bCs/>
                <w:color w:val="000000"/>
                <w:szCs w:val="21"/>
              </w:rPr>
            </w:pPr>
            <w:r>
              <w:rPr>
                <w:bCs/>
                <w:color w:val="000000"/>
                <w:szCs w:val="21"/>
              </w:rPr>
              <w:t>0.2</w:t>
            </w:r>
          </w:p>
        </w:tc>
        <w:tc>
          <w:tcPr>
            <w:tcW w:w="848" w:type="dxa"/>
            <w:noWrap/>
            <w:vAlign w:val="center"/>
          </w:tcPr>
          <w:p>
            <w:pPr>
              <w:jc w:val="center"/>
              <w:rPr>
                <w:bCs/>
                <w:color w:val="000000"/>
                <w:szCs w:val="21"/>
              </w:rPr>
            </w:pPr>
            <w:r>
              <w:rPr>
                <w:bCs/>
                <w:color w:val="000000"/>
                <w:szCs w:val="21"/>
              </w:rPr>
              <w:t>0</w:t>
            </w:r>
          </w:p>
        </w:tc>
        <w:tc>
          <w:tcPr>
            <w:tcW w:w="756" w:type="dxa"/>
            <w:noWrap/>
            <w:vAlign w:val="center"/>
          </w:tcPr>
          <w:p>
            <w:pPr>
              <w:jc w:val="center"/>
              <w:rPr>
                <w:bCs/>
                <w:color w:val="000000"/>
                <w:szCs w:val="21"/>
              </w:rPr>
            </w:pPr>
            <w:r>
              <w:rPr>
                <w:bCs/>
                <w:color w:val="000000"/>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14</w:t>
            </w:r>
            <w:r>
              <w:rPr>
                <w:bCs/>
                <w:color w:val="000000"/>
                <w:szCs w:val="21"/>
              </w:rPr>
              <w:t>~</w:t>
            </w:r>
            <w:r>
              <w:rPr>
                <w:rFonts w:hint="eastAsia"/>
                <w:bCs/>
                <w:color w:val="000000"/>
                <w:szCs w:val="21"/>
              </w:rPr>
              <w:t>0.34</w:t>
            </w:r>
          </w:p>
        </w:tc>
        <w:tc>
          <w:tcPr>
            <w:tcW w:w="1313" w:type="dxa"/>
            <w:noWrap/>
            <w:vAlign w:val="center"/>
          </w:tcPr>
          <w:p>
            <w:pPr>
              <w:jc w:val="center"/>
              <w:rPr>
                <w:bCs/>
                <w:color w:val="000000"/>
                <w:szCs w:val="21"/>
              </w:rPr>
            </w:pPr>
            <w:r>
              <w:rPr>
                <w:rFonts w:hint="eastAsia"/>
                <w:bCs/>
                <w:color w:val="000000"/>
                <w:szCs w:val="21"/>
              </w:rPr>
              <w:t>34</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bCs/>
                <w:color w:val="000000"/>
                <w:szCs w:val="21"/>
              </w:rPr>
            </w:pPr>
            <w:r>
              <w:rPr>
                <w:bCs/>
                <w:color w:val="000000"/>
                <w:szCs w:val="21"/>
              </w:rPr>
              <w:t>O</w:t>
            </w:r>
            <w:r>
              <w:rPr>
                <w:bCs/>
                <w:color w:val="000000"/>
                <w:szCs w:val="21"/>
                <w:vertAlign w:val="subscript"/>
              </w:rPr>
              <w:t>3</w:t>
            </w:r>
            <w:r>
              <w:rPr>
                <w:bCs/>
                <w:color w:val="000000"/>
                <w:szCs w:val="21"/>
              </w:rPr>
              <w:t>日均值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42</w:t>
            </w:r>
            <w:r>
              <w:rPr>
                <w:bCs/>
                <w:color w:val="000000"/>
                <w:szCs w:val="21"/>
              </w:rPr>
              <w:t>~0.06</w:t>
            </w:r>
            <w:r>
              <w:rPr>
                <w:rFonts w:hint="eastAsia"/>
                <w:bCs/>
                <w:color w:val="000000"/>
                <w:szCs w:val="21"/>
              </w:rPr>
              <w:t>7</w:t>
            </w:r>
          </w:p>
        </w:tc>
        <w:tc>
          <w:tcPr>
            <w:tcW w:w="1522" w:type="dxa"/>
            <w:noWrap/>
            <w:vAlign w:val="center"/>
          </w:tcPr>
          <w:p>
            <w:pPr>
              <w:jc w:val="center"/>
              <w:rPr>
                <w:bCs/>
                <w:color w:val="000000"/>
                <w:szCs w:val="21"/>
              </w:rPr>
            </w:pPr>
            <w:r>
              <w:rPr>
                <w:bCs/>
                <w:color w:val="000000"/>
                <w:szCs w:val="21"/>
              </w:rPr>
              <w:t>0.16</w:t>
            </w:r>
          </w:p>
        </w:tc>
        <w:tc>
          <w:tcPr>
            <w:tcW w:w="848" w:type="dxa"/>
            <w:noWrap/>
            <w:vAlign w:val="center"/>
          </w:tcPr>
          <w:p>
            <w:pPr>
              <w:jc w:val="center"/>
              <w:rPr>
                <w:bCs/>
                <w:color w:val="000000"/>
                <w:szCs w:val="21"/>
              </w:rPr>
            </w:pPr>
            <w:r>
              <w:rPr>
                <w:bCs/>
                <w:color w:val="000000"/>
                <w:szCs w:val="21"/>
              </w:rPr>
              <w:t>0</w:t>
            </w:r>
          </w:p>
        </w:tc>
        <w:tc>
          <w:tcPr>
            <w:tcW w:w="756" w:type="dxa"/>
            <w:noWrap/>
            <w:vAlign w:val="center"/>
          </w:tcPr>
          <w:p>
            <w:pPr>
              <w:jc w:val="center"/>
              <w:rPr>
                <w:bCs/>
                <w:color w:val="000000"/>
                <w:szCs w:val="21"/>
              </w:rPr>
            </w:pPr>
            <w:r>
              <w:rPr>
                <w:bCs/>
                <w:color w:val="000000"/>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2625</w:t>
            </w:r>
            <w:r>
              <w:rPr>
                <w:bCs/>
                <w:color w:val="000000"/>
                <w:szCs w:val="21"/>
              </w:rPr>
              <w:t>~0.4</w:t>
            </w:r>
            <w:r>
              <w:rPr>
                <w:rFonts w:hint="eastAsia"/>
                <w:bCs/>
                <w:color w:val="000000"/>
                <w:szCs w:val="21"/>
              </w:rPr>
              <w:t>187</w:t>
            </w:r>
          </w:p>
        </w:tc>
        <w:tc>
          <w:tcPr>
            <w:tcW w:w="1313" w:type="dxa"/>
            <w:noWrap/>
            <w:vAlign w:val="center"/>
          </w:tcPr>
          <w:p>
            <w:pPr>
              <w:jc w:val="center"/>
              <w:rPr>
                <w:bCs/>
                <w:color w:val="000000"/>
                <w:szCs w:val="21"/>
              </w:rPr>
            </w:pPr>
            <w:r>
              <w:rPr>
                <w:rFonts w:hint="eastAsia"/>
                <w:bCs/>
                <w:color w:val="000000"/>
                <w:szCs w:val="21"/>
              </w:rPr>
              <w:t>41.87</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bCs/>
                <w:color w:val="000000"/>
                <w:szCs w:val="21"/>
              </w:rPr>
            </w:pPr>
            <w:r>
              <w:rPr>
                <w:bCs/>
                <w:color w:val="000000"/>
                <w:szCs w:val="21"/>
              </w:rPr>
              <w:t>PM</w:t>
            </w:r>
            <w:r>
              <w:rPr>
                <w:bCs/>
                <w:color w:val="000000"/>
                <w:szCs w:val="21"/>
                <w:vertAlign w:val="subscript"/>
              </w:rPr>
              <w:t>2.5</w:t>
            </w:r>
            <w:r>
              <w:rPr>
                <w:bCs/>
                <w:color w:val="000000"/>
                <w:szCs w:val="21"/>
              </w:rPr>
              <w:t>日均值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2</w:t>
            </w:r>
            <w:r>
              <w:rPr>
                <w:bCs/>
                <w:color w:val="000000"/>
                <w:szCs w:val="21"/>
              </w:rPr>
              <w:t>8~0.0</w:t>
            </w:r>
            <w:r>
              <w:rPr>
                <w:rFonts w:hint="eastAsia"/>
                <w:bCs/>
                <w:color w:val="000000"/>
                <w:szCs w:val="21"/>
              </w:rPr>
              <w:t>46</w:t>
            </w:r>
          </w:p>
        </w:tc>
        <w:tc>
          <w:tcPr>
            <w:tcW w:w="1522" w:type="dxa"/>
            <w:noWrap/>
            <w:vAlign w:val="center"/>
          </w:tcPr>
          <w:p>
            <w:pPr>
              <w:jc w:val="center"/>
              <w:rPr>
                <w:bCs/>
                <w:color w:val="000000"/>
                <w:szCs w:val="21"/>
              </w:rPr>
            </w:pPr>
            <w:r>
              <w:rPr>
                <w:bCs/>
                <w:color w:val="000000"/>
                <w:szCs w:val="21"/>
              </w:rPr>
              <w:t>0.075</w:t>
            </w:r>
          </w:p>
        </w:tc>
        <w:tc>
          <w:tcPr>
            <w:tcW w:w="848" w:type="dxa"/>
            <w:noWrap/>
            <w:vAlign w:val="center"/>
          </w:tcPr>
          <w:p>
            <w:pPr>
              <w:jc w:val="center"/>
              <w:rPr>
                <w:bCs/>
                <w:color w:val="000000"/>
                <w:szCs w:val="21"/>
              </w:rPr>
            </w:pPr>
            <w:r>
              <w:rPr>
                <w:bCs/>
                <w:color w:val="000000"/>
                <w:szCs w:val="21"/>
              </w:rPr>
              <w:t>0</w:t>
            </w:r>
          </w:p>
        </w:tc>
        <w:tc>
          <w:tcPr>
            <w:tcW w:w="756" w:type="dxa"/>
            <w:noWrap/>
            <w:vAlign w:val="center"/>
          </w:tcPr>
          <w:p>
            <w:pPr>
              <w:jc w:val="center"/>
              <w:rPr>
                <w:bCs/>
                <w:color w:val="000000"/>
                <w:szCs w:val="21"/>
              </w:rPr>
            </w:pPr>
            <w:r>
              <w:rPr>
                <w:bCs/>
                <w:color w:val="000000"/>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37</w:t>
            </w:r>
            <w:r>
              <w:rPr>
                <w:bCs/>
                <w:color w:val="000000"/>
                <w:szCs w:val="21"/>
              </w:rPr>
              <w:t>~0.</w:t>
            </w:r>
            <w:r>
              <w:rPr>
                <w:rFonts w:hint="eastAsia"/>
                <w:bCs/>
                <w:color w:val="000000"/>
                <w:szCs w:val="21"/>
              </w:rPr>
              <w:t>61</w:t>
            </w:r>
          </w:p>
        </w:tc>
        <w:tc>
          <w:tcPr>
            <w:tcW w:w="1313" w:type="dxa"/>
            <w:noWrap/>
            <w:vAlign w:val="center"/>
          </w:tcPr>
          <w:p>
            <w:pPr>
              <w:jc w:val="center"/>
              <w:rPr>
                <w:bCs/>
                <w:color w:val="000000"/>
                <w:szCs w:val="21"/>
              </w:rPr>
            </w:pPr>
            <w:r>
              <w:rPr>
                <w:rFonts w:hint="eastAsia"/>
                <w:bCs/>
                <w:color w:val="000000"/>
                <w:szCs w:val="21"/>
              </w:rPr>
              <w:t>61</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restart"/>
            <w:noWrap/>
            <w:vAlign w:val="center"/>
          </w:tcPr>
          <w:p>
            <w:pPr>
              <w:jc w:val="center"/>
              <w:rPr>
                <w:szCs w:val="21"/>
              </w:rPr>
            </w:pPr>
            <w:r>
              <w:rPr>
                <w:rFonts w:hint="eastAsia"/>
              </w:rPr>
              <w:t>邢寨村</w:t>
            </w:r>
          </w:p>
        </w:tc>
        <w:tc>
          <w:tcPr>
            <w:tcW w:w="1406" w:type="dxa"/>
            <w:noWrap/>
            <w:vAlign w:val="center"/>
          </w:tcPr>
          <w:p>
            <w:pPr>
              <w:jc w:val="center"/>
              <w:rPr>
                <w:szCs w:val="21"/>
              </w:rPr>
            </w:pPr>
            <w:r>
              <w:rPr>
                <w:szCs w:val="21"/>
              </w:rPr>
              <w:t>H</w:t>
            </w:r>
            <w:r>
              <w:rPr>
                <w:szCs w:val="21"/>
                <w:vertAlign w:val="subscript"/>
              </w:rPr>
              <w:t>2</w:t>
            </w:r>
            <w:r>
              <w:rPr>
                <w:szCs w:val="21"/>
              </w:rPr>
              <w:t>S一次值</w:t>
            </w:r>
          </w:p>
        </w:tc>
        <w:tc>
          <w:tcPr>
            <w:tcW w:w="1311" w:type="dxa"/>
            <w:noWrap/>
            <w:vAlign w:val="center"/>
          </w:tcPr>
          <w:p>
            <w:pPr>
              <w:jc w:val="center"/>
              <w:rPr>
                <w:szCs w:val="21"/>
              </w:rPr>
            </w:pPr>
            <w:r>
              <w:rPr>
                <w:szCs w:val="21"/>
              </w:rPr>
              <w:t>未检出</w:t>
            </w:r>
          </w:p>
        </w:tc>
        <w:tc>
          <w:tcPr>
            <w:tcW w:w="1522" w:type="dxa"/>
            <w:noWrap/>
            <w:vAlign w:val="center"/>
          </w:tcPr>
          <w:p>
            <w:pPr>
              <w:jc w:val="center"/>
              <w:rPr>
                <w:szCs w:val="21"/>
              </w:rPr>
            </w:pPr>
            <w:r>
              <w:rPr>
                <w:szCs w:val="21"/>
              </w:rPr>
              <w:t>0.01</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szCs w:val="21"/>
              </w:rPr>
            </w:pPr>
            <w:r>
              <w:rPr>
                <w:szCs w:val="21"/>
              </w:rPr>
              <w:t>0</w:t>
            </w:r>
          </w:p>
        </w:tc>
        <w:tc>
          <w:tcPr>
            <w:tcW w:w="1313" w:type="dxa"/>
            <w:noWrap/>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szCs w:val="21"/>
              </w:rPr>
            </w:pPr>
            <w:r>
              <w:rPr>
                <w:szCs w:val="21"/>
              </w:rPr>
              <w:t>NH</w:t>
            </w:r>
            <w:r>
              <w:rPr>
                <w:szCs w:val="21"/>
                <w:vertAlign w:val="subscript"/>
              </w:rPr>
              <w:t>3</w:t>
            </w:r>
            <w:r>
              <w:rPr>
                <w:szCs w:val="21"/>
              </w:rPr>
              <w:t>一次值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23</w:t>
            </w:r>
            <w:r>
              <w:rPr>
                <w:bCs/>
                <w:color w:val="000000"/>
                <w:szCs w:val="21"/>
              </w:rPr>
              <w:t>~0.0</w:t>
            </w:r>
            <w:r>
              <w:rPr>
                <w:rFonts w:hint="eastAsia"/>
                <w:bCs/>
                <w:color w:val="000000"/>
                <w:szCs w:val="21"/>
              </w:rPr>
              <w:t>75</w:t>
            </w:r>
          </w:p>
        </w:tc>
        <w:tc>
          <w:tcPr>
            <w:tcW w:w="1522" w:type="dxa"/>
            <w:noWrap/>
            <w:vAlign w:val="center"/>
          </w:tcPr>
          <w:p>
            <w:pPr>
              <w:jc w:val="center"/>
              <w:rPr>
                <w:szCs w:val="21"/>
              </w:rPr>
            </w:pPr>
            <w:r>
              <w:rPr>
                <w:szCs w:val="21"/>
              </w:rPr>
              <w:t>0.2</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11</w:t>
            </w:r>
            <w:r>
              <w:rPr>
                <w:bCs/>
                <w:color w:val="000000"/>
                <w:szCs w:val="21"/>
              </w:rPr>
              <w:t>5~0.</w:t>
            </w:r>
            <w:r>
              <w:rPr>
                <w:rFonts w:hint="eastAsia"/>
                <w:bCs/>
                <w:color w:val="000000"/>
                <w:szCs w:val="21"/>
              </w:rPr>
              <w:t>375</w:t>
            </w:r>
          </w:p>
        </w:tc>
        <w:tc>
          <w:tcPr>
            <w:tcW w:w="1313" w:type="dxa"/>
            <w:noWrap/>
            <w:vAlign w:val="center"/>
          </w:tcPr>
          <w:p>
            <w:pPr>
              <w:jc w:val="center"/>
              <w:rPr>
                <w:szCs w:val="21"/>
              </w:rPr>
            </w:pPr>
            <w:r>
              <w:rPr>
                <w:rFonts w:hint="eastAsia"/>
                <w:szCs w:val="21"/>
              </w:rPr>
              <w:t>37.5</w:t>
            </w: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szCs w:val="21"/>
              </w:rPr>
            </w:pPr>
            <w:r>
              <w:rPr>
                <w:szCs w:val="21"/>
              </w:rPr>
              <w:t>SO</w:t>
            </w:r>
            <w:r>
              <w:rPr>
                <w:szCs w:val="21"/>
                <w:vertAlign w:val="subscript"/>
              </w:rPr>
              <w:t>2</w:t>
            </w:r>
            <w:r>
              <w:rPr>
                <w:szCs w:val="21"/>
              </w:rPr>
              <w:t>小时值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09</w:t>
            </w:r>
            <w:r>
              <w:rPr>
                <w:bCs/>
                <w:color w:val="000000"/>
                <w:szCs w:val="21"/>
              </w:rPr>
              <w:t>~0.0</w:t>
            </w:r>
            <w:r>
              <w:rPr>
                <w:rFonts w:hint="eastAsia"/>
                <w:bCs/>
                <w:color w:val="000000"/>
                <w:szCs w:val="21"/>
              </w:rPr>
              <w:t>2</w:t>
            </w:r>
          </w:p>
        </w:tc>
        <w:tc>
          <w:tcPr>
            <w:tcW w:w="1522" w:type="dxa"/>
            <w:noWrap/>
            <w:vAlign w:val="center"/>
          </w:tcPr>
          <w:p>
            <w:pPr>
              <w:adjustRightInd w:val="0"/>
              <w:snapToGrid w:val="0"/>
              <w:jc w:val="center"/>
              <w:rPr>
                <w:szCs w:val="21"/>
              </w:rPr>
            </w:pPr>
            <w:r>
              <w:rPr>
                <w:szCs w:val="21"/>
              </w:rPr>
              <w:t>0.50</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0.0</w:t>
            </w:r>
            <w:r>
              <w:rPr>
                <w:rFonts w:hint="eastAsia"/>
                <w:bCs/>
                <w:color w:val="000000"/>
                <w:szCs w:val="21"/>
              </w:rPr>
              <w:t>18</w:t>
            </w:r>
            <w:r>
              <w:rPr>
                <w:bCs/>
                <w:color w:val="000000"/>
                <w:szCs w:val="21"/>
              </w:rPr>
              <w:t>~0.0</w:t>
            </w:r>
            <w:r>
              <w:rPr>
                <w:rFonts w:hint="eastAsia"/>
                <w:bCs/>
                <w:color w:val="000000"/>
                <w:szCs w:val="21"/>
              </w:rPr>
              <w:t>4</w:t>
            </w:r>
          </w:p>
        </w:tc>
        <w:tc>
          <w:tcPr>
            <w:tcW w:w="1313" w:type="dxa"/>
            <w:noWrap/>
            <w:vAlign w:val="center"/>
          </w:tcPr>
          <w:p>
            <w:pPr>
              <w:jc w:val="center"/>
              <w:rPr>
                <w:bCs/>
                <w:color w:val="000000"/>
                <w:szCs w:val="21"/>
              </w:rPr>
            </w:pPr>
            <w:r>
              <w:rPr>
                <w:rFonts w:hint="eastAsia"/>
                <w:bCs/>
                <w:color w:val="000000"/>
                <w:szCs w:val="21"/>
              </w:rPr>
              <w:t>4</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szCs w:val="21"/>
              </w:rPr>
            </w:pPr>
            <w:r>
              <w:rPr>
                <w:szCs w:val="21"/>
              </w:rPr>
              <w:t>SO</w:t>
            </w:r>
            <w:r>
              <w:rPr>
                <w:szCs w:val="21"/>
                <w:vertAlign w:val="subscript"/>
              </w:rPr>
              <w:t>2</w:t>
            </w:r>
            <w:r>
              <w:rPr>
                <w:szCs w:val="21"/>
              </w:rPr>
              <w:t>日均值</w:t>
            </w:r>
          </w:p>
        </w:tc>
        <w:tc>
          <w:tcPr>
            <w:tcW w:w="1311" w:type="dxa"/>
            <w:noWrap/>
            <w:vAlign w:val="center"/>
          </w:tcPr>
          <w:p>
            <w:pPr>
              <w:jc w:val="center"/>
              <w:rPr>
                <w:bCs/>
                <w:color w:val="000000"/>
                <w:szCs w:val="21"/>
              </w:rPr>
            </w:pPr>
            <w:r>
              <w:rPr>
                <w:bCs/>
                <w:color w:val="000000"/>
                <w:szCs w:val="21"/>
              </w:rPr>
              <w:t>0.00</w:t>
            </w:r>
            <w:r>
              <w:rPr>
                <w:rFonts w:hint="eastAsia"/>
                <w:bCs/>
                <w:color w:val="000000"/>
                <w:szCs w:val="21"/>
              </w:rPr>
              <w:t>8</w:t>
            </w:r>
            <w:r>
              <w:rPr>
                <w:bCs/>
                <w:color w:val="000000"/>
                <w:szCs w:val="21"/>
              </w:rPr>
              <w:t>~0.01</w:t>
            </w:r>
            <w:r>
              <w:rPr>
                <w:rFonts w:hint="eastAsia"/>
                <w:bCs/>
                <w:color w:val="000000"/>
                <w:szCs w:val="21"/>
              </w:rPr>
              <w:t>7</w:t>
            </w:r>
          </w:p>
        </w:tc>
        <w:tc>
          <w:tcPr>
            <w:tcW w:w="1522" w:type="dxa"/>
            <w:noWrap/>
            <w:vAlign w:val="center"/>
          </w:tcPr>
          <w:p>
            <w:pPr>
              <w:adjustRightInd w:val="0"/>
              <w:snapToGrid w:val="0"/>
              <w:jc w:val="center"/>
              <w:rPr>
                <w:szCs w:val="21"/>
              </w:rPr>
            </w:pPr>
            <w:r>
              <w:rPr>
                <w:szCs w:val="21"/>
              </w:rPr>
              <w:t>0.15</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0.0</w:t>
            </w:r>
            <w:r>
              <w:rPr>
                <w:rFonts w:hint="eastAsia"/>
                <w:bCs/>
                <w:color w:val="000000"/>
                <w:szCs w:val="21"/>
              </w:rPr>
              <w:t>53</w:t>
            </w:r>
            <w:r>
              <w:rPr>
                <w:bCs/>
                <w:color w:val="000000"/>
                <w:szCs w:val="21"/>
              </w:rPr>
              <w:t>~0.1</w:t>
            </w:r>
            <w:r>
              <w:rPr>
                <w:rFonts w:hint="eastAsia"/>
                <w:bCs/>
                <w:color w:val="000000"/>
                <w:szCs w:val="21"/>
              </w:rPr>
              <w:t>13</w:t>
            </w:r>
          </w:p>
        </w:tc>
        <w:tc>
          <w:tcPr>
            <w:tcW w:w="1313" w:type="dxa"/>
            <w:noWrap/>
            <w:vAlign w:val="center"/>
          </w:tcPr>
          <w:p>
            <w:pPr>
              <w:jc w:val="center"/>
              <w:rPr>
                <w:bCs/>
                <w:color w:val="000000"/>
                <w:szCs w:val="21"/>
              </w:rPr>
            </w:pPr>
            <w:r>
              <w:rPr>
                <w:rFonts w:hint="eastAsia"/>
                <w:bCs/>
                <w:color w:val="000000"/>
                <w:szCs w:val="21"/>
              </w:rPr>
              <w:t>11.3</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szCs w:val="21"/>
              </w:rPr>
            </w:pPr>
            <w:r>
              <w:rPr>
                <w:szCs w:val="21"/>
              </w:rPr>
              <w:t>NO</w:t>
            </w:r>
            <w:r>
              <w:rPr>
                <w:szCs w:val="21"/>
                <w:vertAlign w:val="subscript"/>
              </w:rPr>
              <w:t>2</w:t>
            </w:r>
            <w:r>
              <w:rPr>
                <w:szCs w:val="21"/>
              </w:rPr>
              <w:t>小时值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29</w:t>
            </w:r>
            <w:r>
              <w:rPr>
                <w:bCs/>
                <w:color w:val="000000"/>
                <w:szCs w:val="21"/>
              </w:rPr>
              <w:t>~0.0</w:t>
            </w:r>
            <w:r>
              <w:rPr>
                <w:rFonts w:hint="eastAsia"/>
                <w:bCs/>
                <w:color w:val="000000"/>
                <w:szCs w:val="21"/>
              </w:rPr>
              <w:t>68</w:t>
            </w:r>
          </w:p>
        </w:tc>
        <w:tc>
          <w:tcPr>
            <w:tcW w:w="1522" w:type="dxa"/>
            <w:noWrap/>
            <w:vAlign w:val="center"/>
          </w:tcPr>
          <w:p>
            <w:pPr>
              <w:adjustRightInd w:val="0"/>
              <w:snapToGrid w:val="0"/>
              <w:jc w:val="center"/>
              <w:rPr>
                <w:szCs w:val="21"/>
              </w:rPr>
            </w:pPr>
            <w:r>
              <w:rPr>
                <w:szCs w:val="21"/>
              </w:rPr>
              <w:t>0.2</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0.1</w:t>
            </w:r>
            <w:r>
              <w:rPr>
                <w:rFonts w:hint="eastAsia"/>
                <w:bCs/>
                <w:color w:val="000000"/>
                <w:szCs w:val="21"/>
              </w:rPr>
              <w:t>45</w:t>
            </w:r>
            <w:r>
              <w:rPr>
                <w:bCs/>
                <w:color w:val="000000"/>
                <w:szCs w:val="21"/>
              </w:rPr>
              <w:t>~0.</w:t>
            </w:r>
            <w:r>
              <w:rPr>
                <w:rFonts w:hint="eastAsia"/>
                <w:bCs/>
                <w:color w:val="000000"/>
                <w:szCs w:val="21"/>
              </w:rPr>
              <w:t>34</w:t>
            </w:r>
          </w:p>
        </w:tc>
        <w:tc>
          <w:tcPr>
            <w:tcW w:w="1313" w:type="dxa"/>
            <w:noWrap/>
            <w:vAlign w:val="center"/>
          </w:tcPr>
          <w:p>
            <w:pPr>
              <w:jc w:val="center"/>
              <w:rPr>
                <w:bCs/>
                <w:color w:val="000000"/>
                <w:szCs w:val="21"/>
              </w:rPr>
            </w:pPr>
            <w:r>
              <w:rPr>
                <w:rFonts w:hint="eastAsia"/>
                <w:bCs/>
                <w:color w:val="000000"/>
                <w:szCs w:val="21"/>
              </w:rPr>
              <w:t>34</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szCs w:val="21"/>
              </w:rPr>
            </w:pPr>
            <w:r>
              <w:rPr>
                <w:szCs w:val="21"/>
              </w:rPr>
              <w:t>NO</w:t>
            </w:r>
            <w:r>
              <w:rPr>
                <w:szCs w:val="21"/>
                <w:vertAlign w:val="subscript"/>
              </w:rPr>
              <w:t>2</w:t>
            </w:r>
            <w:r>
              <w:rPr>
                <w:szCs w:val="21"/>
              </w:rPr>
              <w:t>日均值</w:t>
            </w:r>
          </w:p>
        </w:tc>
        <w:tc>
          <w:tcPr>
            <w:tcW w:w="1311" w:type="dxa"/>
            <w:noWrap/>
            <w:vAlign w:val="center"/>
          </w:tcPr>
          <w:p>
            <w:pPr>
              <w:jc w:val="center"/>
              <w:rPr>
                <w:bCs/>
                <w:color w:val="000000"/>
                <w:szCs w:val="21"/>
              </w:rPr>
            </w:pPr>
            <w:r>
              <w:rPr>
                <w:bCs/>
                <w:color w:val="000000"/>
                <w:szCs w:val="21"/>
              </w:rPr>
              <w:t>0.02</w:t>
            </w:r>
            <w:r>
              <w:rPr>
                <w:rFonts w:hint="eastAsia"/>
                <w:bCs/>
                <w:color w:val="000000"/>
                <w:szCs w:val="21"/>
              </w:rPr>
              <w:t>8</w:t>
            </w:r>
            <w:r>
              <w:rPr>
                <w:bCs/>
                <w:color w:val="000000"/>
                <w:szCs w:val="21"/>
              </w:rPr>
              <w:t>~0.0</w:t>
            </w:r>
            <w:r>
              <w:rPr>
                <w:rFonts w:hint="eastAsia"/>
                <w:bCs/>
                <w:color w:val="000000"/>
                <w:szCs w:val="21"/>
              </w:rPr>
              <w:t>44</w:t>
            </w:r>
          </w:p>
        </w:tc>
        <w:tc>
          <w:tcPr>
            <w:tcW w:w="1522" w:type="dxa"/>
            <w:noWrap/>
            <w:vAlign w:val="center"/>
          </w:tcPr>
          <w:p>
            <w:pPr>
              <w:adjustRightInd w:val="0"/>
              <w:snapToGrid w:val="0"/>
              <w:jc w:val="center"/>
              <w:rPr>
                <w:szCs w:val="21"/>
              </w:rPr>
            </w:pPr>
            <w:r>
              <w:rPr>
                <w:szCs w:val="21"/>
              </w:rPr>
              <w:t>0.08</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0.35~0.</w:t>
            </w:r>
            <w:r>
              <w:rPr>
                <w:rFonts w:hint="eastAsia"/>
                <w:bCs/>
                <w:color w:val="000000"/>
                <w:szCs w:val="21"/>
              </w:rPr>
              <w:t>55</w:t>
            </w:r>
          </w:p>
        </w:tc>
        <w:tc>
          <w:tcPr>
            <w:tcW w:w="1313" w:type="dxa"/>
            <w:noWrap/>
            <w:vAlign w:val="center"/>
          </w:tcPr>
          <w:p>
            <w:pPr>
              <w:jc w:val="center"/>
              <w:rPr>
                <w:bCs/>
                <w:color w:val="000000"/>
                <w:szCs w:val="21"/>
              </w:rPr>
            </w:pPr>
            <w:r>
              <w:rPr>
                <w:rFonts w:hint="eastAsia"/>
                <w:bCs/>
                <w:color w:val="000000"/>
                <w:szCs w:val="21"/>
              </w:rPr>
              <w:t>55</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szCs w:val="21"/>
              </w:rPr>
            </w:pPr>
            <w:r>
              <w:rPr>
                <w:szCs w:val="21"/>
              </w:rPr>
              <w:t>PM</w:t>
            </w:r>
            <w:r>
              <w:rPr>
                <w:szCs w:val="21"/>
                <w:vertAlign w:val="subscript"/>
              </w:rPr>
              <w:t>10</w:t>
            </w:r>
            <w:r>
              <w:rPr>
                <w:szCs w:val="21"/>
              </w:rPr>
              <w:t>日均值</w:t>
            </w:r>
          </w:p>
        </w:tc>
        <w:tc>
          <w:tcPr>
            <w:tcW w:w="1311" w:type="dxa"/>
            <w:noWrap/>
            <w:vAlign w:val="center"/>
          </w:tcPr>
          <w:p>
            <w:pPr>
              <w:jc w:val="center"/>
              <w:rPr>
                <w:bCs/>
                <w:color w:val="000000"/>
                <w:szCs w:val="21"/>
              </w:rPr>
            </w:pPr>
            <w:r>
              <w:rPr>
                <w:bCs/>
                <w:color w:val="000000"/>
                <w:szCs w:val="21"/>
              </w:rPr>
              <w:t>0.06</w:t>
            </w:r>
            <w:r>
              <w:rPr>
                <w:rFonts w:hint="eastAsia"/>
                <w:bCs/>
                <w:color w:val="000000"/>
                <w:szCs w:val="21"/>
              </w:rPr>
              <w:t>6</w:t>
            </w:r>
            <w:r>
              <w:rPr>
                <w:bCs/>
                <w:color w:val="000000"/>
                <w:szCs w:val="21"/>
              </w:rPr>
              <w:t>~0.</w:t>
            </w:r>
            <w:r>
              <w:rPr>
                <w:rFonts w:hint="eastAsia"/>
                <w:bCs/>
                <w:color w:val="000000"/>
                <w:szCs w:val="21"/>
              </w:rPr>
              <w:t>094</w:t>
            </w:r>
          </w:p>
        </w:tc>
        <w:tc>
          <w:tcPr>
            <w:tcW w:w="1522" w:type="dxa"/>
            <w:noWrap/>
            <w:vAlign w:val="center"/>
          </w:tcPr>
          <w:p>
            <w:pPr>
              <w:jc w:val="center"/>
              <w:rPr>
                <w:szCs w:val="21"/>
              </w:rPr>
            </w:pPr>
            <w:r>
              <w:rPr>
                <w:szCs w:val="21"/>
              </w:rPr>
              <w:t>0.15</w:t>
            </w:r>
          </w:p>
        </w:tc>
        <w:tc>
          <w:tcPr>
            <w:tcW w:w="848" w:type="dxa"/>
            <w:noWrap/>
            <w:vAlign w:val="center"/>
          </w:tcPr>
          <w:p>
            <w:pPr>
              <w:jc w:val="center"/>
              <w:rPr>
                <w:szCs w:val="21"/>
              </w:rPr>
            </w:pPr>
            <w:r>
              <w:rPr>
                <w:szCs w:val="21"/>
              </w:rPr>
              <w:t>0</w:t>
            </w:r>
          </w:p>
        </w:tc>
        <w:tc>
          <w:tcPr>
            <w:tcW w:w="756" w:type="dxa"/>
            <w:noWrap/>
            <w:vAlign w:val="center"/>
          </w:tcPr>
          <w:p>
            <w:pPr>
              <w:jc w:val="center"/>
              <w:rPr>
                <w:szCs w:val="21"/>
              </w:rPr>
            </w:pPr>
            <w:r>
              <w:rPr>
                <w:szCs w:val="21"/>
              </w:rPr>
              <w:t>达标</w:t>
            </w:r>
          </w:p>
        </w:tc>
        <w:tc>
          <w:tcPr>
            <w:tcW w:w="1485" w:type="dxa"/>
            <w:noWrap/>
            <w:vAlign w:val="center"/>
          </w:tcPr>
          <w:p>
            <w:pPr>
              <w:jc w:val="center"/>
              <w:rPr>
                <w:bCs/>
                <w:color w:val="000000"/>
                <w:szCs w:val="21"/>
              </w:rPr>
            </w:pPr>
            <w:r>
              <w:rPr>
                <w:bCs/>
                <w:color w:val="000000"/>
                <w:szCs w:val="21"/>
              </w:rPr>
              <w:t>0.4</w:t>
            </w:r>
            <w:r>
              <w:rPr>
                <w:rFonts w:hint="eastAsia"/>
                <w:bCs/>
                <w:color w:val="000000"/>
                <w:szCs w:val="21"/>
              </w:rPr>
              <w:t>4</w:t>
            </w:r>
            <w:r>
              <w:rPr>
                <w:bCs/>
                <w:color w:val="000000"/>
                <w:szCs w:val="21"/>
              </w:rPr>
              <w:t>~0.6</w:t>
            </w:r>
            <w:r>
              <w:rPr>
                <w:rFonts w:hint="eastAsia"/>
                <w:bCs/>
                <w:color w:val="000000"/>
                <w:szCs w:val="21"/>
              </w:rPr>
              <w:t>3</w:t>
            </w:r>
          </w:p>
        </w:tc>
        <w:tc>
          <w:tcPr>
            <w:tcW w:w="1313" w:type="dxa"/>
            <w:noWrap/>
            <w:vAlign w:val="center"/>
          </w:tcPr>
          <w:p>
            <w:pPr>
              <w:jc w:val="center"/>
              <w:rPr>
                <w:bCs/>
                <w:color w:val="000000"/>
                <w:szCs w:val="21"/>
              </w:rPr>
            </w:pPr>
            <w:r>
              <w:rPr>
                <w:rFonts w:hint="eastAsia"/>
                <w:bCs/>
                <w:color w:val="000000"/>
                <w:szCs w:val="21"/>
              </w:rPr>
              <w:t>63</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bCs/>
                <w:color w:val="000000"/>
                <w:szCs w:val="21"/>
              </w:rPr>
            </w:pPr>
            <w:r>
              <w:rPr>
                <w:bCs/>
                <w:color w:val="000000"/>
                <w:szCs w:val="21"/>
              </w:rPr>
              <w:t>CO小时值</w:t>
            </w:r>
          </w:p>
        </w:tc>
        <w:tc>
          <w:tcPr>
            <w:tcW w:w="1311" w:type="dxa"/>
            <w:noWrap/>
            <w:vAlign w:val="center"/>
          </w:tcPr>
          <w:p>
            <w:pPr>
              <w:jc w:val="center"/>
              <w:rPr>
                <w:bCs/>
                <w:color w:val="000000"/>
                <w:szCs w:val="21"/>
              </w:rPr>
            </w:pPr>
            <w:r>
              <w:rPr>
                <w:bCs/>
                <w:color w:val="000000"/>
                <w:szCs w:val="21"/>
              </w:rPr>
              <w:t>0.</w:t>
            </w:r>
            <w:r>
              <w:rPr>
                <w:rFonts w:hint="eastAsia"/>
                <w:bCs/>
                <w:color w:val="000000"/>
                <w:szCs w:val="21"/>
              </w:rPr>
              <w:t>363</w:t>
            </w:r>
            <w:r>
              <w:rPr>
                <w:bCs/>
                <w:color w:val="000000"/>
                <w:szCs w:val="21"/>
              </w:rPr>
              <w:t>~0.</w:t>
            </w:r>
            <w:r>
              <w:rPr>
                <w:rFonts w:hint="eastAsia"/>
                <w:bCs/>
                <w:color w:val="000000"/>
                <w:szCs w:val="21"/>
              </w:rPr>
              <w:t>863</w:t>
            </w:r>
          </w:p>
        </w:tc>
        <w:tc>
          <w:tcPr>
            <w:tcW w:w="1522" w:type="dxa"/>
            <w:noWrap/>
            <w:vAlign w:val="center"/>
          </w:tcPr>
          <w:p>
            <w:pPr>
              <w:jc w:val="center"/>
              <w:rPr>
                <w:bCs/>
                <w:color w:val="000000"/>
                <w:szCs w:val="21"/>
              </w:rPr>
            </w:pPr>
            <w:r>
              <w:rPr>
                <w:bCs/>
                <w:color w:val="000000"/>
                <w:szCs w:val="21"/>
              </w:rPr>
              <w:t>10</w:t>
            </w:r>
          </w:p>
        </w:tc>
        <w:tc>
          <w:tcPr>
            <w:tcW w:w="848" w:type="dxa"/>
            <w:noWrap/>
            <w:vAlign w:val="center"/>
          </w:tcPr>
          <w:p>
            <w:pPr>
              <w:jc w:val="center"/>
              <w:rPr>
                <w:bCs/>
                <w:color w:val="000000"/>
                <w:szCs w:val="21"/>
              </w:rPr>
            </w:pPr>
            <w:r>
              <w:rPr>
                <w:bCs/>
                <w:color w:val="000000"/>
                <w:szCs w:val="21"/>
              </w:rPr>
              <w:t>0</w:t>
            </w:r>
          </w:p>
        </w:tc>
        <w:tc>
          <w:tcPr>
            <w:tcW w:w="756" w:type="dxa"/>
            <w:noWrap/>
            <w:vAlign w:val="center"/>
          </w:tcPr>
          <w:p>
            <w:pPr>
              <w:jc w:val="center"/>
              <w:rPr>
                <w:bCs/>
                <w:color w:val="000000"/>
                <w:szCs w:val="21"/>
              </w:rPr>
            </w:pPr>
            <w:r>
              <w:rPr>
                <w:bCs/>
                <w:color w:val="000000"/>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0363</w:t>
            </w:r>
            <w:r>
              <w:rPr>
                <w:bCs/>
                <w:color w:val="000000"/>
                <w:szCs w:val="21"/>
              </w:rPr>
              <w:t>~0.</w:t>
            </w:r>
            <w:r>
              <w:rPr>
                <w:rFonts w:hint="eastAsia"/>
                <w:bCs/>
                <w:color w:val="000000"/>
                <w:szCs w:val="21"/>
              </w:rPr>
              <w:t>0863</w:t>
            </w:r>
          </w:p>
        </w:tc>
        <w:tc>
          <w:tcPr>
            <w:tcW w:w="1313" w:type="dxa"/>
            <w:noWrap/>
            <w:vAlign w:val="center"/>
          </w:tcPr>
          <w:p>
            <w:pPr>
              <w:jc w:val="center"/>
              <w:rPr>
                <w:bCs/>
                <w:color w:val="000000"/>
                <w:szCs w:val="21"/>
              </w:rPr>
            </w:pPr>
            <w:r>
              <w:rPr>
                <w:rFonts w:hint="eastAsia"/>
                <w:bCs/>
                <w:color w:val="000000"/>
                <w:szCs w:val="21"/>
              </w:rPr>
              <w:t>8.63</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bCs/>
                <w:color w:val="000000"/>
                <w:szCs w:val="21"/>
              </w:rPr>
            </w:pPr>
            <w:r>
              <w:rPr>
                <w:bCs/>
                <w:color w:val="000000"/>
                <w:szCs w:val="21"/>
              </w:rPr>
              <w:t>CO日均值</w:t>
            </w:r>
          </w:p>
        </w:tc>
        <w:tc>
          <w:tcPr>
            <w:tcW w:w="1311" w:type="dxa"/>
            <w:noWrap/>
            <w:vAlign w:val="center"/>
          </w:tcPr>
          <w:p>
            <w:pPr>
              <w:jc w:val="center"/>
              <w:rPr>
                <w:bCs/>
                <w:color w:val="000000"/>
                <w:szCs w:val="21"/>
              </w:rPr>
            </w:pPr>
            <w:r>
              <w:rPr>
                <w:bCs/>
                <w:color w:val="000000"/>
                <w:szCs w:val="21"/>
              </w:rPr>
              <w:t>0.4</w:t>
            </w:r>
            <w:r>
              <w:rPr>
                <w:rFonts w:hint="eastAsia"/>
                <w:bCs/>
                <w:color w:val="000000"/>
                <w:szCs w:val="21"/>
              </w:rPr>
              <w:t>88</w:t>
            </w:r>
            <w:r>
              <w:rPr>
                <w:bCs/>
                <w:color w:val="000000"/>
                <w:szCs w:val="21"/>
              </w:rPr>
              <w:t>~</w:t>
            </w:r>
            <w:r>
              <w:rPr>
                <w:rFonts w:hint="eastAsia"/>
                <w:bCs/>
                <w:color w:val="000000"/>
                <w:szCs w:val="21"/>
              </w:rPr>
              <w:t>0.750</w:t>
            </w:r>
          </w:p>
        </w:tc>
        <w:tc>
          <w:tcPr>
            <w:tcW w:w="1522" w:type="dxa"/>
            <w:noWrap/>
            <w:vAlign w:val="center"/>
          </w:tcPr>
          <w:p>
            <w:pPr>
              <w:jc w:val="center"/>
              <w:rPr>
                <w:bCs/>
                <w:color w:val="000000"/>
                <w:szCs w:val="21"/>
              </w:rPr>
            </w:pPr>
            <w:r>
              <w:rPr>
                <w:bCs/>
                <w:color w:val="000000"/>
                <w:szCs w:val="21"/>
              </w:rPr>
              <w:t>4</w:t>
            </w:r>
          </w:p>
        </w:tc>
        <w:tc>
          <w:tcPr>
            <w:tcW w:w="848" w:type="dxa"/>
            <w:noWrap/>
            <w:vAlign w:val="center"/>
          </w:tcPr>
          <w:p>
            <w:pPr>
              <w:jc w:val="center"/>
              <w:rPr>
                <w:bCs/>
                <w:color w:val="000000"/>
                <w:szCs w:val="21"/>
              </w:rPr>
            </w:pPr>
            <w:r>
              <w:rPr>
                <w:bCs/>
                <w:color w:val="000000"/>
                <w:szCs w:val="21"/>
              </w:rPr>
              <w:t>0</w:t>
            </w:r>
          </w:p>
        </w:tc>
        <w:tc>
          <w:tcPr>
            <w:tcW w:w="756" w:type="dxa"/>
            <w:noWrap/>
            <w:vAlign w:val="center"/>
          </w:tcPr>
          <w:p>
            <w:pPr>
              <w:jc w:val="center"/>
              <w:rPr>
                <w:bCs/>
                <w:color w:val="000000"/>
                <w:szCs w:val="21"/>
              </w:rPr>
            </w:pPr>
            <w:r>
              <w:rPr>
                <w:bCs/>
                <w:color w:val="000000"/>
                <w:szCs w:val="21"/>
              </w:rPr>
              <w:t>达标</w:t>
            </w:r>
          </w:p>
        </w:tc>
        <w:tc>
          <w:tcPr>
            <w:tcW w:w="1485" w:type="dxa"/>
            <w:noWrap/>
            <w:vAlign w:val="center"/>
          </w:tcPr>
          <w:p>
            <w:pPr>
              <w:jc w:val="center"/>
              <w:rPr>
                <w:bCs/>
                <w:color w:val="000000"/>
                <w:szCs w:val="21"/>
              </w:rPr>
            </w:pPr>
            <w:r>
              <w:rPr>
                <w:bCs/>
                <w:color w:val="000000"/>
                <w:szCs w:val="21"/>
              </w:rPr>
              <w:t>0.1</w:t>
            </w:r>
            <w:r>
              <w:rPr>
                <w:rFonts w:hint="eastAsia"/>
                <w:bCs/>
                <w:color w:val="000000"/>
                <w:szCs w:val="21"/>
              </w:rPr>
              <w:t>22</w:t>
            </w:r>
            <w:r>
              <w:rPr>
                <w:bCs/>
                <w:color w:val="000000"/>
                <w:szCs w:val="21"/>
              </w:rPr>
              <w:t>~0.</w:t>
            </w:r>
            <w:r>
              <w:rPr>
                <w:rFonts w:hint="eastAsia"/>
                <w:bCs/>
                <w:color w:val="000000"/>
                <w:szCs w:val="21"/>
              </w:rPr>
              <w:t>125</w:t>
            </w:r>
          </w:p>
        </w:tc>
        <w:tc>
          <w:tcPr>
            <w:tcW w:w="1313" w:type="dxa"/>
            <w:noWrap/>
            <w:vAlign w:val="center"/>
          </w:tcPr>
          <w:p>
            <w:pPr>
              <w:jc w:val="center"/>
              <w:rPr>
                <w:bCs/>
                <w:color w:val="000000"/>
                <w:szCs w:val="21"/>
              </w:rPr>
            </w:pPr>
            <w:r>
              <w:rPr>
                <w:rFonts w:hint="eastAsia"/>
                <w:bCs/>
                <w:color w:val="000000"/>
                <w:szCs w:val="21"/>
              </w:rPr>
              <w:t>12.5</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bCs/>
                <w:color w:val="000000"/>
                <w:szCs w:val="21"/>
              </w:rPr>
            </w:pPr>
            <w:r>
              <w:rPr>
                <w:bCs/>
                <w:color w:val="000000"/>
                <w:szCs w:val="21"/>
              </w:rPr>
              <w:t>O3小时值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28</w:t>
            </w:r>
            <w:r>
              <w:rPr>
                <w:bCs/>
                <w:color w:val="000000"/>
                <w:szCs w:val="21"/>
              </w:rPr>
              <w:t>~0.0</w:t>
            </w:r>
            <w:r>
              <w:rPr>
                <w:rFonts w:hint="eastAsia"/>
                <w:bCs/>
                <w:color w:val="000000"/>
                <w:szCs w:val="21"/>
              </w:rPr>
              <w:t>69</w:t>
            </w:r>
          </w:p>
        </w:tc>
        <w:tc>
          <w:tcPr>
            <w:tcW w:w="1522" w:type="dxa"/>
            <w:noWrap/>
            <w:vAlign w:val="center"/>
          </w:tcPr>
          <w:p>
            <w:pPr>
              <w:jc w:val="center"/>
              <w:rPr>
                <w:bCs/>
                <w:color w:val="000000"/>
                <w:szCs w:val="21"/>
              </w:rPr>
            </w:pPr>
            <w:r>
              <w:rPr>
                <w:bCs/>
                <w:color w:val="000000"/>
                <w:szCs w:val="21"/>
              </w:rPr>
              <w:t>0.2</w:t>
            </w:r>
          </w:p>
        </w:tc>
        <w:tc>
          <w:tcPr>
            <w:tcW w:w="848" w:type="dxa"/>
            <w:noWrap/>
            <w:vAlign w:val="center"/>
          </w:tcPr>
          <w:p>
            <w:pPr>
              <w:jc w:val="center"/>
              <w:rPr>
                <w:bCs/>
                <w:color w:val="000000"/>
                <w:szCs w:val="21"/>
              </w:rPr>
            </w:pPr>
            <w:r>
              <w:rPr>
                <w:bCs/>
                <w:color w:val="000000"/>
                <w:szCs w:val="21"/>
              </w:rPr>
              <w:t>0</w:t>
            </w:r>
          </w:p>
        </w:tc>
        <w:tc>
          <w:tcPr>
            <w:tcW w:w="756" w:type="dxa"/>
            <w:noWrap/>
            <w:vAlign w:val="center"/>
          </w:tcPr>
          <w:p>
            <w:pPr>
              <w:jc w:val="center"/>
              <w:rPr>
                <w:bCs/>
                <w:color w:val="000000"/>
                <w:szCs w:val="21"/>
              </w:rPr>
            </w:pPr>
            <w:r>
              <w:rPr>
                <w:bCs/>
                <w:color w:val="000000"/>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14</w:t>
            </w:r>
            <w:r>
              <w:rPr>
                <w:bCs/>
                <w:color w:val="000000"/>
                <w:szCs w:val="21"/>
              </w:rPr>
              <w:t>~0.</w:t>
            </w:r>
            <w:r>
              <w:rPr>
                <w:rFonts w:hint="eastAsia"/>
                <w:bCs/>
                <w:color w:val="000000"/>
                <w:szCs w:val="21"/>
              </w:rPr>
              <w:t>345</w:t>
            </w:r>
          </w:p>
        </w:tc>
        <w:tc>
          <w:tcPr>
            <w:tcW w:w="1313" w:type="dxa"/>
            <w:noWrap/>
            <w:vAlign w:val="center"/>
          </w:tcPr>
          <w:p>
            <w:pPr>
              <w:jc w:val="center"/>
              <w:rPr>
                <w:bCs/>
                <w:color w:val="000000"/>
                <w:szCs w:val="21"/>
              </w:rPr>
            </w:pPr>
            <w:r>
              <w:rPr>
                <w:rFonts w:hint="eastAsia"/>
                <w:bCs/>
                <w:color w:val="000000"/>
                <w:szCs w:val="21"/>
              </w:rPr>
              <w:t>34.5</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bCs/>
                <w:color w:val="000000"/>
                <w:szCs w:val="21"/>
              </w:rPr>
            </w:pPr>
            <w:r>
              <w:rPr>
                <w:bCs/>
                <w:color w:val="000000"/>
                <w:szCs w:val="21"/>
              </w:rPr>
              <w:t>O3日均值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29</w:t>
            </w:r>
            <w:r>
              <w:rPr>
                <w:bCs/>
                <w:color w:val="000000"/>
                <w:szCs w:val="21"/>
              </w:rPr>
              <w:t>~0.0</w:t>
            </w:r>
            <w:r>
              <w:rPr>
                <w:rFonts w:hint="eastAsia"/>
                <w:bCs/>
                <w:color w:val="000000"/>
                <w:szCs w:val="21"/>
              </w:rPr>
              <w:t>68</w:t>
            </w:r>
          </w:p>
        </w:tc>
        <w:tc>
          <w:tcPr>
            <w:tcW w:w="1522" w:type="dxa"/>
            <w:noWrap/>
            <w:vAlign w:val="center"/>
          </w:tcPr>
          <w:p>
            <w:pPr>
              <w:jc w:val="center"/>
              <w:rPr>
                <w:bCs/>
                <w:color w:val="000000"/>
                <w:szCs w:val="21"/>
              </w:rPr>
            </w:pPr>
            <w:r>
              <w:rPr>
                <w:bCs/>
                <w:color w:val="000000"/>
                <w:szCs w:val="21"/>
              </w:rPr>
              <w:t>0.16</w:t>
            </w:r>
          </w:p>
        </w:tc>
        <w:tc>
          <w:tcPr>
            <w:tcW w:w="848" w:type="dxa"/>
            <w:noWrap/>
            <w:vAlign w:val="center"/>
          </w:tcPr>
          <w:p>
            <w:pPr>
              <w:jc w:val="center"/>
              <w:rPr>
                <w:bCs/>
                <w:color w:val="000000"/>
                <w:szCs w:val="21"/>
              </w:rPr>
            </w:pPr>
            <w:r>
              <w:rPr>
                <w:bCs/>
                <w:color w:val="000000"/>
                <w:szCs w:val="21"/>
              </w:rPr>
              <w:t>0</w:t>
            </w:r>
          </w:p>
        </w:tc>
        <w:tc>
          <w:tcPr>
            <w:tcW w:w="756" w:type="dxa"/>
            <w:noWrap/>
            <w:vAlign w:val="center"/>
          </w:tcPr>
          <w:p>
            <w:pPr>
              <w:jc w:val="center"/>
              <w:rPr>
                <w:bCs/>
                <w:color w:val="000000"/>
                <w:szCs w:val="21"/>
              </w:rPr>
            </w:pPr>
            <w:r>
              <w:rPr>
                <w:bCs/>
                <w:color w:val="000000"/>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1813</w:t>
            </w:r>
            <w:r>
              <w:rPr>
                <w:bCs/>
                <w:color w:val="000000"/>
                <w:szCs w:val="21"/>
              </w:rPr>
              <w:t>~0.</w:t>
            </w:r>
            <w:r>
              <w:rPr>
                <w:rFonts w:hint="eastAsia"/>
                <w:bCs/>
                <w:color w:val="000000"/>
                <w:szCs w:val="21"/>
              </w:rPr>
              <w:t>42</w:t>
            </w:r>
            <w:r>
              <w:rPr>
                <w:bCs/>
                <w:color w:val="000000"/>
                <w:szCs w:val="21"/>
              </w:rPr>
              <w:t>5</w:t>
            </w:r>
          </w:p>
        </w:tc>
        <w:tc>
          <w:tcPr>
            <w:tcW w:w="1313" w:type="dxa"/>
            <w:noWrap/>
            <w:vAlign w:val="center"/>
          </w:tcPr>
          <w:p>
            <w:pPr>
              <w:jc w:val="center"/>
              <w:rPr>
                <w:bCs/>
                <w:color w:val="000000"/>
                <w:szCs w:val="21"/>
              </w:rPr>
            </w:pPr>
            <w:r>
              <w:rPr>
                <w:rFonts w:hint="eastAsia"/>
                <w:bCs/>
                <w:color w:val="000000"/>
                <w:szCs w:val="21"/>
              </w:rPr>
              <w:t>42.5</w:t>
            </w:r>
            <w:r>
              <w:rPr>
                <w:bCs/>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exact"/>
        </w:trPr>
        <w:tc>
          <w:tcPr>
            <w:tcW w:w="541" w:type="dxa"/>
            <w:vMerge w:val="continue"/>
            <w:noWrap/>
            <w:vAlign w:val="center"/>
          </w:tcPr>
          <w:p>
            <w:pPr>
              <w:jc w:val="center"/>
              <w:rPr>
                <w:szCs w:val="21"/>
              </w:rPr>
            </w:pPr>
          </w:p>
        </w:tc>
        <w:tc>
          <w:tcPr>
            <w:tcW w:w="1406" w:type="dxa"/>
            <w:noWrap/>
            <w:vAlign w:val="center"/>
          </w:tcPr>
          <w:p>
            <w:pPr>
              <w:jc w:val="center"/>
              <w:rPr>
                <w:bCs/>
                <w:color w:val="000000"/>
                <w:szCs w:val="21"/>
              </w:rPr>
            </w:pPr>
            <w:r>
              <w:rPr>
                <w:bCs/>
                <w:color w:val="000000"/>
                <w:szCs w:val="21"/>
              </w:rPr>
              <w:t>PM</w:t>
            </w:r>
            <w:r>
              <w:rPr>
                <w:bCs/>
                <w:color w:val="000000"/>
                <w:szCs w:val="21"/>
                <w:vertAlign w:val="subscript"/>
              </w:rPr>
              <w:t>2.5</w:t>
            </w:r>
            <w:r>
              <w:rPr>
                <w:bCs/>
                <w:color w:val="000000"/>
                <w:szCs w:val="21"/>
              </w:rPr>
              <w:t>日均值</w:t>
            </w:r>
          </w:p>
        </w:tc>
        <w:tc>
          <w:tcPr>
            <w:tcW w:w="1311" w:type="dxa"/>
            <w:noWrap/>
            <w:vAlign w:val="center"/>
          </w:tcPr>
          <w:p>
            <w:pPr>
              <w:jc w:val="center"/>
              <w:rPr>
                <w:bCs/>
                <w:color w:val="000000"/>
                <w:szCs w:val="21"/>
              </w:rPr>
            </w:pPr>
            <w:r>
              <w:rPr>
                <w:bCs/>
                <w:color w:val="000000"/>
                <w:szCs w:val="21"/>
              </w:rPr>
              <w:t>0.0</w:t>
            </w:r>
            <w:r>
              <w:rPr>
                <w:rFonts w:hint="eastAsia"/>
                <w:bCs/>
                <w:color w:val="000000"/>
                <w:szCs w:val="21"/>
              </w:rPr>
              <w:t>26</w:t>
            </w:r>
            <w:r>
              <w:rPr>
                <w:bCs/>
                <w:color w:val="000000"/>
                <w:szCs w:val="21"/>
              </w:rPr>
              <w:t>~0.0</w:t>
            </w:r>
            <w:r>
              <w:rPr>
                <w:rFonts w:hint="eastAsia"/>
                <w:bCs/>
                <w:color w:val="000000"/>
                <w:szCs w:val="21"/>
              </w:rPr>
              <w:t>46</w:t>
            </w:r>
          </w:p>
        </w:tc>
        <w:tc>
          <w:tcPr>
            <w:tcW w:w="1522" w:type="dxa"/>
            <w:noWrap/>
            <w:vAlign w:val="center"/>
          </w:tcPr>
          <w:p>
            <w:pPr>
              <w:jc w:val="center"/>
              <w:rPr>
                <w:bCs/>
                <w:color w:val="000000"/>
                <w:szCs w:val="21"/>
              </w:rPr>
            </w:pPr>
            <w:r>
              <w:rPr>
                <w:bCs/>
                <w:color w:val="000000"/>
                <w:szCs w:val="21"/>
              </w:rPr>
              <w:t>0.075</w:t>
            </w:r>
          </w:p>
        </w:tc>
        <w:tc>
          <w:tcPr>
            <w:tcW w:w="848" w:type="dxa"/>
            <w:noWrap/>
            <w:vAlign w:val="center"/>
          </w:tcPr>
          <w:p>
            <w:pPr>
              <w:jc w:val="center"/>
              <w:rPr>
                <w:bCs/>
                <w:color w:val="000000"/>
                <w:szCs w:val="21"/>
              </w:rPr>
            </w:pPr>
            <w:r>
              <w:rPr>
                <w:bCs/>
                <w:color w:val="000000"/>
                <w:szCs w:val="21"/>
              </w:rPr>
              <w:t>0</w:t>
            </w:r>
          </w:p>
        </w:tc>
        <w:tc>
          <w:tcPr>
            <w:tcW w:w="756" w:type="dxa"/>
            <w:noWrap/>
            <w:vAlign w:val="center"/>
          </w:tcPr>
          <w:p>
            <w:pPr>
              <w:jc w:val="center"/>
              <w:rPr>
                <w:bCs/>
                <w:color w:val="000000"/>
                <w:szCs w:val="21"/>
              </w:rPr>
            </w:pPr>
            <w:r>
              <w:rPr>
                <w:bCs/>
                <w:color w:val="000000"/>
                <w:szCs w:val="21"/>
              </w:rPr>
              <w:t>达标</w:t>
            </w:r>
          </w:p>
        </w:tc>
        <w:tc>
          <w:tcPr>
            <w:tcW w:w="1485" w:type="dxa"/>
            <w:noWrap/>
            <w:vAlign w:val="center"/>
          </w:tcPr>
          <w:p>
            <w:pPr>
              <w:jc w:val="center"/>
              <w:rPr>
                <w:bCs/>
                <w:color w:val="000000"/>
                <w:szCs w:val="21"/>
              </w:rPr>
            </w:pPr>
            <w:r>
              <w:rPr>
                <w:bCs/>
                <w:color w:val="000000"/>
                <w:szCs w:val="21"/>
              </w:rPr>
              <w:t>0.</w:t>
            </w:r>
            <w:r>
              <w:rPr>
                <w:rFonts w:hint="eastAsia"/>
                <w:bCs/>
                <w:color w:val="000000"/>
                <w:szCs w:val="21"/>
              </w:rPr>
              <w:t>347</w:t>
            </w:r>
            <w:r>
              <w:rPr>
                <w:bCs/>
                <w:color w:val="000000"/>
                <w:szCs w:val="21"/>
              </w:rPr>
              <w:t>~0.</w:t>
            </w:r>
            <w:r>
              <w:rPr>
                <w:rFonts w:hint="eastAsia"/>
                <w:bCs/>
                <w:color w:val="000000"/>
                <w:szCs w:val="21"/>
              </w:rPr>
              <w:t>6133</w:t>
            </w:r>
          </w:p>
        </w:tc>
        <w:tc>
          <w:tcPr>
            <w:tcW w:w="1313" w:type="dxa"/>
            <w:noWrap/>
            <w:vAlign w:val="center"/>
          </w:tcPr>
          <w:p>
            <w:pPr>
              <w:jc w:val="center"/>
              <w:rPr>
                <w:bCs/>
                <w:color w:val="000000"/>
                <w:szCs w:val="21"/>
              </w:rPr>
            </w:pPr>
            <w:r>
              <w:rPr>
                <w:rFonts w:hint="eastAsia"/>
                <w:bCs/>
                <w:color w:val="000000"/>
                <w:szCs w:val="21"/>
              </w:rPr>
              <w:t>61.33</w:t>
            </w:r>
            <w:r>
              <w:rPr>
                <w:bCs/>
                <w:color w:val="000000"/>
                <w:szCs w:val="21"/>
              </w:rPr>
              <w:t>%</w:t>
            </w:r>
          </w:p>
        </w:tc>
      </w:tr>
    </w:tbl>
    <w:p>
      <w:pPr>
        <w:spacing w:line="520" w:lineRule="exact"/>
        <w:ind w:firstLine="482" w:firstLineChars="200"/>
        <w:rPr>
          <w:b/>
          <w:bCs/>
          <w:color w:val="000000"/>
          <w:sz w:val="24"/>
          <w:u w:val="single"/>
        </w:rPr>
      </w:pPr>
      <w:bookmarkStart w:id="210" w:name="_Toc406663003"/>
      <w:bookmarkStart w:id="211" w:name="_Toc413829636"/>
      <w:r>
        <w:rPr>
          <w:rFonts w:hint="eastAsia" w:cs="宋体"/>
          <w:b/>
          <w:bCs/>
          <w:sz w:val="24"/>
          <w:u w:val="single"/>
        </w:rPr>
        <w:t>为进一步对项目所在区域大气环境进行了解，本次评价引用《2018年平舆县环境状况公报》，《环境空气质量标准》（GB3095-2012）标准中细颗粒物（PM</w:t>
      </w:r>
      <w:r>
        <w:rPr>
          <w:rFonts w:hint="eastAsia" w:cs="宋体"/>
          <w:b/>
          <w:bCs/>
          <w:sz w:val="24"/>
          <w:u w:val="single"/>
          <w:vertAlign w:val="subscript"/>
        </w:rPr>
        <w:t>2.5</w:t>
      </w:r>
      <w:r>
        <w:rPr>
          <w:rFonts w:hint="eastAsia" w:cs="宋体"/>
          <w:b/>
          <w:bCs/>
          <w:sz w:val="24"/>
          <w:u w:val="single"/>
        </w:rPr>
        <w:t>）、可吸入颗粒物（PM</w:t>
      </w:r>
      <w:r>
        <w:rPr>
          <w:rFonts w:hint="eastAsia" w:cs="宋体"/>
          <w:b/>
          <w:bCs/>
          <w:sz w:val="24"/>
          <w:u w:val="single"/>
          <w:vertAlign w:val="subscript"/>
        </w:rPr>
        <w:t>10</w:t>
      </w:r>
      <w:r>
        <w:rPr>
          <w:rFonts w:hint="eastAsia" w:cs="宋体"/>
          <w:b/>
          <w:bCs/>
          <w:sz w:val="24"/>
          <w:u w:val="single"/>
        </w:rPr>
        <w:t>）、二氧化硫、二氧化氮、一氧化碳、臭氧六项因子评价全县城市环境空气质量。全县城市环境空气质量首要污染物为PM</w:t>
      </w:r>
      <w:r>
        <w:rPr>
          <w:rFonts w:hint="eastAsia" w:cs="宋体"/>
          <w:b/>
          <w:bCs/>
          <w:sz w:val="24"/>
          <w:u w:val="single"/>
          <w:vertAlign w:val="subscript"/>
        </w:rPr>
        <w:t>2.5</w:t>
      </w:r>
      <w:r>
        <w:rPr>
          <w:rFonts w:hint="eastAsia" w:cs="宋体"/>
          <w:b/>
          <w:bCs/>
          <w:sz w:val="24"/>
          <w:u w:val="single"/>
        </w:rPr>
        <w:t>。</w:t>
      </w:r>
      <w:r>
        <w:rPr>
          <w:b/>
          <w:bCs/>
          <w:sz w:val="24"/>
          <w:u w:val="single"/>
        </w:rPr>
        <w:t>二氧化硫、二氧化氮、PM</w:t>
      </w:r>
      <w:r>
        <w:rPr>
          <w:b/>
          <w:bCs/>
          <w:sz w:val="24"/>
          <w:u w:val="single"/>
          <w:vertAlign w:val="subscript"/>
        </w:rPr>
        <w:t>2.5</w:t>
      </w:r>
      <w:r>
        <w:rPr>
          <w:b/>
          <w:bCs/>
          <w:sz w:val="24"/>
          <w:u w:val="single"/>
        </w:rPr>
        <w:t>、PM</w:t>
      </w:r>
      <w:r>
        <w:rPr>
          <w:b/>
          <w:bCs/>
          <w:sz w:val="24"/>
          <w:u w:val="single"/>
          <w:vertAlign w:val="subscript"/>
        </w:rPr>
        <w:t>10</w:t>
      </w:r>
      <w:r>
        <w:rPr>
          <w:b/>
          <w:bCs/>
          <w:sz w:val="24"/>
          <w:u w:val="single"/>
        </w:rPr>
        <w:t>、一氧化碳、臭氧监测浓度及评价结果见表3.3-6</w:t>
      </w:r>
      <w:r>
        <w:rPr>
          <w:b/>
          <w:bCs/>
          <w:color w:val="000000"/>
          <w:sz w:val="24"/>
          <w:u w:val="single"/>
        </w:rPr>
        <w:t>。</w:t>
      </w:r>
    </w:p>
    <w:p>
      <w:pPr>
        <w:spacing w:line="520" w:lineRule="exact"/>
        <w:ind w:firstLine="482" w:firstLineChars="200"/>
        <w:rPr>
          <w:rFonts w:eastAsia="黑体"/>
          <w:b/>
          <w:color w:val="000000"/>
          <w:sz w:val="24"/>
        </w:rPr>
      </w:pPr>
      <w:r>
        <w:rPr>
          <w:rFonts w:eastAsia="黑体"/>
          <w:b/>
          <w:color w:val="000000"/>
          <w:sz w:val="24"/>
        </w:rPr>
        <w:t>表3.3-6  201</w:t>
      </w:r>
      <w:r>
        <w:rPr>
          <w:rFonts w:hint="eastAsia" w:eastAsia="黑体"/>
          <w:b/>
          <w:color w:val="000000"/>
          <w:sz w:val="24"/>
          <w:lang w:val="en-US" w:eastAsia="zh-CN"/>
        </w:rPr>
        <w:t>8</w:t>
      </w:r>
      <w:r>
        <w:rPr>
          <w:rFonts w:eastAsia="黑体"/>
          <w:b/>
          <w:color w:val="000000"/>
          <w:sz w:val="24"/>
        </w:rPr>
        <w:t>年平舆县环境空气监测浓度及评价结果</w:t>
      </w:r>
    </w:p>
    <w:p>
      <w:pPr>
        <w:spacing w:line="520" w:lineRule="exact"/>
        <w:ind w:firstLine="422" w:firstLineChars="200"/>
        <w:jc w:val="right"/>
        <w:rPr>
          <w:rFonts w:eastAsia="黑体"/>
          <w:b/>
          <w:color w:val="000000"/>
          <w:szCs w:val="21"/>
        </w:rPr>
      </w:pPr>
      <w:r>
        <w:rPr>
          <w:b/>
          <w:szCs w:val="21"/>
        </w:rPr>
        <w:t>单位：µg/m</w:t>
      </w:r>
      <w:r>
        <w:rPr>
          <w:b/>
          <w:szCs w:val="21"/>
          <w:vertAlign w:val="superscript"/>
        </w:rPr>
        <w:t>3</w:t>
      </w:r>
      <w:r>
        <w:rPr>
          <w:b/>
          <w:szCs w:val="21"/>
        </w:rPr>
        <w:t>（一氧化碳：mg/m</w:t>
      </w:r>
      <w:r>
        <w:rPr>
          <w:b/>
          <w:szCs w:val="21"/>
          <w:vertAlign w:val="superscript"/>
        </w:rPr>
        <w:t>3</w:t>
      </w:r>
      <w:r>
        <w:rPr>
          <w:b/>
          <w:szCs w:val="21"/>
        </w:rPr>
        <w:t>）</w:t>
      </w:r>
    </w:p>
    <w:tbl>
      <w:tblPr>
        <w:tblStyle w:val="44"/>
        <w:tblW w:w="8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843"/>
        <w:gridCol w:w="951"/>
        <w:gridCol w:w="952"/>
        <w:gridCol w:w="952"/>
        <w:gridCol w:w="952"/>
        <w:gridCol w:w="952"/>
        <w:gridCol w:w="951"/>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项目</w:t>
            </w:r>
          </w:p>
        </w:tc>
        <w:tc>
          <w:tcPr>
            <w:tcW w:w="3698"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日均值评价</w:t>
            </w: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年均值评价</w:t>
            </w: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特定百分位数评价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sz w:val="21"/>
                <w:szCs w:val="21"/>
              </w:rPr>
            </w:pPr>
          </w:p>
        </w:tc>
        <w:tc>
          <w:tcPr>
            <w:tcW w:w="84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最小值</w:t>
            </w:r>
          </w:p>
        </w:tc>
        <w:tc>
          <w:tcPr>
            <w:tcW w:w="9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最大值</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样本数（个）</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达标率（%）</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浓度</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类别</w:t>
            </w:r>
          </w:p>
        </w:tc>
        <w:tc>
          <w:tcPr>
            <w:tcW w:w="9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浓度</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SO</w:t>
            </w:r>
            <w:r>
              <w:rPr>
                <w:rFonts w:ascii="宋体" w:hAnsi="宋体"/>
                <w:bCs/>
                <w:sz w:val="21"/>
                <w:szCs w:val="21"/>
                <w:vertAlign w:val="subscript"/>
              </w:rPr>
              <w:t>2</w:t>
            </w:r>
          </w:p>
        </w:tc>
        <w:tc>
          <w:tcPr>
            <w:tcW w:w="84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2</w:t>
            </w:r>
          </w:p>
        </w:tc>
        <w:tc>
          <w:tcPr>
            <w:tcW w:w="9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110</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365</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100</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26</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二级</w:t>
            </w:r>
          </w:p>
        </w:tc>
        <w:tc>
          <w:tcPr>
            <w:tcW w:w="9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66</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NO</w:t>
            </w:r>
            <w:r>
              <w:rPr>
                <w:rFonts w:ascii="宋体" w:hAnsi="宋体"/>
                <w:bCs/>
                <w:sz w:val="21"/>
                <w:szCs w:val="21"/>
                <w:vertAlign w:val="subscript"/>
              </w:rPr>
              <w:t>2</w:t>
            </w:r>
          </w:p>
        </w:tc>
        <w:tc>
          <w:tcPr>
            <w:tcW w:w="84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9</w:t>
            </w:r>
          </w:p>
        </w:tc>
        <w:tc>
          <w:tcPr>
            <w:tcW w:w="9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90</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365</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99.5</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37</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二级</w:t>
            </w:r>
          </w:p>
        </w:tc>
        <w:tc>
          <w:tcPr>
            <w:tcW w:w="9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75</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PM</w:t>
            </w:r>
            <w:r>
              <w:rPr>
                <w:rFonts w:ascii="宋体" w:hAnsi="宋体"/>
                <w:bCs/>
                <w:sz w:val="21"/>
                <w:szCs w:val="21"/>
                <w:vertAlign w:val="subscript"/>
              </w:rPr>
              <w:t>2.5</w:t>
            </w:r>
          </w:p>
        </w:tc>
        <w:tc>
          <w:tcPr>
            <w:tcW w:w="84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11</w:t>
            </w:r>
          </w:p>
        </w:tc>
        <w:tc>
          <w:tcPr>
            <w:tcW w:w="9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462</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364</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78.6</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27</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二级</w:t>
            </w:r>
          </w:p>
        </w:tc>
        <w:tc>
          <w:tcPr>
            <w:tcW w:w="9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84</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PM</w:t>
            </w:r>
            <w:r>
              <w:rPr>
                <w:rFonts w:ascii="宋体" w:hAnsi="宋体"/>
                <w:bCs/>
                <w:sz w:val="21"/>
                <w:szCs w:val="21"/>
                <w:vertAlign w:val="subscript"/>
              </w:rPr>
              <w:t>10</w:t>
            </w:r>
          </w:p>
        </w:tc>
        <w:tc>
          <w:tcPr>
            <w:tcW w:w="84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12</w:t>
            </w:r>
          </w:p>
        </w:tc>
        <w:tc>
          <w:tcPr>
            <w:tcW w:w="9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333</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365</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86.6</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sz w:val="21"/>
                <w:szCs w:val="21"/>
              </w:rPr>
              <w:t>45</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二级</w:t>
            </w:r>
          </w:p>
        </w:tc>
        <w:tc>
          <w:tcPr>
            <w:tcW w:w="9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75</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一氧化碳</w:t>
            </w:r>
          </w:p>
        </w:tc>
        <w:tc>
          <w:tcPr>
            <w:tcW w:w="84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0.2</w:t>
            </w:r>
          </w:p>
        </w:tc>
        <w:tc>
          <w:tcPr>
            <w:tcW w:w="9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5.4</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365</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100</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w:t>
            </w:r>
          </w:p>
        </w:tc>
        <w:tc>
          <w:tcPr>
            <w:tcW w:w="9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2.7</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臭氧</w:t>
            </w:r>
          </w:p>
        </w:tc>
        <w:tc>
          <w:tcPr>
            <w:tcW w:w="84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1.7</w:t>
            </w:r>
          </w:p>
        </w:tc>
        <w:tc>
          <w:tcPr>
            <w:tcW w:w="9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216</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365</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92.1</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w:t>
            </w:r>
          </w:p>
        </w:tc>
        <w:tc>
          <w:tcPr>
            <w:tcW w:w="95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w:t>
            </w:r>
          </w:p>
        </w:tc>
        <w:tc>
          <w:tcPr>
            <w:tcW w:w="9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45</w:t>
            </w:r>
          </w:p>
        </w:tc>
        <w:tc>
          <w:tcPr>
            <w:tcW w:w="1034"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宋体" w:hAnsi="宋体"/>
                <w:sz w:val="21"/>
                <w:szCs w:val="21"/>
              </w:rPr>
            </w:pPr>
            <w:r>
              <w:rPr>
                <w:rFonts w:ascii="宋体" w:hAnsi="宋体"/>
                <w:bCs/>
                <w:sz w:val="21"/>
                <w:szCs w:val="21"/>
              </w:rPr>
              <w:t>二级</w:t>
            </w:r>
          </w:p>
        </w:tc>
      </w:tr>
    </w:tbl>
    <w:p>
      <w:pPr>
        <w:spacing w:line="520" w:lineRule="exact"/>
        <w:ind w:firstLine="482" w:firstLineChars="200"/>
        <w:rPr>
          <w:rFonts w:hint="eastAsia"/>
          <w:b/>
          <w:bCs/>
          <w:sz w:val="24"/>
          <w:szCs w:val="28"/>
          <w:u w:val="single"/>
        </w:rPr>
      </w:pPr>
      <w:r>
        <w:rPr>
          <w:b/>
          <w:bCs/>
          <w:sz w:val="24"/>
          <w:szCs w:val="28"/>
          <w:u w:val="single"/>
        </w:rPr>
        <w:t>评价区的环境空气质量现状监测结果表明，该地区的SO</w:t>
      </w:r>
      <w:r>
        <w:rPr>
          <w:b/>
          <w:bCs/>
          <w:sz w:val="24"/>
          <w:szCs w:val="28"/>
          <w:u w:val="single"/>
          <w:vertAlign w:val="subscript"/>
        </w:rPr>
        <w:t>2</w:t>
      </w:r>
      <w:r>
        <w:rPr>
          <w:b/>
          <w:bCs/>
          <w:sz w:val="24"/>
          <w:szCs w:val="28"/>
          <w:u w:val="single"/>
        </w:rPr>
        <w:t>、NO</w:t>
      </w:r>
      <w:r>
        <w:rPr>
          <w:b/>
          <w:bCs/>
          <w:sz w:val="24"/>
          <w:szCs w:val="28"/>
          <w:u w:val="single"/>
          <w:vertAlign w:val="subscript"/>
        </w:rPr>
        <w:t>2</w:t>
      </w:r>
      <w:r>
        <w:rPr>
          <w:b/>
          <w:bCs/>
          <w:sz w:val="24"/>
          <w:szCs w:val="28"/>
          <w:u w:val="single"/>
        </w:rPr>
        <w:t>小时、日均值均不超标，</w:t>
      </w:r>
      <w:r>
        <w:rPr>
          <w:b/>
          <w:bCs/>
          <w:szCs w:val="28"/>
          <w:u w:val="single"/>
        </w:rPr>
        <w:t>PM</w:t>
      </w:r>
      <w:r>
        <w:rPr>
          <w:b/>
          <w:bCs/>
          <w:szCs w:val="28"/>
          <w:u w:val="single"/>
          <w:vertAlign w:val="subscript"/>
        </w:rPr>
        <w:t>2.5</w:t>
      </w:r>
      <w:r>
        <w:rPr>
          <w:rFonts w:hint="eastAsia"/>
          <w:b/>
          <w:bCs/>
          <w:sz w:val="24"/>
          <w:szCs w:val="28"/>
          <w:u w:val="single"/>
        </w:rPr>
        <w:t>、</w:t>
      </w:r>
      <w:r>
        <w:rPr>
          <w:b/>
          <w:bCs/>
          <w:sz w:val="24"/>
          <w:szCs w:val="28"/>
          <w:u w:val="single"/>
        </w:rPr>
        <w:t>PM</w:t>
      </w:r>
      <w:r>
        <w:rPr>
          <w:b/>
          <w:bCs/>
          <w:sz w:val="24"/>
          <w:szCs w:val="28"/>
          <w:u w:val="single"/>
          <w:vertAlign w:val="subscript"/>
        </w:rPr>
        <w:t>10</w:t>
      </w:r>
      <w:r>
        <w:rPr>
          <w:b/>
          <w:bCs/>
          <w:sz w:val="24"/>
          <w:szCs w:val="28"/>
          <w:u w:val="single"/>
        </w:rPr>
        <w:t>日均浓度不超标。监测结果NH</w:t>
      </w:r>
      <w:r>
        <w:rPr>
          <w:b/>
          <w:bCs/>
          <w:sz w:val="24"/>
          <w:szCs w:val="28"/>
          <w:u w:val="single"/>
          <w:vertAlign w:val="subscript"/>
        </w:rPr>
        <w:t>3</w:t>
      </w:r>
      <w:r>
        <w:rPr>
          <w:b/>
          <w:bCs/>
          <w:sz w:val="24"/>
          <w:szCs w:val="28"/>
          <w:u w:val="single"/>
        </w:rPr>
        <w:t>和H</w:t>
      </w:r>
      <w:r>
        <w:rPr>
          <w:b/>
          <w:bCs/>
          <w:sz w:val="24"/>
          <w:szCs w:val="28"/>
          <w:u w:val="single"/>
          <w:vertAlign w:val="subscript"/>
        </w:rPr>
        <w:t>2</w:t>
      </w:r>
      <w:r>
        <w:rPr>
          <w:b/>
          <w:bCs/>
          <w:sz w:val="24"/>
          <w:szCs w:val="28"/>
          <w:u w:val="single"/>
        </w:rPr>
        <w:t>S小时平均浓度值均符合《环境影响评价技术导则 大气环境（HJ2.2-2018）》</w:t>
      </w:r>
      <w:r>
        <w:rPr>
          <w:rFonts w:hint="eastAsia"/>
          <w:b/>
          <w:bCs/>
          <w:sz w:val="24"/>
          <w:szCs w:val="28"/>
          <w:u w:val="single"/>
        </w:rPr>
        <w:t>中附录D</w:t>
      </w:r>
      <w:r>
        <w:rPr>
          <w:b/>
          <w:bCs/>
          <w:sz w:val="24"/>
          <w:szCs w:val="28"/>
          <w:u w:val="single"/>
        </w:rPr>
        <w:t>中有害物质的最高允许浓度。</w:t>
      </w:r>
      <w:r>
        <w:rPr>
          <w:rFonts w:hint="eastAsia"/>
          <w:b/>
          <w:bCs/>
          <w:sz w:val="24"/>
          <w:szCs w:val="28"/>
          <w:u w:val="single"/>
        </w:rPr>
        <w:t>根据</w:t>
      </w:r>
      <w:r>
        <w:rPr>
          <w:rFonts w:hint="eastAsia" w:cs="宋体"/>
          <w:b/>
          <w:bCs/>
          <w:sz w:val="24"/>
          <w:u w:val="single"/>
        </w:rPr>
        <w:t>《2018年平舆县环境状况公报》，全县城市环境空气质量首要污染物为PM</w:t>
      </w:r>
      <w:r>
        <w:rPr>
          <w:rFonts w:hint="eastAsia" w:cs="宋体"/>
          <w:b/>
          <w:bCs/>
          <w:sz w:val="24"/>
          <w:u w:val="single"/>
          <w:vertAlign w:val="subscript"/>
        </w:rPr>
        <w:t>2.5</w:t>
      </w:r>
      <w:r>
        <w:rPr>
          <w:rFonts w:hint="eastAsia" w:cs="宋体"/>
          <w:b/>
          <w:bCs/>
          <w:sz w:val="24"/>
          <w:u w:val="single"/>
        </w:rPr>
        <w:t>，PM</w:t>
      </w:r>
      <w:r>
        <w:rPr>
          <w:rFonts w:hint="eastAsia" w:cs="宋体"/>
          <w:b/>
          <w:bCs/>
          <w:sz w:val="24"/>
          <w:u w:val="single"/>
          <w:vertAlign w:val="subscript"/>
        </w:rPr>
        <w:t>2.5</w:t>
      </w:r>
      <w:r>
        <w:rPr>
          <w:rFonts w:hint="eastAsia" w:cs="宋体"/>
          <w:b/>
          <w:bCs/>
          <w:sz w:val="24"/>
          <w:u w:val="single"/>
        </w:rPr>
        <w:t>、PM</w:t>
      </w:r>
      <w:r>
        <w:rPr>
          <w:rFonts w:hint="eastAsia" w:cs="宋体"/>
          <w:b/>
          <w:bCs/>
          <w:sz w:val="24"/>
          <w:u w:val="single"/>
          <w:vertAlign w:val="subscript"/>
        </w:rPr>
        <w:t>10</w:t>
      </w:r>
      <w:r>
        <w:rPr>
          <w:rFonts w:hint="eastAsia" w:cs="宋体"/>
          <w:b/>
          <w:bCs/>
          <w:sz w:val="24"/>
          <w:u w:val="single"/>
        </w:rPr>
        <w:t>存在一定程度超标现象</w:t>
      </w:r>
      <w:r>
        <w:rPr>
          <w:rFonts w:hint="eastAsia" w:cs="宋体"/>
          <w:b/>
          <w:bCs/>
          <w:sz w:val="24"/>
          <w:u w:val="single"/>
          <w:lang w:eastAsia="zh-CN"/>
        </w:rPr>
        <w:t>，项目所在区属于不达标区</w:t>
      </w:r>
      <w:r>
        <w:rPr>
          <w:rFonts w:hint="eastAsia" w:cs="宋体"/>
          <w:b/>
          <w:bCs/>
          <w:sz w:val="24"/>
          <w:u w:val="single"/>
        </w:rPr>
        <w:t>，</w:t>
      </w:r>
      <w:r>
        <w:rPr>
          <w:rFonts w:hint="eastAsia"/>
          <w:b/>
          <w:bCs/>
          <w:sz w:val="24"/>
          <w:szCs w:val="28"/>
          <w:u w:val="single"/>
        </w:rPr>
        <w:t>为了进一步改善区域环境空气质量，驻马店市发布了2019年大气污染防治攻坚战实施方案，根据该实施方案，为有效治理大气污染，其主要采区措施如下：</w:t>
      </w:r>
    </w:p>
    <w:p>
      <w:pPr>
        <w:spacing w:line="520" w:lineRule="exact"/>
        <w:ind w:firstLine="482" w:firstLineChars="200"/>
        <w:rPr>
          <w:rFonts w:hint="eastAsia"/>
          <w:b/>
          <w:bCs/>
          <w:sz w:val="24"/>
          <w:szCs w:val="28"/>
          <w:u w:val="single"/>
        </w:rPr>
      </w:pPr>
      <w:r>
        <w:rPr>
          <w:rFonts w:hint="eastAsia"/>
          <w:b/>
          <w:bCs/>
          <w:sz w:val="24"/>
          <w:szCs w:val="28"/>
          <w:u w:val="single"/>
        </w:rPr>
        <w:t>1、加强工业企业用煤管理，开展秋冬季燃煤散烧治理专项检查。以秋冬采暖季为重点，开展执法检查，确保重点耗煤企业煤炭质量符合商品煤质量要求。</w:t>
      </w:r>
    </w:p>
    <w:p>
      <w:pPr>
        <w:spacing w:line="520" w:lineRule="exact"/>
        <w:ind w:firstLine="482" w:firstLineChars="200"/>
        <w:rPr>
          <w:rFonts w:hint="eastAsia"/>
          <w:b/>
          <w:bCs/>
          <w:sz w:val="24"/>
          <w:szCs w:val="28"/>
          <w:u w:val="single"/>
        </w:rPr>
      </w:pPr>
      <w:r>
        <w:rPr>
          <w:rFonts w:hint="eastAsia"/>
          <w:b/>
          <w:bCs/>
          <w:sz w:val="24"/>
          <w:szCs w:val="28"/>
          <w:u w:val="single"/>
        </w:rPr>
        <w:t>2、扩大天然气利用规模，加快推进乡镇天然气利用工程建设；大力发展县域低风速平原风电项目，推进垃圾发电建设项目进度。</w:t>
      </w:r>
    </w:p>
    <w:p>
      <w:pPr>
        <w:spacing w:line="520" w:lineRule="exact"/>
        <w:ind w:firstLine="482" w:firstLineChars="200"/>
        <w:rPr>
          <w:rFonts w:hint="eastAsia"/>
          <w:b/>
          <w:bCs/>
          <w:sz w:val="24"/>
          <w:szCs w:val="28"/>
          <w:u w:val="single"/>
        </w:rPr>
      </w:pPr>
      <w:r>
        <w:rPr>
          <w:rFonts w:hint="eastAsia"/>
          <w:b/>
          <w:bCs/>
          <w:sz w:val="24"/>
          <w:szCs w:val="28"/>
          <w:u w:val="single"/>
        </w:rPr>
        <w:t>3、持续打击“散、乱、污”企业，大力淘汰低效过剩产能。推进重点企业清洁生产审核。</w:t>
      </w:r>
    </w:p>
    <w:p>
      <w:pPr>
        <w:spacing w:line="520" w:lineRule="exact"/>
        <w:ind w:firstLine="482" w:firstLineChars="200"/>
        <w:rPr>
          <w:rFonts w:hint="eastAsia"/>
          <w:b/>
          <w:bCs/>
          <w:sz w:val="24"/>
          <w:szCs w:val="28"/>
          <w:u w:val="single"/>
        </w:rPr>
      </w:pPr>
      <w:r>
        <w:rPr>
          <w:rFonts w:hint="eastAsia"/>
          <w:b/>
          <w:bCs/>
          <w:sz w:val="24"/>
          <w:szCs w:val="28"/>
          <w:u w:val="single"/>
        </w:rPr>
        <w:t>4、坚持统筹“油、路、车”协同治理，以柴油车（机）达标排放为主线，建立健全严格的机动车和非道路移动机械全防全控环境监管制度，全链条治理柴油车（机）超标排放，明显降低污染物排放总量，促进区域空气质量明显改善。</w:t>
      </w:r>
    </w:p>
    <w:p>
      <w:pPr>
        <w:spacing w:line="520" w:lineRule="exact"/>
        <w:ind w:firstLine="482" w:firstLineChars="200"/>
        <w:rPr>
          <w:rFonts w:hint="eastAsia"/>
          <w:b/>
          <w:bCs/>
          <w:sz w:val="24"/>
          <w:szCs w:val="28"/>
          <w:u w:val="single"/>
        </w:rPr>
      </w:pPr>
      <w:r>
        <w:rPr>
          <w:rFonts w:hint="eastAsia"/>
          <w:b/>
          <w:bCs/>
          <w:sz w:val="24"/>
          <w:szCs w:val="28"/>
          <w:u w:val="single"/>
        </w:rPr>
        <w:t>5、开展国省交通干线公路扬尘专项整治，全面做好普通公路清扫保洁工作，重点加强对绕城区国省干线公路的扬尘清扫清洗力度，有效减少绕城、环城国省干线公路的起尘量。</w:t>
      </w:r>
    </w:p>
    <w:p>
      <w:pPr>
        <w:spacing w:line="520" w:lineRule="exact"/>
        <w:ind w:firstLine="482" w:firstLineChars="200"/>
        <w:rPr>
          <w:rFonts w:hint="eastAsia"/>
          <w:b/>
          <w:bCs/>
          <w:sz w:val="24"/>
          <w:szCs w:val="28"/>
          <w:u w:val="single"/>
        </w:rPr>
      </w:pPr>
      <w:r>
        <w:rPr>
          <w:rFonts w:hint="eastAsia"/>
          <w:b/>
          <w:bCs/>
          <w:sz w:val="24"/>
          <w:szCs w:val="28"/>
          <w:u w:val="single"/>
        </w:rPr>
        <w:t>6、强化工地扬尘污染防治，严格落实施工工地“六个百分之百”、开复工验收、“三员”管理、扬尘防治预算管理等制度，开展扬尘污染防治宣教工作，对于施工扬尘，针对全市所有在建工程和拆迁工程开展一线工人的扬尘污染防治技术培训。</w:t>
      </w:r>
    </w:p>
    <w:p>
      <w:pPr>
        <w:spacing w:line="520" w:lineRule="exact"/>
        <w:ind w:firstLine="482" w:firstLineChars="200"/>
        <w:rPr>
          <w:rFonts w:hint="eastAsia"/>
          <w:b/>
          <w:bCs/>
          <w:color w:val="000000"/>
          <w:sz w:val="24"/>
          <w:szCs w:val="28"/>
          <w:u w:val="single"/>
        </w:rPr>
      </w:pPr>
      <w:r>
        <w:rPr>
          <w:rFonts w:hint="eastAsia"/>
          <w:b/>
          <w:bCs/>
          <w:color w:val="000000"/>
          <w:sz w:val="24"/>
          <w:szCs w:val="28"/>
          <w:u w:val="single"/>
        </w:rPr>
        <w:t>7、持续做好秸秆综合利用和禁烧工作，不断完善秸秆收储体系，进一步推进秸秆肥料化、饲料化、燃料化、基料化和原料化利用，加快推进秸秆综合利用产业化。</w:t>
      </w:r>
    </w:p>
    <w:p>
      <w:pPr>
        <w:spacing w:line="520" w:lineRule="exact"/>
        <w:ind w:firstLine="482" w:firstLineChars="200"/>
        <w:rPr>
          <w:rFonts w:hint="eastAsia"/>
          <w:b/>
          <w:bCs/>
          <w:color w:val="000000"/>
          <w:sz w:val="24"/>
          <w:szCs w:val="28"/>
          <w:u w:val="single"/>
        </w:rPr>
      </w:pPr>
      <w:r>
        <w:rPr>
          <w:rFonts w:hint="eastAsia"/>
          <w:b/>
          <w:bCs/>
          <w:color w:val="000000"/>
          <w:sz w:val="24"/>
          <w:szCs w:val="28"/>
          <w:u w:val="single"/>
        </w:rPr>
        <w:t>8、加强农机作业扬尘治理。加强“三夏”（夏收、夏种、夏管）、“三秋”（秋收、秋耕、秋种）农机作业指导，特别是小麦、花生收获季节，要充分利用无风天气，集中组织机械高效作业，大风天气尽量管控、减少作业，有效抑制农机作业粉尘排放。</w:t>
      </w:r>
    </w:p>
    <w:p>
      <w:pPr>
        <w:spacing w:line="520" w:lineRule="exact"/>
        <w:ind w:firstLine="482" w:firstLineChars="200"/>
      </w:pPr>
      <w:r>
        <w:rPr>
          <w:rFonts w:hint="eastAsia"/>
          <w:b/>
          <w:bCs/>
          <w:color w:val="000000"/>
          <w:sz w:val="24"/>
          <w:szCs w:val="28"/>
          <w:u w:val="single"/>
        </w:rPr>
        <w:t>根据《</w:t>
      </w:r>
      <w:r>
        <w:rPr>
          <w:rFonts w:hint="eastAsia"/>
          <w:b/>
          <w:bCs/>
          <w:sz w:val="24"/>
          <w:szCs w:val="28"/>
          <w:u w:val="single"/>
        </w:rPr>
        <w:t>大气污染防治攻坚战实施方案</w:t>
      </w:r>
      <w:r>
        <w:rPr>
          <w:rFonts w:hint="eastAsia"/>
          <w:b/>
          <w:bCs/>
          <w:color w:val="000000"/>
          <w:sz w:val="24"/>
          <w:szCs w:val="28"/>
          <w:u w:val="single"/>
        </w:rPr>
        <w:t>》中的相关要求，在充分采取相关治理措施的情况下，可进一步提高</w:t>
      </w:r>
      <w:r>
        <w:rPr>
          <w:rFonts w:hint="eastAsia"/>
          <w:b/>
          <w:bCs/>
          <w:color w:val="000000"/>
          <w:sz w:val="24"/>
          <w:szCs w:val="28"/>
          <w:u w:val="single"/>
          <w:lang w:eastAsia="zh-CN"/>
        </w:rPr>
        <w:t>平舆</w:t>
      </w:r>
      <w:r>
        <w:rPr>
          <w:rFonts w:hint="eastAsia"/>
          <w:b/>
          <w:bCs/>
          <w:color w:val="000000"/>
          <w:sz w:val="24"/>
          <w:szCs w:val="28"/>
          <w:u w:val="single"/>
        </w:rPr>
        <w:t>县全年空气优良天数。确保环境空气量满足</w:t>
      </w:r>
      <w:r>
        <w:rPr>
          <w:b/>
          <w:bCs/>
          <w:sz w:val="24"/>
          <w:szCs w:val="28"/>
          <w:u w:val="single"/>
        </w:rPr>
        <w:t>《环境空气质量标准》（GB3095－2012）中的二级标准</w:t>
      </w:r>
      <w:r>
        <w:rPr>
          <w:rFonts w:hint="eastAsia"/>
          <w:b/>
          <w:bCs/>
          <w:sz w:val="24"/>
          <w:szCs w:val="28"/>
          <w:u w:val="single"/>
        </w:rPr>
        <w:t>的要求。</w:t>
      </w:r>
    </w:p>
    <w:p>
      <w:pPr>
        <w:spacing w:line="520" w:lineRule="exact"/>
        <w:rPr>
          <w:color w:val="000000" w:themeColor="text1"/>
          <w:sz w:val="24"/>
        </w:rPr>
      </w:pPr>
      <w:r>
        <w:rPr>
          <w:color w:val="000000" w:themeColor="text1"/>
          <w:sz w:val="24"/>
        </w:rPr>
        <w:t>3.3.2.1 区域地表水</w:t>
      </w:r>
      <w:bookmarkEnd w:id="210"/>
      <w:bookmarkEnd w:id="211"/>
      <w:r>
        <w:rPr>
          <w:color w:val="000000" w:themeColor="text1"/>
          <w:sz w:val="24"/>
        </w:rPr>
        <w:t>概况</w:t>
      </w:r>
    </w:p>
    <w:p>
      <w:pPr>
        <w:spacing w:line="500" w:lineRule="exact"/>
        <w:ind w:firstLine="482"/>
        <w:rPr>
          <w:bCs/>
          <w:color w:val="000000" w:themeColor="text1"/>
          <w:szCs w:val="21"/>
        </w:rPr>
      </w:pPr>
      <w:bookmarkStart w:id="212" w:name="_Toc413829637"/>
      <w:bookmarkStart w:id="213" w:name="_Toc406663004"/>
      <w:r>
        <w:rPr>
          <w:color w:val="000000" w:themeColor="text1"/>
          <w:sz w:val="24"/>
        </w:rPr>
        <w:t>本次环评地表水现状监测拟设2个断面。各监测断面（功能、方位和污染源的距离）的布设见表</w:t>
      </w:r>
      <w:r>
        <w:rPr>
          <w:rFonts w:hint="eastAsia"/>
          <w:color w:val="000000" w:themeColor="text1"/>
          <w:sz w:val="24"/>
        </w:rPr>
        <w:t>3.3-7</w:t>
      </w:r>
      <w:r>
        <w:rPr>
          <w:color w:val="000000" w:themeColor="text1"/>
          <w:sz w:val="24"/>
        </w:rPr>
        <w:t>及附图五。</w:t>
      </w:r>
    </w:p>
    <w:p>
      <w:pPr>
        <w:spacing w:line="520" w:lineRule="exact"/>
        <w:ind w:firstLine="1662" w:firstLineChars="690"/>
        <w:rPr>
          <w:rFonts w:eastAsia="黑体"/>
          <w:b/>
          <w:bCs/>
          <w:color w:val="000000"/>
          <w:sz w:val="24"/>
        </w:rPr>
      </w:pPr>
      <w:r>
        <w:rPr>
          <w:rFonts w:eastAsia="黑体"/>
          <w:b/>
          <w:bCs/>
          <w:color w:val="000000"/>
          <w:sz w:val="24"/>
        </w:rPr>
        <w:t>表</w:t>
      </w:r>
      <w:r>
        <w:rPr>
          <w:rFonts w:hint="eastAsia" w:eastAsia="黑体"/>
          <w:b/>
          <w:bCs/>
          <w:color w:val="000000"/>
          <w:sz w:val="24"/>
        </w:rPr>
        <w:t>3.3-7</w:t>
      </w:r>
      <w:r>
        <w:rPr>
          <w:rFonts w:eastAsia="黑体"/>
          <w:b/>
          <w:bCs/>
          <w:color w:val="000000"/>
          <w:sz w:val="24"/>
        </w:rPr>
        <w:t xml:space="preserve"> 地表水环境现状监测断面布设一览表</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220"/>
        <w:gridCol w:w="3503"/>
        <w:gridCol w:w="28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85" w:type="dxa"/>
            <w:tcBorders>
              <w:top w:val="single" w:color="auto" w:sz="12" w:space="0"/>
              <w:left w:val="single" w:color="auto" w:sz="12"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监测点编号</w:t>
            </w:r>
          </w:p>
        </w:tc>
        <w:tc>
          <w:tcPr>
            <w:tcW w:w="1220" w:type="dxa"/>
            <w:tcBorders>
              <w:top w:val="single" w:color="auto" w:sz="12" w:space="0"/>
              <w:left w:val="single" w:color="auto" w:sz="4"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地表水体</w:t>
            </w:r>
          </w:p>
        </w:tc>
        <w:tc>
          <w:tcPr>
            <w:tcW w:w="3503" w:type="dxa"/>
            <w:tcBorders>
              <w:top w:val="single" w:color="auto" w:sz="12" w:space="0"/>
              <w:left w:val="single" w:color="auto" w:sz="4"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位置</w:t>
            </w:r>
          </w:p>
        </w:tc>
        <w:tc>
          <w:tcPr>
            <w:tcW w:w="2838" w:type="dxa"/>
            <w:tcBorders>
              <w:top w:val="single" w:color="auto" w:sz="12" w:space="0"/>
              <w:left w:val="single" w:color="auto" w:sz="4" w:space="0"/>
              <w:bottom w:val="single" w:color="auto" w:sz="4" w:space="0"/>
              <w:right w:val="single" w:color="auto" w:sz="12" w:space="0"/>
            </w:tcBorders>
            <w:vAlign w:val="center"/>
          </w:tcPr>
          <w:p>
            <w:pPr>
              <w:spacing w:line="320" w:lineRule="exact"/>
              <w:jc w:val="center"/>
              <w:rPr>
                <w:color w:val="000000" w:themeColor="text1"/>
              </w:rPr>
            </w:pPr>
            <w:r>
              <w:rPr>
                <w:color w:val="000000" w:themeColor="text1"/>
              </w:rPr>
              <w:t>断面功能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385" w:type="dxa"/>
            <w:tcBorders>
              <w:top w:val="single" w:color="auto" w:sz="4" w:space="0"/>
              <w:left w:val="single" w:color="auto" w:sz="12"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1#</w:t>
            </w:r>
          </w:p>
        </w:tc>
        <w:tc>
          <w:tcPr>
            <w:tcW w:w="1220" w:type="dxa"/>
            <w:tcBorders>
              <w:top w:val="single" w:color="auto" w:sz="4" w:space="0"/>
              <w:left w:val="single" w:color="auto" w:sz="4" w:space="0"/>
              <w:bottom w:val="single" w:color="auto" w:sz="12" w:space="0"/>
              <w:right w:val="single" w:color="auto" w:sz="4" w:space="0"/>
            </w:tcBorders>
          </w:tcPr>
          <w:p>
            <w:pPr>
              <w:jc w:val="center"/>
            </w:pPr>
            <w:r>
              <w:rPr>
                <w:rFonts w:hint="eastAsia"/>
                <w:szCs w:val="21"/>
              </w:rPr>
              <w:t>大黄港</w:t>
            </w:r>
          </w:p>
        </w:tc>
        <w:tc>
          <w:tcPr>
            <w:tcW w:w="350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大黄港沿项目上游</w:t>
            </w:r>
            <w:r>
              <w:rPr>
                <w:szCs w:val="21"/>
              </w:rPr>
              <w:t>500</w:t>
            </w:r>
            <w:r>
              <w:rPr>
                <w:rFonts w:hint="eastAsia"/>
                <w:szCs w:val="21"/>
              </w:rPr>
              <w:t>米</w:t>
            </w:r>
          </w:p>
        </w:tc>
        <w:tc>
          <w:tcPr>
            <w:tcW w:w="2838"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szCs w:val="21"/>
              </w:rPr>
            </w:pPr>
            <w:r>
              <w:rPr>
                <w:color w:val="000000" w:themeColor="text1"/>
                <w:szCs w:val="21"/>
              </w:rPr>
              <w:t>背景断面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385" w:type="dxa"/>
            <w:tcBorders>
              <w:top w:val="single" w:color="auto" w:sz="4" w:space="0"/>
              <w:left w:val="single" w:color="auto" w:sz="12"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2#</w:t>
            </w:r>
          </w:p>
        </w:tc>
        <w:tc>
          <w:tcPr>
            <w:tcW w:w="1220" w:type="dxa"/>
            <w:tcBorders>
              <w:top w:val="single" w:color="auto" w:sz="4" w:space="0"/>
              <w:left w:val="single" w:color="auto" w:sz="4" w:space="0"/>
              <w:bottom w:val="single" w:color="auto" w:sz="12" w:space="0"/>
              <w:right w:val="single" w:color="auto" w:sz="4" w:space="0"/>
            </w:tcBorders>
          </w:tcPr>
          <w:p>
            <w:pPr>
              <w:jc w:val="center"/>
            </w:pPr>
            <w:r>
              <w:rPr>
                <w:rFonts w:hint="eastAsia"/>
                <w:szCs w:val="21"/>
              </w:rPr>
              <w:t>大黄港</w:t>
            </w:r>
          </w:p>
        </w:tc>
        <w:tc>
          <w:tcPr>
            <w:tcW w:w="3503"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大黄港沿项目下游</w:t>
            </w:r>
            <w:r>
              <w:rPr>
                <w:szCs w:val="21"/>
              </w:rPr>
              <w:t>1000</w:t>
            </w:r>
            <w:r>
              <w:rPr>
                <w:rFonts w:hint="eastAsia"/>
                <w:szCs w:val="21"/>
              </w:rPr>
              <w:t>米</w:t>
            </w:r>
          </w:p>
        </w:tc>
        <w:tc>
          <w:tcPr>
            <w:tcW w:w="2838" w:type="dxa"/>
            <w:tcBorders>
              <w:top w:val="single" w:color="auto" w:sz="4" w:space="0"/>
              <w:left w:val="single" w:color="auto" w:sz="4" w:space="0"/>
              <w:bottom w:val="single" w:color="auto" w:sz="4" w:space="0"/>
              <w:right w:val="single" w:color="auto" w:sz="12" w:space="0"/>
            </w:tcBorders>
            <w:vAlign w:val="center"/>
          </w:tcPr>
          <w:p>
            <w:pPr>
              <w:jc w:val="center"/>
              <w:rPr>
                <w:color w:val="000000" w:themeColor="text1"/>
                <w:szCs w:val="21"/>
              </w:rPr>
            </w:pPr>
            <w:r>
              <w:rPr>
                <w:color w:val="000000" w:themeColor="text1"/>
                <w:szCs w:val="21"/>
              </w:rPr>
              <w:t>控制断面</w:t>
            </w:r>
          </w:p>
        </w:tc>
      </w:tr>
    </w:tbl>
    <w:p>
      <w:pPr>
        <w:adjustRightInd w:val="0"/>
        <w:snapToGrid w:val="0"/>
        <w:spacing w:line="600" w:lineRule="exact"/>
        <w:jc w:val="left"/>
        <w:outlineLvl w:val="3"/>
        <w:rPr>
          <w:bCs/>
          <w:color w:val="000000" w:themeColor="text1"/>
          <w:sz w:val="24"/>
        </w:rPr>
      </w:pPr>
      <w:r>
        <w:rPr>
          <w:color w:val="000000" w:themeColor="text1"/>
          <w:sz w:val="24"/>
        </w:rPr>
        <w:t>3.3.2.2</w:t>
      </w:r>
      <w:r>
        <w:rPr>
          <w:bCs/>
          <w:color w:val="000000" w:themeColor="text1"/>
          <w:sz w:val="24"/>
        </w:rPr>
        <w:t>监测项目、时间和频率</w:t>
      </w:r>
    </w:p>
    <w:p>
      <w:pPr>
        <w:spacing w:line="500" w:lineRule="exact"/>
        <w:ind w:firstLine="482"/>
        <w:rPr>
          <w:color w:val="000000" w:themeColor="text1"/>
          <w:sz w:val="24"/>
        </w:rPr>
      </w:pPr>
      <w:r>
        <w:rPr>
          <w:color w:val="000000" w:themeColor="text1"/>
          <w:sz w:val="24"/>
        </w:rPr>
        <w:t>本次地表水监测项目、监测时间及频率见表</w:t>
      </w:r>
      <w:r>
        <w:rPr>
          <w:rFonts w:hint="eastAsia"/>
          <w:color w:val="000000" w:themeColor="text1"/>
          <w:sz w:val="24"/>
        </w:rPr>
        <w:t>3.3-8</w:t>
      </w:r>
      <w:r>
        <w:rPr>
          <w:color w:val="000000" w:themeColor="text1"/>
          <w:sz w:val="24"/>
        </w:rPr>
        <w:t>。</w:t>
      </w:r>
    </w:p>
    <w:p>
      <w:pPr>
        <w:spacing w:line="520" w:lineRule="exact"/>
        <w:ind w:firstLine="1662" w:firstLineChars="690"/>
        <w:rPr>
          <w:rFonts w:eastAsia="黑体"/>
          <w:b/>
          <w:bCs/>
          <w:color w:val="000000"/>
          <w:sz w:val="24"/>
        </w:rPr>
      </w:pPr>
      <w:r>
        <w:rPr>
          <w:rFonts w:eastAsia="黑体"/>
          <w:b/>
          <w:bCs/>
          <w:color w:val="000000"/>
          <w:sz w:val="24"/>
        </w:rPr>
        <w:t>表</w:t>
      </w:r>
      <w:r>
        <w:rPr>
          <w:rFonts w:hint="eastAsia" w:eastAsia="黑体"/>
          <w:b/>
          <w:bCs/>
          <w:color w:val="000000"/>
          <w:sz w:val="24"/>
        </w:rPr>
        <w:t>3.3-8</w:t>
      </w:r>
      <w:r>
        <w:rPr>
          <w:rFonts w:eastAsia="黑体"/>
          <w:b/>
          <w:bCs/>
          <w:color w:val="000000"/>
          <w:sz w:val="24"/>
        </w:rPr>
        <w:t xml:space="preserve">  地表水环境质量监测情况一览表</w:t>
      </w:r>
    </w:p>
    <w:tbl>
      <w:tblPr>
        <w:tblStyle w:val="44"/>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09"/>
        <w:gridCol w:w="1923"/>
        <w:gridCol w:w="24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309" w:type="dxa"/>
            <w:tcBorders>
              <w:top w:val="single" w:color="auto" w:sz="12" w:space="0"/>
              <w:left w:val="single" w:color="auto" w:sz="12"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监测项目</w:t>
            </w:r>
          </w:p>
        </w:tc>
        <w:tc>
          <w:tcPr>
            <w:tcW w:w="1923" w:type="dxa"/>
            <w:tcBorders>
              <w:top w:val="single" w:color="auto" w:sz="12" w:space="0"/>
              <w:left w:val="single" w:color="auto" w:sz="4" w:space="0"/>
              <w:bottom w:val="single" w:color="auto" w:sz="4" w:space="0"/>
              <w:right w:val="single" w:color="auto" w:sz="4" w:space="0"/>
            </w:tcBorders>
            <w:vAlign w:val="center"/>
          </w:tcPr>
          <w:p>
            <w:pPr>
              <w:spacing w:line="320" w:lineRule="exact"/>
              <w:jc w:val="center"/>
              <w:rPr>
                <w:color w:val="000000" w:themeColor="text1"/>
              </w:rPr>
            </w:pPr>
            <w:r>
              <w:rPr>
                <w:color w:val="000000" w:themeColor="text1"/>
              </w:rPr>
              <w:t>监测频率</w:t>
            </w:r>
          </w:p>
        </w:tc>
        <w:tc>
          <w:tcPr>
            <w:tcW w:w="2488" w:type="dxa"/>
            <w:tcBorders>
              <w:top w:val="single" w:color="auto" w:sz="12" w:space="0"/>
              <w:left w:val="single" w:color="auto" w:sz="4" w:space="0"/>
              <w:bottom w:val="single" w:color="auto" w:sz="4" w:space="0"/>
              <w:right w:val="single" w:color="auto" w:sz="12" w:space="0"/>
            </w:tcBorders>
            <w:vAlign w:val="center"/>
          </w:tcPr>
          <w:p>
            <w:pPr>
              <w:spacing w:line="320" w:lineRule="exact"/>
              <w:jc w:val="center"/>
              <w:rPr>
                <w:color w:val="000000" w:themeColor="text1"/>
              </w:rPr>
            </w:pPr>
            <w:r>
              <w:rPr>
                <w:color w:val="000000" w:themeColor="text1"/>
              </w:rPr>
              <w:t>监测时间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309" w:type="dxa"/>
            <w:tcBorders>
              <w:top w:val="single" w:color="auto" w:sz="4" w:space="0"/>
              <w:left w:val="single" w:color="auto" w:sz="12" w:space="0"/>
              <w:bottom w:val="single" w:color="auto" w:sz="12" w:space="0"/>
              <w:right w:val="single" w:color="auto" w:sz="4" w:space="0"/>
            </w:tcBorders>
            <w:vAlign w:val="center"/>
          </w:tcPr>
          <w:p>
            <w:pPr>
              <w:spacing w:line="320" w:lineRule="exact"/>
              <w:jc w:val="center"/>
              <w:rPr>
                <w:color w:val="000000" w:themeColor="text1"/>
              </w:rPr>
            </w:pPr>
            <w:r>
              <w:rPr>
                <w:color w:val="000000" w:themeColor="text1"/>
              </w:rPr>
              <w:t>pH、COD、BOD</w:t>
            </w:r>
            <w:r>
              <w:rPr>
                <w:color w:val="000000" w:themeColor="text1"/>
                <w:vertAlign w:val="subscript"/>
              </w:rPr>
              <w:t>5</w:t>
            </w:r>
            <w:r>
              <w:rPr>
                <w:color w:val="000000" w:themeColor="text1"/>
              </w:rPr>
              <w:t>、氨氮、总磷、粪大肠菌群、总氮，同时记录各监测断面的河流流速</w:t>
            </w:r>
          </w:p>
        </w:tc>
        <w:tc>
          <w:tcPr>
            <w:tcW w:w="1923"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color w:val="000000" w:themeColor="text1"/>
              </w:rPr>
            </w:pPr>
            <w:r>
              <w:rPr>
                <w:color w:val="000000" w:themeColor="text1"/>
              </w:rPr>
              <w:t>连续监测3天，</w:t>
            </w:r>
          </w:p>
          <w:p>
            <w:pPr>
              <w:spacing w:line="320" w:lineRule="exact"/>
              <w:jc w:val="center"/>
              <w:rPr>
                <w:color w:val="000000" w:themeColor="text1"/>
              </w:rPr>
            </w:pPr>
            <w:r>
              <w:rPr>
                <w:color w:val="000000" w:themeColor="text1"/>
              </w:rPr>
              <w:t>每天采样1次</w:t>
            </w:r>
          </w:p>
        </w:tc>
        <w:tc>
          <w:tcPr>
            <w:tcW w:w="2488" w:type="dxa"/>
            <w:tcBorders>
              <w:top w:val="single" w:color="auto" w:sz="4" w:space="0"/>
              <w:left w:val="single" w:color="auto" w:sz="4" w:space="0"/>
              <w:bottom w:val="single" w:color="auto" w:sz="12" w:space="0"/>
              <w:right w:val="single" w:color="auto" w:sz="12" w:space="0"/>
            </w:tcBorders>
            <w:vAlign w:val="center"/>
          </w:tcPr>
          <w:p>
            <w:pPr>
              <w:spacing w:line="320" w:lineRule="exact"/>
              <w:jc w:val="center"/>
              <w:rPr>
                <w:color w:val="000000" w:themeColor="text1"/>
              </w:rPr>
            </w:pPr>
            <w:r>
              <w:rPr>
                <w:color w:val="000000" w:themeColor="text1"/>
              </w:rPr>
              <w:t>2019年</w:t>
            </w:r>
            <w:r>
              <w:rPr>
                <w:rFonts w:hint="eastAsia"/>
                <w:color w:val="000000" w:themeColor="text1"/>
              </w:rPr>
              <w:t>10</w:t>
            </w:r>
            <w:r>
              <w:rPr>
                <w:color w:val="000000" w:themeColor="text1"/>
              </w:rPr>
              <w:t>月</w:t>
            </w:r>
            <w:r>
              <w:rPr>
                <w:rFonts w:hint="eastAsia"/>
                <w:color w:val="000000" w:themeColor="text1"/>
              </w:rPr>
              <w:t>23</w:t>
            </w:r>
            <w:r>
              <w:rPr>
                <w:color w:val="000000" w:themeColor="text1"/>
              </w:rPr>
              <w:t>日～</w:t>
            </w:r>
            <w:r>
              <w:rPr>
                <w:rFonts w:hint="eastAsia"/>
                <w:color w:val="000000" w:themeColor="text1"/>
              </w:rPr>
              <w:t>25</w:t>
            </w:r>
            <w:r>
              <w:rPr>
                <w:color w:val="000000" w:themeColor="text1"/>
              </w:rPr>
              <w:t>日</w:t>
            </w:r>
          </w:p>
        </w:tc>
      </w:tr>
    </w:tbl>
    <w:p>
      <w:pPr>
        <w:adjustRightInd w:val="0"/>
        <w:snapToGrid w:val="0"/>
        <w:spacing w:line="600" w:lineRule="exact"/>
        <w:jc w:val="left"/>
        <w:outlineLvl w:val="3"/>
        <w:rPr>
          <w:bCs/>
          <w:color w:val="000000" w:themeColor="text1"/>
          <w:sz w:val="24"/>
        </w:rPr>
      </w:pPr>
      <w:r>
        <w:rPr>
          <w:color w:val="000000" w:themeColor="text1"/>
          <w:sz w:val="24"/>
        </w:rPr>
        <w:t>3.3.2.3</w:t>
      </w:r>
      <w:r>
        <w:rPr>
          <w:bCs/>
          <w:color w:val="000000" w:themeColor="text1"/>
          <w:sz w:val="24"/>
        </w:rPr>
        <w:t>监测分析方法</w:t>
      </w:r>
    </w:p>
    <w:p>
      <w:pPr>
        <w:spacing w:line="500" w:lineRule="exact"/>
        <w:ind w:firstLine="482"/>
        <w:rPr>
          <w:sz w:val="24"/>
        </w:rPr>
      </w:pPr>
      <w:r>
        <w:rPr>
          <w:color w:val="000000" w:themeColor="text1"/>
          <w:sz w:val="24"/>
        </w:rPr>
        <w:t>本次地表水监测分析按照国家标准和《水和废水监测分析方法》要求进行，采取全过程质量控制。</w:t>
      </w:r>
      <w:r>
        <w:rPr>
          <w:sz w:val="24"/>
        </w:rPr>
        <w:t>具体分析方法见表</w:t>
      </w:r>
      <w:r>
        <w:rPr>
          <w:rFonts w:hint="eastAsia"/>
          <w:sz w:val="24"/>
        </w:rPr>
        <w:t>3.3-9</w:t>
      </w:r>
      <w:r>
        <w:rPr>
          <w:sz w:val="24"/>
        </w:rPr>
        <w:t>。</w:t>
      </w:r>
    </w:p>
    <w:p>
      <w:pPr>
        <w:pStyle w:val="17"/>
        <w:adjustRightInd w:val="0"/>
        <w:snapToGrid w:val="0"/>
        <w:ind w:firstLine="1054" w:firstLineChars="500"/>
        <w:rPr>
          <w:b/>
          <w:kern w:val="0"/>
          <w:szCs w:val="21"/>
        </w:rPr>
      </w:pPr>
      <w:r>
        <w:rPr>
          <w:b/>
          <w:kern w:val="0"/>
          <w:szCs w:val="21"/>
        </w:rPr>
        <w:t>表</w:t>
      </w:r>
      <w:r>
        <w:rPr>
          <w:rFonts w:hint="eastAsia"/>
          <w:b/>
          <w:kern w:val="0"/>
          <w:szCs w:val="21"/>
        </w:rPr>
        <w:t xml:space="preserve">3.3-9  </w:t>
      </w:r>
      <w:r>
        <w:rPr>
          <w:b/>
          <w:sz w:val="24"/>
        </w:rPr>
        <w:t>地表水检测分析方法及使用仪器</w:t>
      </w:r>
    </w:p>
    <w:tbl>
      <w:tblPr>
        <w:tblStyle w:val="44"/>
        <w:tblW w:w="8690"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245"/>
        <w:gridCol w:w="1962"/>
        <w:gridCol w:w="120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exact"/>
          <w:jc w:val="center"/>
        </w:trPr>
        <w:tc>
          <w:tcPr>
            <w:tcW w:w="1276" w:type="dxa"/>
            <w:noWrap/>
            <w:vAlign w:val="center"/>
          </w:tcPr>
          <w:p>
            <w:pPr>
              <w:spacing w:line="360" w:lineRule="auto"/>
              <w:jc w:val="center"/>
              <w:rPr>
                <w:rFonts w:ascii="宋体" w:hAnsi="宋体" w:cs="宋体"/>
                <w:color w:val="000000"/>
                <w:szCs w:val="21"/>
              </w:rPr>
            </w:pPr>
            <w:r>
              <w:rPr>
                <w:rFonts w:hint="eastAsia" w:ascii="宋体" w:hAnsi="宋体" w:cs="宋体"/>
                <w:color w:val="000000"/>
                <w:szCs w:val="21"/>
              </w:rPr>
              <w:t>检测项目</w:t>
            </w:r>
          </w:p>
        </w:tc>
        <w:tc>
          <w:tcPr>
            <w:tcW w:w="4245" w:type="dxa"/>
            <w:noWrap/>
            <w:vAlign w:val="center"/>
          </w:tcPr>
          <w:p>
            <w:pPr>
              <w:spacing w:line="360" w:lineRule="auto"/>
              <w:jc w:val="center"/>
              <w:rPr>
                <w:rFonts w:ascii="宋体" w:hAnsi="宋体" w:cs="宋体"/>
                <w:color w:val="000000"/>
                <w:szCs w:val="21"/>
              </w:rPr>
            </w:pPr>
            <w:r>
              <w:rPr>
                <w:rFonts w:hint="eastAsia" w:ascii="宋体" w:hAnsi="宋体" w:cs="宋体"/>
                <w:color w:val="000000"/>
                <w:szCs w:val="21"/>
              </w:rPr>
              <w:t>检测方法</w:t>
            </w:r>
          </w:p>
        </w:tc>
        <w:tc>
          <w:tcPr>
            <w:tcW w:w="1962" w:type="dxa"/>
            <w:noWrap/>
            <w:vAlign w:val="center"/>
          </w:tcPr>
          <w:p>
            <w:pPr>
              <w:spacing w:line="360" w:lineRule="auto"/>
              <w:jc w:val="center"/>
              <w:rPr>
                <w:rFonts w:ascii="宋体" w:hAnsi="宋体" w:cs="宋体"/>
                <w:color w:val="000000"/>
                <w:szCs w:val="21"/>
              </w:rPr>
            </w:pPr>
            <w:r>
              <w:rPr>
                <w:rFonts w:hint="eastAsia" w:ascii="宋体" w:hAnsi="宋体" w:cs="宋体"/>
                <w:color w:val="000000"/>
                <w:szCs w:val="21"/>
              </w:rPr>
              <w:t>使用仪器</w:t>
            </w:r>
          </w:p>
        </w:tc>
        <w:tc>
          <w:tcPr>
            <w:tcW w:w="1207" w:type="dxa"/>
            <w:noWrap/>
            <w:vAlign w:val="center"/>
          </w:tcPr>
          <w:p>
            <w:pPr>
              <w:spacing w:line="360" w:lineRule="auto"/>
              <w:jc w:val="center"/>
              <w:rPr>
                <w:rFonts w:ascii="宋体" w:hAnsi="宋体" w:cs="宋体"/>
                <w:color w:val="000000"/>
                <w:szCs w:val="21"/>
              </w:rPr>
            </w:pPr>
            <w:r>
              <w:rPr>
                <w:rFonts w:hint="eastAsia" w:ascii="宋体" w:hAnsi="宋体" w:cs="宋体"/>
                <w:color w:val="000000"/>
                <w:szCs w:val="21"/>
              </w:rPr>
              <w:t>检出限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3" w:hRule="exact"/>
          <w:jc w:val="center"/>
        </w:trPr>
        <w:tc>
          <w:tcPr>
            <w:tcW w:w="1276" w:type="dxa"/>
            <w:noWrap/>
            <w:vAlign w:val="center"/>
          </w:tcPr>
          <w:p>
            <w:pPr>
              <w:jc w:val="center"/>
              <w:rPr>
                <w:rFonts w:ascii="宋体" w:hAnsi="宋体" w:cs="宋体"/>
                <w:color w:val="000000"/>
                <w:szCs w:val="21"/>
              </w:rPr>
            </w:pPr>
            <w:r>
              <w:rPr>
                <w:rFonts w:hint="eastAsia" w:ascii="宋体" w:hAnsi="宋体" w:cs="宋体"/>
                <w:color w:val="000000"/>
                <w:szCs w:val="21"/>
              </w:rPr>
              <w:t>pH</w:t>
            </w:r>
          </w:p>
        </w:tc>
        <w:tc>
          <w:tcPr>
            <w:tcW w:w="4245" w:type="dxa"/>
            <w:noWrap/>
            <w:vAlign w:val="center"/>
          </w:tcPr>
          <w:p>
            <w:pPr>
              <w:jc w:val="center"/>
              <w:rPr>
                <w:rFonts w:ascii="宋体" w:hAnsi="宋体" w:cs="宋体"/>
                <w:color w:val="000000"/>
                <w:szCs w:val="21"/>
              </w:rPr>
            </w:pPr>
            <w:r>
              <w:rPr>
                <w:rFonts w:hint="eastAsia" w:ascii="宋体" w:hAnsi="宋体" w:cs="宋体"/>
                <w:color w:val="000000"/>
                <w:szCs w:val="21"/>
              </w:rPr>
              <w:t>便携式pH计法《水和废水监测分析方法》(第四版增补版) 国家环境保护总局(2002年)</w:t>
            </w:r>
          </w:p>
        </w:tc>
        <w:tc>
          <w:tcPr>
            <w:tcW w:w="1962" w:type="dxa"/>
            <w:noWrap/>
            <w:vAlign w:val="center"/>
          </w:tcPr>
          <w:p>
            <w:pPr>
              <w:jc w:val="center"/>
              <w:rPr>
                <w:rFonts w:ascii="宋体" w:hAnsi="宋体" w:cs="宋体"/>
                <w:color w:val="000000"/>
                <w:szCs w:val="21"/>
              </w:rPr>
            </w:pPr>
            <w:r>
              <w:rPr>
                <w:rFonts w:hint="eastAsia" w:ascii="宋体" w:hAnsi="宋体" w:cs="宋体"/>
                <w:color w:val="000000"/>
                <w:szCs w:val="21"/>
              </w:rPr>
              <w:t>多参数水质流动测定仪/HQ30D</w:t>
            </w:r>
          </w:p>
        </w:tc>
        <w:tc>
          <w:tcPr>
            <w:tcW w:w="1207" w:type="dxa"/>
            <w:noWrap/>
            <w:vAlign w:val="center"/>
          </w:tcPr>
          <w:p>
            <w:pPr>
              <w:jc w:val="center"/>
              <w:rPr>
                <w:rFonts w:ascii="宋体" w:hAnsi="宋体" w:cs="宋体"/>
                <w:color w:val="000000"/>
                <w:szCs w:val="21"/>
              </w:rPr>
            </w:pPr>
            <w:r>
              <w:rPr>
                <w:rFonts w:hint="eastAsia" w:ascii="宋体" w:hAnsi="宋体" w:cs="宋体"/>
                <w:color w:val="000000"/>
                <w:szCs w:val="21"/>
              </w:rPr>
              <w:t>0.1pH</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1276" w:type="dxa"/>
            <w:noWrap/>
            <w:vAlign w:val="center"/>
          </w:tcPr>
          <w:p>
            <w:pPr>
              <w:spacing w:line="360" w:lineRule="auto"/>
              <w:jc w:val="center"/>
              <w:rPr>
                <w:rFonts w:ascii="宋体" w:hAnsi="宋体" w:cs="宋体"/>
                <w:color w:val="000000"/>
                <w:szCs w:val="21"/>
              </w:rPr>
            </w:pPr>
            <w:r>
              <w:rPr>
                <w:rFonts w:hint="eastAsia" w:ascii="宋体" w:hAnsi="宋体" w:cs="宋体"/>
                <w:color w:val="000000"/>
                <w:szCs w:val="21"/>
              </w:rPr>
              <w:t>氨氮</w:t>
            </w:r>
          </w:p>
        </w:tc>
        <w:tc>
          <w:tcPr>
            <w:tcW w:w="4245" w:type="dxa"/>
            <w:noWrap/>
            <w:vAlign w:val="center"/>
          </w:tcPr>
          <w:p>
            <w:pPr>
              <w:spacing w:line="360" w:lineRule="auto"/>
              <w:jc w:val="center"/>
              <w:rPr>
                <w:rFonts w:ascii="宋体" w:hAnsi="宋体" w:cs="宋体"/>
                <w:color w:val="000000"/>
                <w:szCs w:val="21"/>
              </w:rPr>
            </w:pPr>
            <w:r>
              <w:rPr>
                <w:rFonts w:hint="eastAsia" w:ascii="宋体" w:hAnsi="宋体" w:cs="宋体"/>
                <w:color w:val="000000"/>
                <w:szCs w:val="21"/>
              </w:rPr>
              <w:t>水质 氨氮的测定 纳氏试剂分光光度法</w:t>
            </w:r>
          </w:p>
          <w:p>
            <w:pPr>
              <w:spacing w:line="360" w:lineRule="auto"/>
              <w:jc w:val="center"/>
              <w:rPr>
                <w:rFonts w:ascii="宋体" w:hAnsi="宋体" w:cs="宋体"/>
                <w:color w:val="000000"/>
                <w:szCs w:val="21"/>
              </w:rPr>
            </w:pPr>
            <w:r>
              <w:rPr>
                <w:rFonts w:hint="eastAsia" w:ascii="宋体" w:hAnsi="宋体" w:cs="宋体"/>
                <w:color w:val="000000"/>
                <w:szCs w:val="21"/>
              </w:rPr>
              <w:t xml:space="preserve"> HJ535-2009</w:t>
            </w:r>
          </w:p>
        </w:tc>
        <w:tc>
          <w:tcPr>
            <w:tcW w:w="1962" w:type="dxa"/>
            <w:noWrap/>
            <w:vAlign w:val="center"/>
          </w:tcPr>
          <w:p>
            <w:pPr>
              <w:spacing w:line="360" w:lineRule="auto"/>
              <w:jc w:val="center"/>
              <w:rPr>
                <w:rFonts w:ascii="宋体" w:hAnsi="宋体" w:cs="宋体"/>
                <w:color w:val="000000"/>
                <w:szCs w:val="21"/>
              </w:rPr>
            </w:pPr>
            <w:r>
              <w:rPr>
                <w:rFonts w:hint="eastAsia" w:ascii="宋体" w:hAnsi="宋体" w:cs="宋体"/>
                <w:color w:val="000000"/>
                <w:szCs w:val="21"/>
              </w:rPr>
              <w:t>分光光度计/T6新悦</w:t>
            </w:r>
          </w:p>
        </w:tc>
        <w:tc>
          <w:tcPr>
            <w:tcW w:w="1207" w:type="dxa"/>
            <w:noWrap/>
            <w:vAlign w:val="center"/>
          </w:tcPr>
          <w:p>
            <w:pPr>
              <w:spacing w:line="360" w:lineRule="auto"/>
              <w:jc w:val="center"/>
              <w:rPr>
                <w:rFonts w:ascii="宋体" w:hAnsi="宋体" w:cs="宋体"/>
                <w:color w:val="000000"/>
                <w:szCs w:val="21"/>
              </w:rPr>
            </w:pPr>
            <w:r>
              <w:rPr>
                <w:rFonts w:hint="eastAsia" w:ascii="宋体" w:hAnsi="宋体" w:cs="宋体"/>
                <w:color w:val="000000"/>
                <w:szCs w:val="21"/>
              </w:rPr>
              <w:t>0.025mg/L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1" w:hRule="exact"/>
          <w:jc w:val="center"/>
        </w:trPr>
        <w:tc>
          <w:tcPr>
            <w:tcW w:w="1276" w:type="dxa"/>
            <w:noWrap/>
            <w:vAlign w:val="center"/>
          </w:tcPr>
          <w:p>
            <w:pPr>
              <w:spacing w:line="360" w:lineRule="auto"/>
              <w:jc w:val="center"/>
              <w:rPr>
                <w:rFonts w:ascii="宋体" w:hAnsi="宋体" w:cs="宋体"/>
                <w:color w:val="000000"/>
                <w:szCs w:val="21"/>
              </w:rPr>
            </w:pPr>
            <w:r>
              <w:rPr>
                <w:rFonts w:hint="eastAsia" w:ascii="宋体" w:hAnsi="宋体" w:cs="宋体"/>
                <w:szCs w:val="21"/>
              </w:rPr>
              <w:t>BOD</w:t>
            </w:r>
            <w:r>
              <w:rPr>
                <w:rFonts w:hint="eastAsia" w:ascii="宋体" w:hAnsi="宋体" w:cs="宋体"/>
                <w:szCs w:val="21"/>
                <w:vertAlign w:val="subscript"/>
              </w:rPr>
              <w:t>5</w:t>
            </w:r>
          </w:p>
        </w:tc>
        <w:tc>
          <w:tcPr>
            <w:tcW w:w="4245" w:type="dxa"/>
            <w:noWrap/>
            <w:vAlign w:val="center"/>
          </w:tcPr>
          <w:p>
            <w:pPr>
              <w:jc w:val="center"/>
              <w:rPr>
                <w:rFonts w:ascii="宋体" w:hAnsi="宋体" w:cs="宋体"/>
                <w:szCs w:val="21"/>
              </w:rPr>
            </w:pPr>
            <w:r>
              <w:rPr>
                <w:rFonts w:hint="eastAsia" w:ascii="宋体" w:hAnsi="宋体" w:cs="宋体"/>
                <w:szCs w:val="21"/>
              </w:rPr>
              <w:t>水质 五日生化需氧量（BOD</w:t>
            </w:r>
            <w:r>
              <w:rPr>
                <w:rFonts w:hint="eastAsia" w:ascii="宋体" w:hAnsi="宋体" w:cs="宋体"/>
                <w:szCs w:val="21"/>
                <w:vertAlign w:val="subscript"/>
              </w:rPr>
              <w:t>5</w:t>
            </w:r>
            <w:r>
              <w:rPr>
                <w:rFonts w:hint="eastAsia" w:ascii="宋体" w:hAnsi="宋体" w:cs="宋体"/>
                <w:szCs w:val="21"/>
              </w:rPr>
              <w:t>）的测定 稀释与接种法</w:t>
            </w:r>
          </w:p>
          <w:p>
            <w:pPr>
              <w:jc w:val="center"/>
              <w:rPr>
                <w:rFonts w:ascii="宋体" w:hAnsi="宋体" w:cs="宋体"/>
                <w:color w:val="000000"/>
                <w:szCs w:val="21"/>
              </w:rPr>
            </w:pPr>
            <w:r>
              <w:rPr>
                <w:rFonts w:hint="eastAsia" w:ascii="宋体" w:hAnsi="宋体" w:cs="宋体"/>
                <w:szCs w:val="21"/>
              </w:rPr>
              <w:t>HJ 505-2009</w:t>
            </w:r>
          </w:p>
        </w:tc>
        <w:tc>
          <w:tcPr>
            <w:tcW w:w="1962" w:type="dxa"/>
            <w:noWrap/>
            <w:vAlign w:val="center"/>
          </w:tcPr>
          <w:p>
            <w:pPr>
              <w:jc w:val="center"/>
              <w:rPr>
                <w:rFonts w:ascii="宋体" w:hAnsi="宋体" w:cs="宋体"/>
                <w:color w:val="000000"/>
                <w:szCs w:val="21"/>
              </w:rPr>
            </w:pPr>
            <w:r>
              <w:rPr>
                <w:rFonts w:hint="eastAsia" w:ascii="宋体" w:hAnsi="宋体" w:cs="宋体"/>
                <w:szCs w:val="21"/>
              </w:rPr>
              <w:t>生化培养箱</w:t>
            </w:r>
          </w:p>
        </w:tc>
        <w:tc>
          <w:tcPr>
            <w:tcW w:w="1207" w:type="dxa"/>
            <w:noWrap/>
            <w:vAlign w:val="center"/>
          </w:tcPr>
          <w:p>
            <w:pPr>
              <w:jc w:val="center"/>
              <w:rPr>
                <w:rFonts w:ascii="宋体" w:hAnsi="宋体" w:cs="宋体"/>
                <w:color w:val="000000"/>
                <w:szCs w:val="21"/>
              </w:rPr>
            </w:pPr>
            <w:r>
              <w:rPr>
                <w:rFonts w:hint="eastAsia" w:ascii="宋体" w:hAnsi="宋体" w:cs="宋体"/>
                <w:szCs w:val="21"/>
              </w:rPr>
              <w:t>2mg/L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6" w:hRule="exact"/>
          <w:jc w:val="center"/>
        </w:trPr>
        <w:tc>
          <w:tcPr>
            <w:tcW w:w="1276" w:type="dxa"/>
            <w:noWrap/>
            <w:vAlign w:val="center"/>
          </w:tcPr>
          <w:p>
            <w:pPr>
              <w:spacing w:line="360" w:lineRule="auto"/>
              <w:jc w:val="center"/>
              <w:rPr>
                <w:rFonts w:ascii="宋体" w:hAnsi="宋体" w:cs="宋体"/>
                <w:color w:val="000000"/>
                <w:szCs w:val="21"/>
              </w:rPr>
            </w:pPr>
            <w:r>
              <w:rPr>
                <w:rFonts w:hint="eastAsia" w:ascii="宋体" w:hAnsi="宋体" w:cs="宋体"/>
                <w:szCs w:val="21"/>
              </w:rPr>
              <w:t>总磷</w:t>
            </w:r>
          </w:p>
        </w:tc>
        <w:tc>
          <w:tcPr>
            <w:tcW w:w="4245" w:type="dxa"/>
            <w:noWrap/>
            <w:vAlign w:val="center"/>
          </w:tcPr>
          <w:p>
            <w:pPr>
              <w:spacing w:line="360" w:lineRule="auto"/>
              <w:jc w:val="center"/>
              <w:rPr>
                <w:rFonts w:ascii="宋体" w:hAnsi="宋体" w:cs="宋体"/>
                <w:color w:val="000000"/>
                <w:szCs w:val="21"/>
              </w:rPr>
            </w:pPr>
            <w:r>
              <w:rPr>
                <w:rFonts w:hint="eastAsia" w:ascii="宋体" w:hAnsi="宋体" w:cs="宋体"/>
                <w:szCs w:val="21"/>
              </w:rPr>
              <w:t>水质  总磷的测定  钼酸铵分光光度法 GB T 11893-1989</w:t>
            </w:r>
          </w:p>
        </w:tc>
        <w:tc>
          <w:tcPr>
            <w:tcW w:w="1962" w:type="dxa"/>
            <w:noWrap/>
            <w:vAlign w:val="center"/>
          </w:tcPr>
          <w:p>
            <w:pPr>
              <w:spacing w:line="360" w:lineRule="auto"/>
              <w:jc w:val="center"/>
              <w:rPr>
                <w:rFonts w:ascii="宋体" w:hAnsi="宋体" w:cs="宋体"/>
                <w:color w:val="000000"/>
                <w:szCs w:val="21"/>
              </w:rPr>
            </w:pPr>
            <w:r>
              <w:rPr>
                <w:rFonts w:hint="eastAsia" w:ascii="宋体" w:hAnsi="宋体" w:cs="宋体"/>
                <w:szCs w:val="21"/>
              </w:rPr>
              <w:t>分光光度计/T6新悦</w:t>
            </w:r>
          </w:p>
        </w:tc>
        <w:tc>
          <w:tcPr>
            <w:tcW w:w="1207" w:type="dxa"/>
            <w:noWrap/>
            <w:vAlign w:val="center"/>
          </w:tcPr>
          <w:p>
            <w:pPr>
              <w:spacing w:line="360" w:lineRule="auto"/>
              <w:jc w:val="center"/>
              <w:rPr>
                <w:rFonts w:ascii="宋体" w:hAnsi="宋体" w:cs="宋体"/>
                <w:color w:val="000000"/>
                <w:szCs w:val="21"/>
              </w:rPr>
            </w:pPr>
            <w:r>
              <w:rPr>
                <w:rFonts w:hint="eastAsia" w:ascii="宋体" w:hAnsi="宋体" w:cs="宋体"/>
                <w:szCs w:val="21"/>
              </w:rPr>
              <w:t>0.01mg/L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1276" w:type="dxa"/>
            <w:noWrap/>
            <w:vAlign w:val="center"/>
          </w:tcPr>
          <w:p>
            <w:pPr>
              <w:spacing w:line="360" w:lineRule="auto"/>
              <w:jc w:val="center"/>
              <w:rPr>
                <w:rFonts w:ascii="宋体" w:hAnsi="宋体" w:cs="宋体"/>
                <w:color w:val="000000"/>
                <w:szCs w:val="21"/>
              </w:rPr>
            </w:pPr>
            <w:r>
              <w:rPr>
                <w:rFonts w:hint="eastAsia" w:ascii="宋体" w:hAnsi="宋体" w:cs="宋体"/>
                <w:szCs w:val="21"/>
              </w:rPr>
              <w:t>粪大肠菌群</w:t>
            </w:r>
          </w:p>
        </w:tc>
        <w:tc>
          <w:tcPr>
            <w:tcW w:w="4245" w:type="dxa"/>
            <w:noWrap/>
            <w:vAlign w:val="center"/>
          </w:tcPr>
          <w:p>
            <w:pPr>
              <w:jc w:val="center"/>
              <w:rPr>
                <w:rFonts w:ascii="宋体" w:hAnsi="宋体" w:cs="宋体"/>
                <w:color w:val="000000"/>
                <w:szCs w:val="21"/>
              </w:rPr>
            </w:pPr>
            <w:r>
              <w:rPr>
                <w:rFonts w:hint="eastAsia" w:ascii="宋体" w:hAnsi="宋体" w:cs="宋体"/>
                <w:szCs w:val="21"/>
              </w:rPr>
              <w:t>水质 粪大肠菌群的测定 多管发酵和滤膜法（试行）HJ/T347-2007</w:t>
            </w:r>
          </w:p>
        </w:tc>
        <w:tc>
          <w:tcPr>
            <w:tcW w:w="1962" w:type="dxa"/>
            <w:noWrap/>
            <w:vAlign w:val="center"/>
          </w:tcPr>
          <w:p>
            <w:pPr>
              <w:jc w:val="center"/>
              <w:rPr>
                <w:rFonts w:ascii="宋体" w:hAnsi="宋体" w:cs="宋体"/>
                <w:color w:val="000000"/>
                <w:szCs w:val="21"/>
              </w:rPr>
            </w:pPr>
            <w:r>
              <w:rPr>
                <w:rFonts w:hint="eastAsia" w:ascii="宋体" w:hAnsi="宋体" w:cs="宋体"/>
                <w:szCs w:val="21"/>
              </w:rPr>
              <w:t>生化培养箱</w:t>
            </w:r>
          </w:p>
        </w:tc>
        <w:tc>
          <w:tcPr>
            <w:tcW w:w="1207" w:type="dxa"/>
            <w:noWrap/>
            <w:vAlign w:val="center"/>
          </w:tcPr>
          <w:p>
            <w:pPr>
              <w:jc w:val="center"/>
              <w:rPr>
                <w:rFonts w:ascii="宋体" w:hAnsi="宋体" w:cs="宋体"/>
                <w:color w:val="000000"/>
                <w:szCs w:val="21"/>
              </w:rPr>
            </w:pPr>
            <w:r>
              <w:rPr>
                <w:rFonts w:hint="eastAsia" w:ascii="宋体" w:hAnsi="宋体" w:cs="宋体"/>
                <w:szCs w:val="21"/>
              </w:rPr>
              <w:t>20个/L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1276" w:type="dxa"/>
            <w:noWrap/>
            <w:vAlign w:val="center"/>
          </w:tcPr>
          <w:p>
            <w:pPr>
              <w:spacing w:line="360" w:lineRule="auto"/>
              <w:jc w:val="center"/>
              <w:rPr>
                <w:rFonts w:ascii="宋体" w:hAnsi="宋体" w:cs="宋体"/>
                <w:color w:val="000000"/>
                <w:szCs w:val="21"/>
              </w:rPr>
            </w:pPr>
            <w:r>
              <w:rPr>
                <w:rFonts w:hint="eastAsia" w:ascii="宋体" w:hAnsi="宋体" w:cs="宋体"/>
                <w:szCs w:val="21"/>
              </w:rPr>
              <w:t>流速</w:t>
            </w:r>
          </w:p>
        </w:tc>
        <w:tc>
          <w:tcPr>
            <w:tcW w:w="4245" w:type="dxa"/>
            <w:noWrap/>
            <w:vAlign w:val="center"/>
          </w:tcPr>
          <w:p>
            <w:pPr>
              <w:jc w:val="center"/>
              <w:rPr>
                <w:rFonts w:ascii="宋体" w:hAnsi="宋体" w:cs="宋体"/>
                <w:color w:val="000000"/>
                <w:szCs w:val="21"/>
              </w:rPr>
            </w:pPr>
            <w:r>
              <w:rPr>
                <w:rFonts w:hint="eastAsia" w:ascii="宋体" w:hAnsi="宋体" w:cs="宋体"/>
                <w:szCs w:val="21"/>
              </w:rPr>
              <w:t>地表水和污水监测技术规范</w:t>
            </w:r>
            <w:r>
              <w:rPr>
                <w:rFonts w:hint="eastAsia" w:ascii="宋体" w:hAnsi="宋体" w:cs="宋体"/>
                <w:szCs w:val="21"/>
              </w:rPr>
              <w:cr/>
            </w:r>
            <w:r>
              <w:rPr>
                <w:rFonts w:hint="eastAsia" w:ascii="宋体" w:hAnsi="宋体" w:cs="宋体"/>
                <w:szCs w:val="21"/>
              </w:rPr>
              <w:t>HJ/T 91-2002</w:t>
            </w:r>
          </w:p>
        </w:tc>
        <w:tc>
          <w:tcPr>
            <w:tcW w:w="1962" w:type="dxa"/>
            <w:noWrap/>
            <w:vAlign w:val="center"/>
          </w:tcPr>
          <w:p>
            <w:pPr>
              <w:jc w:val="center"/>
              <w:rPr>
                <w:rFonts w:ascii="宋体" w:hAnsi="宋体" w:cs="宋体"/>
                <w:color w:val="000000"/>
                <w:szCs w:val="21"/>
              </w:rPr>
            </w:pPr>
            <w:r>
              <w:rPr>
                <w:rFonts w:hint="eastAsia" w:ascii="宋体" w:hAnsi="宋体" w:cs="宋体"/>
                <w:szCs w:val="21"/>
              </w:rPr>
              <w:t>流量计</w:t>
            </w:r>
          </w:p>
        </w:tc>
        <w:tc>
          <w:tcPr>
            <w:tcW w:w="1207" w:type="dxa"/>
            <w:noWrap/>
            <w:vAlign w:val="center"/>
          </w:tcPr>
          <w:p>
            <w:pPr>
              <w:jc w:val="center"/>
              <w:rPr>
                <w:rFonts w:ascii="宋体" w:hAnsi="宋体" w:cs="宋体"/>
                <w:color w:val="000000"/>
                <w:szCs w:val="21"/>
              </w:rPr>
            </w:pPr>
            <w:r>
              <w:rPr>
                <w:rFonts w:hint="eastAsia" w:ascii="宋体" w:hAnsi="宋体" w:cs="宋体"/>
                <w:szCs w:val="21"/>
              </w:rPr>
              <w:t>0.1m/s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1276" w:type="dxa"/>
            <w:noWrap/>
            <w:vAlign w:val="center"/>
          </w:tcPr>
          <w:p>
            <w:pPr>
              <w:spacing w:line="360" w:lineRule="auto"/>
              <w:jc w:val="center"/>
              <w:rPr>
                <w:rFonts w:ascii="宋体" w:hAnsi="宋体" w:cs="宋体"/>
                <w:color w:val="000000"/>
                <w:szCs w:val="21"/>
              </w:rPr>
            </w:pPr>
            <w:r>
              <w:rPr>
                <w:rFonts w:hint="eastAsia" w:ascii="宋体" w:hAnsi="宋体" w:cs="宋体"/>
                <w:szCs w:val="21"/>
              </w:rPr>
              <w:t>COD</w:t>
            </w:r>
          </w:p>
        </w:tc>
        <w:tc>
          <w:tcPr>
            <w:tcW w:w="4245" w:type="dxa"/>
            <w:noWrap/>
            <w:vAlign w:val="center"/>
          </w:tcPr>
          <w:p>
            <w:pPr>
              <w:spacing w:line="360" w:lineRule="auto"/>
              <w:jc w:val="center"/>
              <w:rPr>
                <w:rFonts w:ascii="宋体" w:hAnsi="宋体" w:cs="宋体"/>
                <w:color w:val="000000"/>
                <w:szCs w:val="21"/>
              </w:rPr>
            </w:pPr>
            <w:r>
              <w:rPr>
                <w:rFonts w:hint="eastAsia" w:ascii="宋体" w:hAnsi="宋体" w:cs="宋体"/>
                <w:color w:val="000000"/>
                <w:szCs w:val="21"/>
              </w:rPr>
              <w:t>重铬酸盐法 HJ 828-2017</w:t>
            </w:r>
          </w:p>
        </w:tc>
        <w:tc>
          <w:tcPr>
            <w:tcW w:w="1962" w:type="dxa"/>
            <w:noWrap/>
            <w:vAlign w:val="center"/>
          </w:tcPr>
          <w:p>
            <w:pPr>
              <w:spacing w:line="360" w:lineRule="auto"/>
              <w:jc w:val="center"/>
              <w:rPr>
                <w:rFonts w:ascii="宋体" w:hAnsi="宋体" w:cs="宋体"/>
                <w:color w:val="000000"/>
                <w:szCs w:val="21"/>
              </w:rPr>
            </w:pPr>
            <w:r>
              <w:rPr>
                <w:rFonts w:hint="eastAsia" w:ascii="宋体" w:hAnsi="宋体" w:cs="宋体"/>
                <w:color w:val="000000"/>
                <w:szCs w:val="21"/>
              </w:rPr>
              <w:t>滴定管</w:t>
            </w:r>
          </w:p>
        </w:tc>
        <w:tc>
          <w:tcPr>
            <w:tcW w:w="1207" w:type="dxa"/>
            <w:noWrap/>
            <w:vAlign w:val="center"/>
          </w:tcPr>
          <w:p>
            <w:pPr>
              <w:spacing w:line="360" w:lineRule="auto"/>
              <w:jc w:val="center"/>
              <w:rPr>
                <w:rFonts w:ascii="宋体" w:hAnsi="宋体" w:cs="宋体"/>
                <w:color w:val="000000"/>
                <w:szCs w:val="21"/>
              </w:rPr>
            </w:pPr>
            <w:r>
              <w:rPr>
                <w:rFonts w:hint="eastAsia" w:ascii="宋体" w:hAnsi="宋体" w:cs="宋体"/>
                <w:color w:val="000000"/>
                <w:szCs w:val="21"/>
              </w:rPr>
              <w:t>4 mg/L</w:t>
            </w:r>
          </w:p>
        </w:tc>
      </w:tr>
    </w:tbl>
    <w:p>
      <w:pPr>
        <w:spacing w:line="520" w:lineRule="exact"/>
        <w:rPr>
          <w:bCs/>
          <w:color w:val="000000" w:themeColor="text1"/>
          <w:sz w:val="24"/>
        </w:rPr>
      </w:pPr>
      <w:r>
        <w:rPr>
          <w:bCs/>
          <w:color w:val="000000" w:themeColor="text1"/>
          <w:sz w:val="24"/>
        </w:rPr>
        <w:t>3.3.2.4评价方法</w:t>
      </w:r>
    </w:p>
    <w:p>
      <w:pPr>
        <w:spacing w:line="500" w:lineRule="exact"/>
        <w:ind w:firstLine="480" w:firstLineChars="200"/>
        <w:rPr>
          <w:color w:val="000000" w:themeColor="text1"/>
          <w:sz w:val="24"/>
        </w:rPr>
      </w:pPr>
      <w:r>
        <w:rPr>
          <w:color w:val="000000" w:themeColor="text1"/>
          <w:sz w:val="24"/>
        </w:rPr>
        <w:t>采用标准指数法，一般公式如下：</w:t>
      </w:r>
    </w:p>
    <w:p>
      <w:pPr>
        <w:tabs>
          <w:tab w:val="left" w:pos="2716"/>
        </w:tabs>
        <w:spacing w:line="360" w:lineRule="auto"/>
        <w:ind w:firstLine="480"/>
        <w:jc w:val="center"/>
        <w:rPr>
          <w:color w:val="000000" w:themeColor="text1"/>
          <w:sz w:val="24"/>
        </w:rPr>
      </w:pPr>
    </w:p>
    <w:p>
      <w:pPr>
        <w:tabs>
          <w:tab w:val="left" w:pos="2716"/>
        </w:tabs>
        <w:spacing w:line="360" w:lineRule="auto"/>
        <w:ind w:firstLine="480"/>
        <w:rPr>
          <w:color w:val="000000" w:themeColor="text1"/>
          <w:sz w:val="24"/>
        </w:rPr>
      </w:pPr>
      <w:r>
        <w:rPr>
          <w:color w:val="000000" w:themeColor="text1"/>
          <w:sz w:val="24"/>
        </w:rPr>
        <w:t>对于pH标准指数采用如下公式计算。</w:t>
      </w:r>
    </w:p>
    <w:p>
      <w:pPr>
        <w:tabs>
          <w:tab w:val="left" w:pos="2716"/>
        </w:tabs>
        <w:spacing w:line="360" w:lineRule="auto"/>
        <w:ind w:firstLine="480"/>
        <w:rPr>
          <w:color w:val="000000" w:themeColor="text1"/>
          <w:sz w:val="24"/>
        </w:rPr>
      </w:pPr>
      <w:r>
        <w:rPr>
          <w:color w:val="000000" w:themeColor="text1"/>
          <w:sz w:val="24"/>
        </w:rPr>
        <w:t>pH标准指数计算公式：</w:t>
      </w:r>
    </w:p>
    <w:p>
      <w:pPr>
        <w:tabs>
          <w:tab w:val="left" w:pos="2716"/>
        </w:tabs>
        <w:spacing w:line="360" w:lineRule="auto"/>
        <w:ind w:firstLine="480"/>
        <w:jc w:val="center"/>
        <w:rPr>
          <w:color w:val="000000" w:themeColor="text1"/>
          <w:sz w:val="24"/>
        </w:rPr>
      </w:pPr>
      <w:r>
        <w:rPr>
          <w:color w:val="000000" w:themeColor="text1"/>
          <w:position w:val="-30"/>
          <w:sz w:val="24"/>
        </w:rPr>
        <w:object>
          <v:shape id="_x0000_i1025" o:spt="75" type="#_x0000_t75" style="height:36.95pt;width:152.15pt;" o:ole="t" filled="f" o:preferrelative="t" stroked="f" coordsize="21600,21600">
            <v:path/>
            <v:fill on="f" focussize="0,0"/>
            <v:stroke on="f" joinstyle="miter"/>
            <v:imagedata r:id="rId29" o:title=""/>
            <o:lock v:ext="edit" aspectratio="t"/>
            <w10:wrap type="none"/>
            <w10:anchorlock/>
          </v:shape>
          <o:OLEObject Type="Embed" ProgID="Equation.3" ShapeID="_x0000_i1025" DrawAspect="Content" ObjectID="_1468075725" r:id="rId28">
            <o:LockedField>false</o:LockedField>
          </o:OLEObject>
        </w:object>
      </w:r>
    </w:p>
    <w:p>
      <w:pPr>
        <w:tabs>
          <w:tab w:val="left" w:pos="2716"/>
        </w:tabs>
        <w:spacing w:line="360" w:lineRule="auto"/>
        <w:ind w:firstLine="480"/>
        <w:jc w:val="center"/>
        <w:rPr>
          <w:color w:val="000000" w:themeColor="text1"/>
          <w:sz w:val="24"/>
        </w:rPr>
      </w:pPr>
      <w:r>
        <w:rPr>
          <w:color w:val="000000" w:themeColor="text1"/>
          <w:position w:val="-30"/>
          <w:sz w:val="24"/>
        </w:rPr>
        <w:object>
          <v:shape id="_x0000_i1026" o:spt="75" type="#_x0000_t75" style="height:36.95pt;width:152.15pt;" o:ole="t" filled="f" o:preferrelative="t" stroked="f" coordsize="21600,21600">
            <v:path/>
            <v:fill on="f" focussize="0,0"/>
            <v:stroke on="f" joinstyle="miter"/>
            <v:imagedata r:id="rId31" o:title=""/>
            <o:lock v:ext="edit" aspectratio="t"/>
            <w10:wrap type="none"/>
            <w10:anchorlock/>
          </v:shape>
          <o:OLEObject Type="Embed" ProgID="Equation.3" ShapeID="_x0000_i1026" DrawAspect="Content" ObjectID="_1468075726" r:id="rId30">
            <o:LockedField>false</o:LockedField>
          </o:OLEObject>
        </w:object>
      </w:r>
    </w:p>
    <w:p>
      <w:pPr>
        <w:tabs>
          <w:tab w:val="left" w:pos="2716"/>
        </w:tabs>
        <w:spacing w:line="360" w:lineRule="auto"/>
        <w:ind w:firstLine="480"/>
        <w:rPr>
          <w:color w:val="000000" w:themeColor="text1"/>
          <w:sz w:val="24"/>
        </w:rPr>
      </w:pPr>
      <w:r>
        <w:rPr>
          <w:color w:val="000000" w:themeColor="text1"/>
          <w:sz w:val="24"/>
        </w:rPr>
        <w:t>式中：S</w:t>
      </w:r>
      <w:r>
        <w:rPr>
          <w:color w:val="000000" w:themeColor="text1"/>
          <w:sz w:val="24"/>
          <w:vertAlign w:val="subscript"/>
        </w:rPr>
        <w:t>i,j</w:t>
      </w:r>
      <w:r>
        <w:rPr>
          <w:color w:val="000000" w:themeColor="text1"/>
          <w:sz w:val="24"/>
        </w:rPr>
        <w:t>——单项目水质参数i在j点的标准指数；</w:t>
      </w:r>
    </w:p>
    <w:p>
      <w:pPr>
        <w:tabs>
          <w:tab w:val="left" w:pos="2716"/>
        </w:tabs>
        <w:spacing w:line="360" w:lineRule="auto"/>
        <w:ind w:firstLine="1200" w:firstLineChars="500"/>
        <w:rPr>
          <w:color w:val="000000" w:themeColor="text1"/>
          <w:sz w:val="24"/>
        </w:rPr>
      </w:pPr>
      <w:r>
        <w:rPr>
          <w:color w:val="000000" w:themeColor="text1"/>
          <w:sz w:val="24"/>
        </w:rPr>
        <w:t>C</w:t>
      </w:r>
      <w:r>
        <w:rPr>
          <w:color w:val="000000" w:themeColor="text1"/>
          <w:sz w:val="24"/>
          <w:vertAlign w:val="subscript"/>
        </w:rPr>
        <w:t>i,j</w:t>
      </w:r>
      <w:r>
        <w:rPr>
          <w:color w:val="000000" w:themeColor="text1"/>
          <w:sz w:val="24"/>
        </w:rPr>
        <w:t>——单项目水质参数i在j点的实际浓度；</w:t>
      </w:r>
    </w:p>
    <w:p>
      <w:pPr>
        <w:tabs>
          <w:tab w:val="left" w:pos="2716"/>
        </w:tabs>
        <w:spacing w:line="360" w:lineRule="auto"/>
        <w:ind w:firstLine="1200" w:firstLineChars="500"/>
        <w:rPr>
          <w:color w:val="000000" w:themeColor="text1"/>
          <w:sz w:val="24"/>
        </w:rPr>
      </w:pPr>
      <w:r>
        <w:rPr>
          <w:color w:val="000000" w:themeColor="text1"/>
          <w:sz w:val="24"/>
        </w:rPr>
        <w:t>C</w:t>
      </w:r>
      <w:r>
        <w:rPr>
          <w:color w:val="000000" w:themeColor="text1"/>
          <w:sz w:val="24"/>
          <w:vertAlign w:val="subscript"/>
        </w:rPr>
        <w:t>si</w:t>
      </w:r>
      <w:r>
        <w:rPr>
          <w:color w:val="000000" w:themeColor="text1"/>
          <w:sz w:val="24"/>
        </w:rPr>
        <w:t>——项目水质参数i在j点的评价标准；</w:t>
      </w:r>
    </w:p>
    <w:p>
      <w:pPr>
        <w:tabs>
          <w:tab w:val="left" w:pos="2716"/>
        </w:tabs>
        <w:spacing w:line="360" w:lineRule="auto"/>
        <w:ind w:firstLine="1200" w:firstLineChars="500"/>
        <w:rPr>
          <w:color w:val="000000" w:themeColor="text1"/>
          <w:sz w:val="24"/>
        </w:rPr>
      </w:pPr>
      <w:r>
        <w:rPr>
          <w:color w:val="000000" w:themeColor="text1"/>
          <w:sz w:val="24"/>
        </w:rPr>
        <w:t>pH</w:t>
      </w:r>
      <w:r>
        <w:rPr>
          <w:color w:val="000000" w:themeColor="text1"/>
          <w:sz w:val="24"/>
          <w:vertAlign w:val="subscript"/>
        </w:rPr>
        <w:t>sd</w:t>
      </w:r>
      <w:r>
        <w:rPr>
          <w:color w:val="000000" w:themeColor="text1"/>
          <w:sz w:val="24"/>
        </w:rPr>
        <w:t>——pH标准规定的下限值；</w:t>
      </w:r>
    </w:p>
    <w:p>
      <w:pPr>
        <w:tabs>
          <w:tab w:val="left" w:pos="2716"/>
        </w:tabs>
        <w:spacing w:line="360" w:lineRule="auto"/>
        <w:ind w:firstLine="1200" w:firstLineChars="500"/>
        <w:rPr>
          <w:color w:val="000000" w:themeColor="text1"/>
          <w:sz w:val="24"/>
        </w:rPr>
      </w:pPr>
      <w:r>
        <w:rPr>
          <w:color w:val="000000" w:themeColor="text1"/>
          <w:sz w:val="24"/>
        </w:rPr>
        <w:t>pH</w:t>
      </w:r>
      <w:r>
        <w:rPr>
          <w:color w:val="000000" w:themeColor="text1"/>
          <w:sz w:val="24"/>
          <w:vertAlign w:val="subscript"/>
        </w:rPr>
        <w:t>su</w:t>
      </w:r>
      <w:r>
        <w:rPr>
          <w:color w:val="000000" w:themeColor="text1"/>
          <w:sz w:val="24"/>
        </w:rPr>
        <w:t>——pH标准规定的上限值；</w:t>
      </w:r>
    </w:p>
    <w:p>
      <w:pPr>
        <w:tabs>
          <w:tab w:val="left" w:pos="2716"/>
        </w:tabs>
        <w:spacing w:line="360" w:lineRule="auto"/>
        <w:ind w:left="120" w:leftChars="57" w:firstLine="480" w:firstLineChars="200"/>
        <w:rPr>
          <w:color w:val="000000" w:themeColor="text1"/>
          <w:sz w:val="24"/>
        </w:rPr>
      </w:pPr>
      <w:r>
        <w:rPr>
          <w:color w:val="000000" w:themeColor="text1"/>
          <w:sz w:val="24"/>
        </w:rPr>
        <w:t>水质参数的标准指数＞1，表明该水质超过了规定水质标准，已不能满足使用要求。</w:t>
      </w:r>
      <w:bookmarkStart w:id="214" w:name="_Toc271484924"/>
      <w:bookmarkStart w:id="215" w:name="_Toc302825594"/>
    </w:p>
    <w:p>
      <w:pPr>
        <w:adjustRightInd w:val="0"/>
        <w:snapToGrid w:val="0"/>
        <w:spacing w:line="600" w:lineRule="exact"/>
        <w:jc w:val="left"/>
        <w:outlineLvl w:val="3"/>
        <w:rPr>
          <w:sz w:val="24"/>
        </w:rPr>
      </w:pPr>
      <w:r>
        <w:rPr>
          <w:bCs/>
          <w:color w:val="000000" w:themeColor="text1"/>
          <w:sz w:val="24"/>
        </w:rPr>
        <w:t xml:space="preserve">3.3.2.5 </w:t>
      </w:r>
      <w:bookmarkEnd w:id="214"/>
      <w:bookmarkEnd w:id="215"/>
      <w:r>
        <w:rPr>
          <w:sz w:val="24"/>
        </w:rPr>
        <w:t>监测结果统计及评价</w:t>
      </w:r>
    </w:p>
    <w:p>
      <w:pPr>
        <w:widowControl/>
        <w:snapToGrid w:val="0"/>
        <w:spacing w:beforeLines="50" w:afterLines="50"/>
        <w:ind w:firstLine="422" w:firstLineChars="200"/>
        <w:jc w:val="center"/>
        <w:rPr>
          <w:b/>
          <w:kern w:val="0"/>
          <w:szCs w:val="21"/>
        </w:rPr>
      </w:pPr>
      <w:r>
        <w:rPr>
          <w:b/>
          <w:kern w:val="0"/>
          <w:szCs w:val="21"/>
        </w:rPr>
        <w:t>表</w:t>
      </w:r>
      <w:r>
        <w:rPr>
          <w:rFonts w:hint="eastAsia"/>
          <w:b/>
          <w:kern w:val="0"/>
          <w:szCs w:val="21"/>
        </w:rPr>
        <w:t>3.3-10</w:t>
      </w:r>
      <w:r>
        <w:rPr>
          <w:b/>
          <w:kern w:val="0"/>
          <w:szCs w:val="21"/>
        </w:rPr>
        <w:t xml:space="preserve">   地表水现状监测结果统计及评价表    单位：mg/L,pH除外</w:t>
      </w:r>
    </w:p>
    <w:tbl>
      <w:tblPr>
        <w:tblStyle w:val="44"/>
        <w:tblW w:w="54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094"/>
        <w:gridCol w:w="1201"/>
        <w:gridCol w:w="1110"/>
        <w:gridCol w:w="1065"/>
        <w:gridCol w:w="1054"/>
        <w:gridCol w:w="1117"/>
        <w:gridCol w:w="1200"/>
        <w:gridCol w:w="1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340" w:type="pct"/>
            <w:vMerge w:val="restart"/>
            <w:noWrap/>
            <w:vAlign w:val="center"/>
          </w:tcPr>
          <w:p>
            <w:pPr>
              <w:spacing w:line="320" w:lineRule="exact"/>
              <w:jc w:val="center"/>
              <w:rPr>
                <w:rFonts w:ascii="宋体" w:hAnsi="宋体" w:cs="宋体"/>
                <w:szCs w:val="21"/>
              </w:rPr>
            </w:pPr>
            <w:r>
              <w:rPr>
                <w:rFonts w:hint="eastAsia" w:ascii="宋体" w:hAnsi="宋体" w:cs="宋体"/>
                <w:szCs w:val="21"/>
              </w:rPr>
              <w:t>断面</w:t>
            </w:r>
          </w:p>
        </w:tc>
        <w:tc>
          <w:tcPr>
            <w:tcW w:w="556" w:type="pct"/>
            <w:noWrap/>
            <w:vAlign w:val="center"/>
          </w:tcPr>
          <w:p>
            <w:pPr>
              <w:spacing w:line="320" w:lineRule="exact"/>
              <w:jc w:val="center"/>
              <w:rPr>
                <w:rFonts w:ascii="宋体" w:hAnsi="宋体" w:cs="宋体"/>
                <w:szCs w:val="21"/>
              </w:rPr>
            </w:pPr>
            <w:r>
              <w:rPr>
                <w:rFonts w:hint="eastAsia" w:ascii="宋体" w:hAnsi="宋体" w:cs="宋体"/>
                <w:szCs w:val="21"/>
              </w:rPr>
              <w:t>项目</w:t>
            </w:r>
          </w:p>
        </w:tc>
        <w:tc>
          <w:tcPr>
            <w:tcW w:w="610" w:type="pct"/>
            <w:noWrap/>
            <w:vAlign w:val="center"/>
          </w:tcPr>
          <w:p>
            <w:pPr>
              <w:spacing w:line="320" w:lineRule="exact"/>
              <w:jc w:val="center"/>
              <w:rPr>
                <w:rFonts w:ascii="宋体" w:hAnsi="宋体" w:cs="宋体"/>
                <w:szCs w:val="21"/>
              </w:rPr>
            </w:pPr>
            <w:r>
              <w:rPr>
                <w:rFonts w:hint="eastAsia" w:ascii="宋体" w:hAnsi="宋体" w:cs="宋体"/>
                <w:szCs w:val="21"/>
              </w:rPr>
              <w:t>pH</w:t>
            </w:r>
          </w:p>
        </w:tc>
        <w:tc>
          <w:tcPr>
            <w:tcW w:w="564" w:type="pct"/>
            <w:noWrap/>
            <w:vAlign w:val="center"/>
          </w:tcPr>
          <w:p>
            <w:pPr>
              <w:spacing w:line="320" w:lineRule="exact"/>
              <w:jc w:val="center"/>
              <w:rPr>
                <w:rFonts w:ascii="宋体" w:hAnsi="宋体" w:cs="宋体"/>
                <w:szCs w:val="21"/>
              </w:rPr>
            </w:pPr>
            <w:r>
              <w:rPr>
                <w:rFonts w:hint="eastAsia" w:ascii="宋体" w:hAnsi="宋体" w:cs="宋体"/>
                <w:szCs w:val="21"/>
              </w:rPr>
              <w:t>COD</w:t>
            </w:r>
          </w:p>
        </w:tc>
        <w:tc>
          <w:tcPr>
            <w:tcW w:w="541" w:type="pct"/>
            <w:noWrap/>
            <w:vAlign w:val="center"/>
          </w:tcPr>
          <w:p>
            <w:pPr>
              <w:spacing w:line="320" w:lineRule="exact"/>
              <w:jc w:val="center"/>
              <w:rPr>
                <w:rFonts w:ascii="宋体" w:hAnsi="宋体" w:cs="宋体"/>
                <w:szCs w:val="21"/>
              </w:rPr>
            </w:pPr>
            <w:r>
              <w:rPr>
                <w:rFonts w:hint="eastAsia" w:ascii="宋体" w:hAnsi="宋体" w:cs="宋体"/>
                <w:szCs w:val="21"/>
              </w:rPr>
              <w:t>BOD</w:t>
            </w:r>
            <w:r>
              <w:rPr>
                <w:rFonts w:hint="eastAsia" w:ascii="宋体" w:hAnsi="宋体" w:cs="宋体"/>
                <w:szCs w:val="21"/>
                <w:vertAlign w:val="subscript"/>
              </w:rPr>
              <w:t>5</w:t>
            </w:r>
          </w:p>
        </w:tc>
        <w:tc>
          <w:tcPr>
            <w:tcW w:w="536" w:type="pct"/>
            <w:noWrap/>
            <w:vAlign w:val="center"/>
          </w:tcPr>
          <w:p>
            <w:pPr>
              <w:spacing w:line="320" w:lineRule="exact"/>
              <w:jc w:val="center"/>
              <w:rPr>
                <w:rFonts w:ascii="宋体" w:hAnsi="宋体" w:cs="宋体"/>
                <w:szCs w:val="21"/>
              </w:rPr>
            </w:pPr>
            <w:r>
              <w:rPr>
                <w:rFonts w:hint="eastAsia" w:ascii="宋体" w:hAnsi="宋体" w:cs="宋体"/>
                <w:szCs w:val="21"/>
              </w:rPr>
              <w:t>NH</w:t>
            </w:r>
            <w:r>
              <w:rPr>
                <w:rFonts w:hint="eastAsia" w:ascii="宋体" w:hAnsi="宋体" w:cs="宋体"/>
                <w:szCs w:val="21"/>
                <w:vertAlign w:val="subscript"/>
              </w:rPr>
              <w:t>3</w:t>
            </w:r>
            <w:r>
              <w:rPr>
                <w:rFonts w:hint="eastAsia" w:ascii="宋体" w:hAnsi="宋体" w:cs="宋体"/>
                <w:szCs w:val="21"/>
              </w:rPr>
              <w:t>-N</w:t>
            </w:r>
          </w:p>
        </w:tc>
        <w:tc>
          <w:tcPr>
            <w:tcW w:w="568" w:type="pct"/>
            <w:noWrap/>
            <w:vAlign w:val="center"/>
          </w:tcPr>
          <w:p>
            <w:pPr>
              <w:widowControl/>
              <w:spacing w:line="320" w:lineRule="exact"/>
              <w:jc w:val="center"/>
              <w:rPr>
                <w:rFonts w:ascii="宋体" w:hAnsi="宋体" w:cs="宋体"/>
                <w:szCs w:val="21"/>
              </w:rPr>
            </w:pPr>
            <w:r>
              <w:rPr>
                <w:rFonts w:hint="eastAsia" w:ascii="宋体" w:hAnsi="宋体" w:cs="宋体"/>
                <w:szCs w:val="21"/>
              </w:rPr>
              <w:t>总磷</w:t>
            </w:r>
          </w:p>
        </w:tc>
        <w:tc>
          <w:tcPr>
            <w:tcW w:w="610" w:type="pct"/>
            <w:noWrap/>
            <w:vAlign w:val="center"/>
          </w:tcPr>
          <w:p>
            <w:pPr>
              <w:widowControl/>
              <w:spacing w:line="320" w:lineRule="exact"/>
              <w:rPr>
                <w:rFonts w:ascii="宋体" w:hAnsi="宋体" w:cs="宋体"/>
                <w:szCs w:val="21"/>
              </w:rPr>
            </w:pPr>
            <w:r>
              <w:rPr>
                <w:rFonts w:hint="eastAsia" w:ascii="宋体" w:hAnsi="宋体" w:cs="宋体"/>
                <w:szCs w:val="21"/>
              </w:rPr>
              <w:t>粪大肠菌群（个/L）</w:t>
            </w:r>
          </w:p>
        </w:tc>
        <w:tc>
          <w:tcPr>
            <w:tcW w:w="671" w:type="pct"/>
            <w:noWrap/>
          </w:tcPr>
          <w:p>
            <w:pPr>
              <w:widowControl/>
              <w:spacing w:line="320" w:lineRule="exact"/>
              <w:jc w:val="center"/>
              <w:rPr>
                <w:rFonts w:ascii="宋体" w:hAnsi="宋体" w:cs="宋体"/>
                <w:szCs w:val="21"/>
              </w:rPr>
            </w:pPr>
            <w:r>
              <w:rPr>
                <w:rFonts w:hint="eastAsia" w:ascii="宋体" w:hAnsi="宋体" w:cs="宋体"/>
                <w:szCs w:val="21"/>
              </w:rPr>
              <w:t>总氮（mg/L）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340" w:type="pct"/>
            <w:vMerge w:val="continue"/>
            <w:noWrap/>
            <w:vAlign w:val="center"/>
          </w:tcPr>
          <w:p>
            <w:pPr>
              <w:spacing w:line="320" w:lineRule="exact"/>
              <w:jc w:val="center"/>
              <w:rPr>
                <w:rFonts w:ascii="宋体" w:hAnsi="宋体" w:cs="宋体"/>
                <w:szCs w:val="21"/>
              </w:rPr>
            </w:pPr>
          </w:p>
        </w:tc>
        <w:tc>
          <w:tcPr>
            <w:tcW w:w="556" w:type="pct"/>
            <w:noWrap/>
            <w:vAlign w:val="center"/>
          </w:tcPr>
          <w:p>
            <w:pPr>
              <w:spacing w:line="320" w:lineRule="exact"/>
              <w:jc w:val="center"/>
              <w:rPr>
                <w:rFonts w:ascii="宋体" w:hAnsi="宋体" w:cs="宋体"/>
                <w:szCs w:val="21"/>
              </w:rPr>
            </w:pPr>
            <w:r>
              <w:rPr>
                <w:rFonts w:hint="eastAsia" w:ascii="宋体" w:hAnsi="宋体" w:cs="宋体"/>
                <w:szCs w:val="21"/>
              </w:rPr>
              <w:t>标准</w:t>
            </w:r>
          </w:p>
        </w:tc>
        <w:tc>
          <w:tcPr>
            <w:tcW w:w="610" w:type="pct"/>
            <w:noWrap/>
            <w:vAlign w:val="center"/>
          </w:tcPr>
          <w:p>
            <w:pPr>
              <w:spacing w:line="320" w:lineRule="exact"/>
              <w:jc w:val="center"/>
              <w:rPr>
                <w:rFonts w:ascii="宋体" w:hAnsi="宋体" w:cs="宋体"/>
                <w:szCs w:val="21"/>
              </w:rPr>
            </w:pPr>
            <w:r>
              <w:rPr>
                <w:rFonts w:hint="eastAsia" w:ascii="宋体" w:hAnsi="宋体" w:cs="宋体"/>
                <w:szCs w:val="21"/>
              </w:rPr>
              <w:t>6~9</w:t>
            </w:r>
          </w:p>
        </w:tc>
        <w:tc>
          <w:tcPr>
            <w:tcW w:w="564" w:type="pct"/>
            <w:noWrap/>
            <w:vAlign w:val="center"/>
          </w:tcPr>
          <w:p>
            <w:pPr>
              <w:spacing w:line="320" w:lineRule="exact"/>
              <w:jc w:val="center"/>
              <w:rPr>
                <w:rFonts w:ascii="宋体" w:hAnsi="宋体" w:cs="宋体"/>
                <w:szCs w:val="21"/>
              </w:rPr>
            </w:pPr>
            <w:r>
              <w:rPr>
                <w:rFonts w:hint="eastAsia" w:ascii="宋体" w:hAnsi="宋体" w:cs="宋体"/>
                <w:szCs w:val="21"/>
              </w:rPr>
              <w:t>20</w:t>
            </w:r>
          </w:p>
        </w:tc>
        <w:tc>
          <w:tcPr>
            <w:tcW w:w="541" w:type="pct"/>
            <w:noWrap/>
            <w:vAlign w:val="center"/>
          </w:tcPr>
          <w:p>
            <w:pPr>
              <w:spacing w:line="320" w:lineRule="exact"/>
              <w:jc w:val="center"/>
              <w:rPr>
                <w:rFonts w:ascii="宋体" w:hAnsi="宋体" w:cs="宋体"/>
                <w:szCs w:val="21"/>
              </w:rPr>
            </w:pPr>
            <w:r>
              <w:rPr>
                <w:rFonts w:hint="eastAsia" w:ascii="宋体" w:hAnsi="宋体" w:cs="宋体"/>
                <w:szCs w:val="21"/>
              </w:rPr>
              <w:t>4</w:t>
            </w:r>
          </w:p>
        </w:tc>
        <w:tc>
          <w:tcPr>
            <w:tcW w:w="536" w:type="pct"/>
            <w:noWrap/>
            <w:vAlign w:val="center"/>
          </w:tcPr>
          <w:p>
            <w:pPr>
              <w:spacing w:line="320" w:lineRule="exact"/>
              <w:jc w:val="center"/>
              <w:rPr>
                <w:rFonts w:ascii="宋体" w:hAnsi="宋体" w:cs="宋体"/>
                <w:szCs w:val="21"/>
              </w:rPr>
            </w:pPr>
            <w:r>
              <w:rPr>
                <w:rFonts w:hint="eastAsia" w:ascii="宋体" w:hAnsi="宋体" w:cs="宋体"/>
                <w:szCs w:val="21"/>
              </w:rPr>
              <w:t>1.0</w:t>
            </w:r>
          </w:p>
        </w:tc>
        <w:tc>
          <w:tcPr>
            <w:tcW w:w="568" w:type="pct"/>
            <w:noWrap/>
            <w:vAlign w:val="center"/>
          </w:tcPr>
          <w:p>
            <w:pPr>
              <w:spacing w:line="320" w:lineRule="exact"/>
              <w:jc w:val="center"/>
              <w:rPr>
                <w:rFonts w:ascii="宋体" w:hAnsi="宋体" w:cs="宋体"/>
                <w:szCs w:val="21"/>
              </w:rPr>
            </w:pPr>
            <w:r>
              <w:rPr>
                <w:rFonts w:hint="eastAsia" w:ascii="宋体" w:hAnsi="宋体" w:cs="宋体"/>
                <w:szCs w:val="21"/>
              </w:rPr>
              <w:t>0.2</w:t>
            </w:r>
          </w:p>
        </w:tc>
        <w:tc>
          <w:tcPr>
            <w:tcW w:w="610" w:type="pct"/>
            <w:noWrap/>
            <w:vAlign w:val="center"/>
          </w:tcPr>
          <w:p>
            <w:pPr>
              <w:spacing w:line="320" w:lineRule="exact"/>
              <w:jc w:val="center"/>
              <w:rPr>
                <w:rFonts w:ascii="宋体" w:hAnsi="宋体" w:cs="宋体"/>
                <w:szCs w:val="21"/>
              </w:rPr>
            </w:pPr>
            <w:r>
              <w:rPr>
                <w:rFonts w:hint="eastAsia" w:ascii="宋体" w:hAnsi="宋体" w:cs="宋体"/>
                <w:szCs w:val="21"/>
              </w:rPr>
              <w:t>10000</w:t>
            </w:r>
          </w:p>
        </w:tc>
        <w:tc>
          <w:tcPr>
            <w:tcW w:w="671" w:type="pct"/>
            <w:noWrap/>
            <w:vAlign w:val="center"/>
          </w:tcPr>
          <w:p>
            <w:pPr>
              <w:spacing w:line="320" w:lineRule="exact"/>
              <w:jc w:val="center"/>
              <w:rPr>
                <w:rFonts w:ascii="宋体" w:hAnsi="宋体" w:cs="宋体"/>
                <w:szCs w:val="21"/>
              </w:rPr>
            </w:pPr>
            <w:r>
              <w:rPr>
                <w:rFonts w:hint="eastAsia" w:ascii="宋体" w:hAnsi="宋体" w:cs="宋体"/>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54" w:hRule="exact"/>
          <w:jc w:val="center"/>
        </w:trPr>
        <w:tc>
          <w:tcPr>
            <w:tcW w:w="340" w:type="pct"/>
            <w:vMerge w:val="restart"/>
            <w:noWrap/>
            <w:vAlign w:val="center"/>
          </w:tcPr>
          <w:p>
            <w:pPr>
              <w:spacing w:line="240" w:lineRule="atLeast"/>
              <w:jc w:val="center"/>
              <w:rPr>
                <w:rFonts w:ascii="宋体" w:hAnsi="宋体" w:cs="宋体"/>
                <w:szCs w:val="21"/>
              </w:rPr>
            </w:pPr>
            <w:r>
              <w:rPr>
                <w:rFonts w:hint="eastAsia" w:ascii="宋体" w:hAnsi="宋体" w:cs="宋体"/>
                <w:szCs w:val="21"/>
              </w:rPr>
              <w:t>1#</w:t>
            </w:r>
            <w:r>
              <w:rPr>
                <w:rFonts w:hint="eastAsia"/>
                <w:szCs w:val="21"/>
              </w:rPr>
              <w:t>大黄港沿项目上游</w:t>
            </w:r>
            <w:r>
              <w:rPr>
                <w:szCs w:val="21"/>
              </w:rPr>
              <w:t>500</w:t>
            </w:r>
            <w:r>
              <w:rPr>
                <w:rFonts w:hint="eastAsia"/>
                <w:szCs w:val="21"/>
              </w:rPr>
              <w:t>米</w:t>
            </w:r>
          </w:p>
        </w:tc>
        <w:tc>
          <w:tcPr>
            <w:tcW w:w="556" w:type="pct"/>
            <w:noWrap/>
            <w:vAlign w:val="center"/>
          </w:tcPr>
          <w:p>
            <w:pPr>
              <w:spacing w:line="320" w:lineRule="exact"/>
              <w:jc w:val="center"/>
              <w:rPr>
                <w:rFonts w:ascii="宋体" w:hAnsi="宋体" w:cs="宋体"/>
                <w:szCs w:val="21"/>
              </w:rPr>
            </w:pPr>
            <w:r>
              <w:rPr>
                <w:rFonts w:hint="eastAsia" w:ascii="宋体" w:hAnsi="宋体" w:cs="宋体"/>
                <w:szCs w:val="21"/>
              </w:rPr>
              <w:t>监测范围</w:t>
            </w:r>
          </w:p>
        </w:tc>
        <w:tc>
          <w:tcPr>
            <w:tcW w:w="610" w:type="pct"/>
            <w:noWrap/>
            <w:vAlign w:val="center"/>
          </w:tcPr>
          <w:p>
            <w:pPr>
              <w:spacing w:line="320" w:lineRule="exact"/>
              <w:jc w:val="center"/>
              <w:rPr>
                <w:rFonts w:ascii="宋体" w:hAnsi="宋体" w:cs="宋体"/>
                <w:szCs w:val="21"/>
              </w:rPr>
            </w:pPr>
            <w:r>
              <w:rPr>
                <w:rFonts w:hint="eastAsia" w:ascii="宋体" w:hAnsi="宋体" w:cs="宋体"/>
                <w:szCs w:val="21"/>
              </w:rPr>
              <w:t>7.1~7.4</w:t>
            </w:r>
          </w:p>
        </w:tc>
        <w:tc>
          <w:tcPr>
            <w:tcW w:w="564" w:type="pct"/>
            <w:noWrap/>
            <w:vAlign w:val="center"/>
          </w:tcPr>
          <w:p>
            <w:pPr>
              <w:spacing w:line="320" w:lineRule="exact"/>
              <w:jc w:val="center"/>
              <w:rPr>
                <w:rFonts w:ascii="宋体" w:hAnsi="宋体" w:cs="宋体"/>
                <w:szCs w:val="21"/>
              </w:rPr>
            </w:pPr>
            <w:r>
              <w:rPr>
                <w:rFonts w:hint="eastAsia" w:ascii="宋体" w:hAnsi="宋体" w:cs="宋体"/>
                <w:szCs w:val="21"/>
              </w:rPr>
              <w:t>17~23</w:t>
            </w:r>
          </w:p>
        </w:tc>
        <w:tc>
          <w:tcPr>
            <w:tcW w:w="541" w:type="pct"/>
            <w:noWrap/>
            <w:vAlign w:val="center"/>
          </w:tcPr>
          <w:p>
            <w:pPr>
              <w:spacing w:line="320" w:lineRule="exact"/>
              <w:ind w:left="-105" w:leftChars="-50" w:right="-105" w:rightChars="-50"/>
              <w:jc w:val="center"/>
              <w:rPr>
                <w:rFonts w:ascii="宋体" w:hAnsi="宋体" w:cs="宋体"/>
                <w:szCs w:val="21"/>
              </w:rPr>
            </w:pPr>
            <w:r>
              <w:rPr>
                <w:rFonts w:hint="eastAsia" w:ascii="宋体" w:hAnsi="宋体" w:cs="宋体"/>
                <w:szCs w:val="21"/>
              </w:rPr>
              <w:t>2.8~3.2</w:t>
            </w:r>
          </w:p>
        </w:tc>
        <w:tc>
          <w:tcPr>
            <w:tcW w:w="536" w:type="pct"/>
            <w:noWrap/>
            <w:vAlign w:val="center"/>
          </w:tcPr>
          <w:p>
            <w:pPr>
              <w:spacing w:line="320" w:lineRule="exact"/>
              <w:jc w:val="center"/>
              <w:rPr>
                <w:rFonts w:ascii="宋体" w:hAnsi="宋体" w:cs="宋体"/>
                <w:szCs w:val="21"/>
              </w:rPr>
            </w:pPr>
            <w:r>
              <w:rPr>
                <w:rFonts w:hint="eastAsia" w:ascii="宋体" w:hAnsi="宋体" w:cs="宋体"/>
                <w:szCs w:val="21"/>
              </w:rPr>
              <w:t>1.26~1.54</w:t>
            </w:r>
          </w:p>
        </w:tc>
        <w:tc>
          <w:tcPr>
            <w:tcW w:w="568" w:type="pct"/>
            <w:noWrap/>
            <w:vAlign w:val="center"/>
          </w:tcPr>
          <w:p>
            <w:pPr>
              <w:spacing w:line="320" w:lineRule="exact"/>
              <w:jc w:val="center"/>
              <w:rPr>
                <w:rFonts w:ascii="宋体" w:hAnsi="宋体" w:cs="宋体"/>
                <w:szCs w:val="21"/>
              </w:rPr>
            </w:pPr>
            <w:r>
              <w:rPr>
                <w:rFonts w:hint="eastAsia" w:ascii="宋体" w:hAnsi="宋体" w:cs="宋体"/>
                <w:szCs w:val="21"/>
              </w:rPr>
              <w:t>0.16~0.25</w:t>
            </w:r>
          </w:p>
        </w:tc>
        <w:tc>
          <w:tcPr>
            <w:tcW w:w="610" w:type="pct"/>
            <w:noWrap/>
            <w:vAlign w:val="center"/>
          </w:tcPr>
          <w:p>
            <w:pPr>
              <w:spacing w:line="320" w:lineRule="exact"/>
              <w:jc w:val="center"/>
              <w:rPr>
                <w:rFonts w:ascii="宋体" w:hAnsi="宋体" w:cs="宋体"/>
                <w:szCs w:val="21"/>
              </w:rPr>
            </w:pPr>
            <w:r>
              <w:rPr>
                <w:rFonts w:hint="eastAsia" w:ascii="宋体" w:hAnsi="宋体" w:cs="宋体"/>
                <w:szCs w:val="21"/>
              </w:rPr>
              <w:t>2600~3800</w:t>
            </w:r>
          </w:p>
        </w:tc>
        <w:tc>
          <w:tcPr>
            <w:tcW w:w="671" w:type="pct"/>
            <w:noWrap/>
            <w:vAlign w:val="center"/>
          </w:tcPr>
          <w:p>
            <w:pPr>
              <w:spacing w:line="320" w:lineRule="exact"/>
              <w:ind w:left="-105" w:leftChars="-50" w:right="-105" w:rightChars="-50"/>
              <w:jc w:val="center"/>
              <w:rPr>
                <w:rFonts w:ascii="宋体" w:hAnsi="宋体" w:cs="宋体"/>
                <w:szCs w:val="21"/>
              </w:rPr>
            </w:pPr>
            <w:r>
              <w:rPr>
                <w:rFonts w:hint="eastAsia" w:ascii="宋体" w:hAnsi="宋体" w:cs="宋体"/>
                <w:szCs w:val="21"/>
              </w:rPr>
              <w:t>1.43~1.81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23" w:hRule="exact"/>
          <w:jc w:val="center"/>
        </w:trPr>
        <w:tc>
          <w:tcPr>
            <w:tcW w:w="340" w:type="pct"/>
            <w:vMerge w:val="continue"/>
            <w:noWrap/>
            <w:vAlign w:val="center"/>
          </w:tcPr>
          <w:p>
            <w:pPr>
              <w:spacing w:line="240" w:lineRule="atLeast"/>
              <w:jc w:val="center"/>
              <w:rPr>
                <w:rFonts w:ascii="宋体" w:hAnsi="宋体" w:cs="宋体"/>
                <w:szCs w:val="21"/>
              </w:rPr>
            </w:pPr>
          </w:p>
        </w:tc>
        <w:tc>
          <w:tcPr>
            <w:tcW w:w="556" w:type="pct"/>
            <w:noWrap/>
            <w:vAlign w:val="center"/>
          </w:tcPr>
          <w:p>
            <w:pPr>
              <w:spacing w:line="320" w:lineRule="exact"/>
              <w:jc w:val="center"/>
              <w:rPr>
                <w:rFonts w:ascii="宋体" w:hAnsi="宋体" w:cs="宋体"/>
                <w:szCs w:val="21"/>
              </w:rPr>
            </w:pPr>
            <w:r>
              <w:rPr>
                <w:rFonts w:hint="eastAsia" w:ascii="宋体" w:hAnsi="宋体" w:cs="宋体"/>
                <w:szCs w:val="21"/>
              </w:rPr>
              <w:t>标准指数范围</w:t>
            </w:r>
          </w:p>
        </w:tc>
        <w:tc>
          <w:tcPr>
            <w:tcW w:w="610" w:type="pct"/>
            <w:noWrap/>
            <w:vAlign w:val="center"/>
          </w:tcPr>
          <w:p>
            <w:pPr>
              <w:jc w:val="center"/>
              <w:rPr>
                <w:rFonts w:ascii="宋体" w:hAnsi="宋体" w:cs="宋体"/>
                <w:color w:val="000000"/>
                <w:szCs w:val="21"/>
              </w:rPr>
            </w:pPr>
            <w:r>
              <w:rPr>
                <w:rFonts w:hint="eastAsia" w:ascii="宋体" w:hAnsi="宋体" w:cs="宋体"/>
                <w:color w:val="000000"/>
                <w:szCs w:val="21"/>
              </w:rPr>
              <w:t>0.78~0.92</w:t>
            </w:r>
          </w:p>
        </w:tc>
        <w:tc>
          <w:tcPr>
            <w:tcW w:w="564" w:type="pct"/>
            <w:noWrap/>
            <w:vAlign w:val="center"/>
          </w:tcPr>
          <w:p>
            <w:pPr>
              <w:jc w:val="center"/>
              <w:rPr>
                <w:rFonts w:ascii="宋体" w:hAnsi="宋体" w:cs="宋体"/>
                <w:color w:val="000000"/>
                <w:szCs w:val="21"/>
              </w:rPr>
            </w:pPr>
            <w:r>
              <w:rPr>
                <w:rFonts w:hint="eastAsia" w:ascii="宋体" w:hAnsi="宋体" w:cs="宋体"/>
                <w:color w:val="000000"/>
                <w:szCs w:val="21"/>
              </w:rPr>
              <w:t>0.85~1.15</w:t>
            </w:r>
          </w:p>
        </w:tc>
        <w:tc>
          <w:tcPr>
            <w:tcW w:w="541" w:type="pct"/>
            <w:noWrap/>
            <w:vAlign w:val="center"/>
          </w:tcPr>
          <w:p>
            <w:pPr>
              <w:jc w:val="center"/>
              <w:rPr>
                <w:rFonts w:ascii="宋体" w:hAnsi="宋体" w:cs="宋体"/>
                <w:color w:val="000000"/>
                <w:szCs w:val="21"/>
              </w:rPr>
            </w:pPr>
            <w:r>
              <w:rPr>
                <w:rFonts w:hint="eastAsia" w:ascii="宋体" w:hAnsi="宋体" w:cs="宋体"/>
                <w:color w:val="000000"/>
                <w:szCs w:val="21"/>
              </w:rPr>
              <w:t>0.7~0.86</w:t>
            </w:r>
          </w:p>
        </w:tc>
        <w:tc>
          <w:tcPr>
            <w:tcW w:w="536" w:type="pct"/>
            <w:noWrap/>
            <w:vAlign w:val="center"/>
          </w:tcPr>
          <w:p>
            <w:pPr>
              <w:jc w:val="center"/>
              <w:rPr>
                <w:rFonts w:ascii="宋体" w:hAnsi="宋体" w:cs="宋体"/>
                <w:color w:val="000000"/>
                <w:szCs w:val="21"/>
              </w:rPr>
            </w:pPr>
            <w:r>
              <w:rPr>
                <w:rFonts w:hint="eastAsia" w:ascii="宋体" w:hAnsi="宋体" w:cs="宋体"/>
                <w:szCs w:val="21"/>
              </w:rPr>
              <w:t>1.26~1.54</w:t>
            </w:r>
          </w:p>
        </w:tc>
        <w:tc>
          <w:tcPr>
            <w:tcW w:w="568" w:type="pct"/>
            <w:noWrap/>
            <w:vAlign w:val="center"/>
          </w:tcPr>
          <w:p>
            <w:pPr>
              <w:jc w:val="center"/>
              <w:rPr>
                <w:rFonts w:ascii="宋体" w:hAnsi="宋体" w:cs="宋体"/>
                <w:color w:val="000000"/>
                <w:szCs w:val="21"/>
              </w:rPr>
            </w:pPr>
            <w:r>
              <w:rPr>
                <w:rFonts w:hint="eastAsia" w:ascii="宋体" w:hAnsi="宋体" w:cs="宋体"/>
                <w:color w:val="000000"/>
                <w:szCs w:val="21"/>
              </w:rPr>
              <w:t>0.8~1.25</w:t>
            </w:r>
          </w:p>
        </w:tc>
        <w:tc>
          <w:tcPr>
            <w:tcW w:w="610" w:type="pct"/>
            <w:noWrap/>
            <w:vAlign w:val="center"/>
          </w:tcPr>
          <w:p>
            <w:pPr>
              <w:jc w:val="center"/>
              <w:rPr>
                <w:rFonts w:ascii="宋体" w:hAnsi="宋体" w:cs="宋体"/>
                <w:color w:val="000000"/>
                <w:szCs w:val="21"/>
              </w:rPr>
            </w:pPr>
            <w:r>
              <w:rPr>
                <w:rFonts w:hint="eastAsia" w:ascii="宋体" w:hAnsi="宋体" w:cs="宋体"/>
                <w:color w:val="000000"/>
                <w:szCs w:val="21"/>
              </w:rPr>
              <w:t>0.26~0.38</w:t>
            </w:r>
          </w:p>
        </w:tc>
        <w:tc>
          <w:tcPr>
            <w:tcW w:w="671" w:type="pct"/>
            <w:noWrap/>
            <w:vAlign w:val="center"/>
          </w:tcPr>
          <w:p>
            <w:pPr>
              <w:jc w:val="center"/>
              <w:rPr>
                <w:rFonts w:ascii="宋体" w:hAnsi="宋体" w:cs="宋体"/>
                <w:color w:val="000000"/>
                <w:szCs w:val="21"/>
              </w:rPr>
            </w:pPr>
            <w:r>
              <w:rPr>
                <w:rFonts w:hint="eastAsia" w:ascii="宋体" w:hAnsi="宋体" w:cs="宋体"/>
                <w:szCs w:val="21"/>
              </w:rPr>
              <w:t>1.43~1.81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1" w:hRule="exact"/>
          <w:jc w:val="center"/>
        </w:trPr>
        <w:tc>
          <w:tcPr>
            <w:tcW w:w="340" w:type="pct"/>
            <w:vMerge w:val="continue"/>
            <w:noWrap/>
            <w:vAlign w:val="center"/>
          </w:tcPr>
          <w:p>
            <w:pPr>
              <w:spacing w:line="240" w:lineRule="atLeast"/>
              <w:jc w:val="center"/>
              <w:rPr>
                <w:rFonts w:ascii="宋体" w:hAnsi="宋体" w:cs="宋体"/>
                <w:szCs w:val="21"/>
              </w:rPr>
            </w:pPr>
          </w:p>
        </w:tc>
        <w:tc>
          <w:tcPr>
            <w:tcW w:w="556" w:type="pct"/>
            <w:noWrap/>
            <w:vAlign w:val="center"/>
          </w:tcPr>
          <w:p>
            <w:pPr>
              <w:spacing w:line="320" w:lineRule="exact"/>
              <w:jc w:val="center"/>
              <w:rPr>
                <w:rFonts w:ascii="宋体" w:hAnsi="宋体" w:cs="宋体"/>
                <w:szCs w:val="21"/>
              </w:rPr>
            </w:pPr>
            <w:r>
              <w:rPr>
                <w:rFonts w:hint="eastAsia" w:ascii="宋体" w:hAnsi="宋体" w:cs="宋体"/>
                <w:szCs w:val="21"/>
              </w:rPr>
              <w:t>最大超标倍数</w:t>
            </w:r>
          </w:p>
        </w:tc>
        <w:tc>
          <w:tcPr>
            <w:tcW w:w="610" w:type="pct"/>
            <w:noWrap/>
            <w:vAlign w:val="center"/>
          </w:tcPr>
          <w:p>
            <w:pPr>
              <w:spacing w:line="320" w:lineRule="exact"/>
              <w:jc w:val="center"/>
              <w:rPr>
                <w:rFonts w:ascii="宋体" w:hAnsi="宋体" w:cs="宋体"/>
                <w:szCs w:val="21"/>
              </w:rPr>
            </w:pPr>
            <w:r>
              <w:rPr>
                <w:rFonts w:hint="eastAsia" w:ascii="宋体" w:hAnsi="宋体" w:cs="宋体"/>
                <w:szCs w:val="21"/>
              </w:rPr>
              <w:t>/</w:t>
            </w:r>
          </w:p>
        </w:tc>
        <w:tc>
          <w:tcPr>
            <w:tcW w:w="564" w:type="pct"/>
            <w:noWrap/>
            <w:vAlign w:val="center"/>
          </w:tcPr>
          <w:p>
            <w:pPr>
              <w:spacing w:line="320" w:lineRule="exact"/>
              <w:jc w:val="center"/>
              <w:rPr>
                <w:rFonts w:ascii="宋体" w:hAnsi="宋体" w:cs="宋体"/>
                <w:szCs w:val="21"/>
              </w:rPr>
            </w:pPr>
            <w:r>
              <w:rPr>
                <w:rFonts w:hint="eastAsia" w:ascii="宋体" w:hAnsi="宋体" w:cs="宋体"/>
                <w:szCs w:val="21"/>
              </w:rPr>
              <w:t>0.15</w:t>
            </w:r>
          </w:p>
        </w:tc>
        <w:tc>
          <w:tcPr>
            <w:tcW w:w="541" w:type="pct"/>
            <w:noWrap/>
            <w:vAlign w:val="center"/>
          </w:tcPr>
          <w:p>
            <w:pPr>
              <w:spacing w:line="320" w:lineRule="exact"/>
              <w:jc w:val="center"/>
              <w:rPr>
                <w:rFonts w:ascii="宋体" w:hAnsi="宋体" w:cs="宋体"/>
                <w:szCs w:val="21"/>
              </w:rPr>
            </w:pPr>
            <w:r>
              <w:rPr>
                <w:rFonts w:hint="eastAsia" w:ascii="宋体" w:hAnsi="宋体" w:cs="宋体"/>
                <w:szCs w:val="21"/>
              </w:rPr>
              <w:t>/</w:t>
            </w:r>
          </w:p>
        </w:tc>
        <w:tc>
          <w:tcPr>
            <w:tcW w:w="536" w:type="pct"/>
            <w:noWrap/>
            <w:vAlign w:val="center"/>
          </w:tcPr>
          <w:p>
            <w:pPr>
              <w:spacing w:line="320" w:lineRule="exact"/>
              <w:jc w:val="center"/>
              <w:rPr>
                <w:rFonts w:ascii="宋体" w:hAnsi="宋体" w:cs="宋体"/>
                <w:szCs w:val="21"/>
              </w:rPr>
            </w:pPr>
            <w:r>
              <w:rPr>
                <w:rFonts w:hint="eastAsia" w:ascii="宋体" w:hAnsi="宋体" w:cs="宋体"/>
                <w:szCs w:val="21"/>
              </w:rPr>
              <w:t>0.54</w:t>
            </w:r>
          </w:p>
        </w:tc>
        <w:tc>
          <w:tcPr>
            <w:tcW w:w="568" w:type="pct"/>
            <w:noWrap/>
            <w:vAlign w:val="center"/>
          </w:tcPr>
          <w:p>
            <w:pPr>
              <w:spacing w:line="320" w:lineRule="exact"/>
              <w:jc w:val="center"/>
              <w:rPr>
                <w:rFonts w:ascii="宋体" w:hAnsi="宋体" w:cs="宋体"/>
                <w:szCs w:val="21"/>
              </w:rPr>
            </w:pPr>
            <w:r>
              <w:rPr>
                <w:rFonts w:hint="eastAsia" w:ascii="宋体" w:hAnsi="宋体" w:cs="宋体"/>
                <w:szCs w:val="21"/>
              </w:rPr>
              <w:t>0.25</w:t>
            </w:r>
          </w:p>
        </w:tc>
        <w:tc>
          <w:tcPr>
            <w:tcW w:w="610" w:type="pct"/>
            <w:noWrap/>
            <w:vAlign w:val="center"/>
          </w:tcPr>
          <w:p>
            <w:pPr>
              <w:spacing w:line="320" w:lineRule="exact"/>
              <w:jc w:val="center"/>
              <w:rPr>
                <w:rFonts w:ascii="宋体" w:hAnsi="宋体" w:cs="宋体"/>
                <w:szCs w:val="21"/>
              </w:rPr>
            </w:pPr>
            <w:r>
              <w:rPr>
                <w:rFonts w:hint="eastAsia" w:ascii="宋体" w:hAnsi="宋体" w:cs="宋体"/>
                <w:szCs w:val="21"/>
              </w:rPr>
              <w:t>/</w:t>
            </w:r>
          </w:p>
        </w:tc>
        <w:tc>
          <w:tcPr>
            <w:tcW w:w="671" w:type="pct"/>
            <w:noWrap/>
            <w:vAlign w:val="center"/>
          </w:tcPr>
          <w:p>
            <w:pPr>
              <w:spacing w:line="320" w:lineRule="exact"/>
              <w:jc w:val="center"/>
              <w:rPr>
                <w:rFonts w:ascii="宋体" w:hAnsi="宋体" w:cs="宋体"/>
                <w:szCs w:val="21"/>
              </w:rPr>
            </w:pPr>
            <w:r>
              <w:rPr>
                <w:rFonts w:hint="eastAsia" w:ascii="宋体" w:hAnsi="宋体" w:cs="宋体"/>
                <w:szCs w:val="21"/>
              </w:rPr>
              <w:t>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1" w:hRule="exact"/>
          <w:jc w:val="center"/>
        </w:trPr>
        <w:tc>
          <w:tcPr>
            <w:tcW w:w="340" w:type="pct"/>
            <w:vMerge w:val="restart"/>
            <w:noWrap/>
            <w:vAlign w:val="center"/>
          </w:tcPr>
          <w:p>
            <w:pPr>
              <w:spacing w:line="240" w:lineRule="atLeast"/>
              <w:jc w:val="center"/>
              <w:rPr>
                <w:rFonts w:ascii="宋体" w:hAnsi="宋体" w:cs="宋体"/>
                <w:szCs w:val="21"/>
              </w:rPr>
            </w:pPr>
            <w:r>
              <w:rPr>
                <w:rFonts w:hint="eastAsia"/>
                <w:szCs w:val="21"/>
              </w:rPr>
              <w:t>大黄港沿项目下游</w:t>
            </w:r>
            <w:r>
              <w:rPr>
                <w:szCs w:val="21"/>
              </w:rPr>
              <w:t>1000</w:t>
            </w:r>
            <w:r>
              <w:rPr>
                <w:rFonts w:hint="eastAsia"/>
                <w:szCs w:val="21"/>
              </w:rPr>
              <w:t>米</w:t>
            </w:r>
          </w:p>
        </w:tc>
        <w:tc>
          <w:tcPr>
            <w:tcW w:w="556" w:type="pct"/>
            <w:noWrap/>
            <w:vAlign w:val="center"/>
          </w:tcPr>
          <w:p>
            <w:pPr>
              <w:spacing w:line="320" w:lineRule="exact"/>
              <w:jc w:val="center"/>
              <w:rPr>
                <w:rFonts w:ascii="宋体" w:hAnsi="宋体" w:cs="宋体"/>
                <w:szCs w:val="21"/>
              </w:rPr>
            </w:pPr>
            <w:r>
              <w:rPr>
                <w:rFonts w:hint="eastAsia" w:ascii="宋体" w:hAnsi="宋体" w:cs="宋体"/>
                <w:szCs w:val="21"/>
              </w:rPr>
              <w:t>监测范围</w:t>
            </w:r>
          </w:p>
        </w:tc>
        <w:tc>
          <w:tcPr>
            <w:tcW w:w="610" w:type="pct"/>
            <w:noWrap/>
            <w:vAlign w:val="center"/>
          </w:tcPr>
          <w:p>
            <w:pPr>
              <w:spacing w:line="320" w:lineRule="exact"/>
              <w:jc w:val="center"/>
              <w:rPr>
                <w:rFonts w:ascii="宋体" w:hAnsi="宋体" w:cs="宋体"/>
                <w:szCs w:val="21"/>
              </w:rPr>
            </w:pPr>
            <w:r>
              <w:rPr>
                <w:rFonts w:hint="eastAsia" w:ascii="宋体" w:hAnsi="宋体" w:cs="宋体"/>
                <w:szCs w:val="21"/>
              </w:rPr>
              <w:t>7.2~7.5</w:t>
            </w:r>
          </w:p>
        </w:tc>
        <w:tc>
          <w:tcPr>
            <w:tcW w:w="564" w:type="pct"/>
            <w:noWrap/>
            <w:vAlign w:val="center"/>
          </w:tcPr>
          <w:p>
            <w:pPr>
              <w:spacing w:line="320" w:lineRule="exact"/>
              <w:jc w:val="center"/>
              <w:rPr>
                <w:rFonts w:ascii="宋体" w:hAnsi="宋体" w:cs="宋体"/>
                <w:szCs w:val="21"/>
              </w:rPr>
            </w:pPr>
            <w:r>
              <w:rPr>
                <w:rFonts w:hint="eastAsia" w:ascii="宋体" w:hAnsi="宋体" w:cs="宋体"/>
                <w:szCs w:val="21"/>
              </w:rPr>
              <w:t>18~23</w:t>
            </w:r>
          </w:p>
        </w:tc>
        <w:tc>
          <w:tcPr>
            <w:tcW w:w="541" w:type="pct"/>
            <w:noWrap/>
            <w:vAlign w:val="center"/>
          </w:tcPr>
          <w:p>
            <w:pPr>
              <w:spacing w:line="320" w:lineRule="exact"/>
              <w:jc w:val="center"/>
              <w:rPr>
                <w:rFonts w:ascii="宋体" w:hAnsi="宋体" w:cs="宋体"/>
                <w:szCs w:val="21"/>
              </w:rPr>
            </w:pPr>
            <w:r>
              <w:rPr>
                <w:rFonts w:hint="eastAsia" w:ascii="宋体" w:hAnsi="宋体" w:cs="宋体"/>
                <w:szCs w:val="21"/>
              </w:rPr>
              <w:t>2.9~3.2</w:t>
            </w:r>
          </w:p>
        </w:tc>
        <w:tc>
          <w:tcPr>
            <w:tcW w:w="536" w:type="pct"/>
            <w:noWrap/>
            <w:vAlign w:val="center"/>
          </w:tcPr>
          <w:p>
            <w:pPr>
              <w:spacing w:line="320" w:lineRule="exact"/>
              <w:jc w:val="center"/>
              <w:rPr>
                <w:rFonts w:ascii="宋体" w:hAnsi="宋体" w:cs="宋体"/>
                <w:szCs w:val="21"/>
              </w:rPr>
            </w:pPr>
            <w:r>
              <w:rPr>
                <w:rFonts w:hint="eastAsia" w:ascii="宋体" w:hAnsi="宋体" w:cs="宋体"/>
                <w:szCs w:val="21"/>
              </w:rPr>
              <w:t>1.35~1.73</w:t>
            </w:r>
          </w:p>
        </w:tc>
        <w:tc>
          <w:tcPr>
            <w:tcW w:w="568" w:type="pct"/>
            <w:noWrap/>
            <w:vAlign w:val="center"/>
          </w:tcPr>
          <w:p>
            <w:pPr>
              <w:spacing w:line="320" w:lineRule="exact"/>
              <w:jc w:val="center"/>
              <w:rPr>
                <w:rFonts w:ascii="宋体" w:hAnsi="宋体" w:cs="宋体"/>
                <w:szCs w:val="21"/>
              </w:rPr>
            </w:pPr>
            <w:r>
              <w:rPr>
                <w:rFonts w:hint="eastAsia" w:ascii="宋体" w:hAnsi="宋体" w:cs="宋体"/>
                <w:szCs w:val="21"/>
              </w:rPr>
              <w:t>0.15~0.24</w:t>
            </w:r>
          </w:p>
        </w:tc>
        <w:tc>
          <w:tcPr>
            <w:tcW w:w="610" w:type="pct"/>
            <w:noWrap/>
            <w:vAlign w:val="center"/>
          </w:tcPr>
          <w:p>
            <w:pPr>
              <w:spacing w:line="320" w:lineRule="exact"/>
              <w:jc w:val="center"/>
              <w:rPr>
                <w:rFonts w:ascii="宋体" w:hAnsi="宋体" w:cs="宋体"/>
                <w:szCs w:val="21"/>
              </w:rPr>
            </w:pPr>
            <w:r>
              <w:rPr>
                <w:rFonts w:hint="eastAsia" w:ascii="宋体" w:hAnsi="宋体" w:cs="宋体"/>
                <w:szCs w:val="21"/>
              </w:rPr>
              <w:t>2900~4200</w:t>
            </w:r>
          </w:p>
        </w:tc>
        <w:tc>
          <w:tcPr>
            <w:tcW w:w="671" w:type="pct"/>
            <w:noWrap/>
            <w:vAlign w:val="center"/>
          </w:tcPr>
          <w:p>
            <w:pPr>
              <w:spacing w:line="320" w:lineRule="exact"/>
              <w:jc w:val="center"/>
              <w:rPr>
                <w:rFonts w:ascii="宋体" w:hAnsi="宋体" w:cs="宋体"/>
                <w:szCs w:val="21"/>
              </w:rPr>
            </w:pPr>
            <w:r>
              <w:rPr>
                <w:rFonts w:hint="eastAsia" w:ascii="宋体" w:hAnsi="宋体" w:cs="宋体"/>
                <w:szCs w:val="21"/>
              </w:rPr>
              <w:t>1.45~1.85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1" w:hRule="exact"/>
          <w:jc w:val="center"/>
        </w:trPr>
        <w:tc>
          <w:tcPr>
            <w:tcW w:w="340" w:type="pct"/>
            <w:vMerge w:val="continue"/>
            <w:noWrap/>
            <w:vAlign w:val="center"/>
          </w:tcPr>
          <w:p>
            <w:pPr>
              <w:spacing w:line="240" w:lineRule="atLeast"/>
              <w:jc w:val="center"/>
              <w:rPr>
                <w:rFonts w:ascii="宋体" w:hAnsi="宋体" w:cs="宋体"/>
                <w:szCs w:val="21"/>
              </w:rPr>
            </w:pPr>
          </w:p>
        </w:tc>
        <w:tc>
          <w:tcPr>
            <w:tcW w:w="556" w:type="pct"/>
            <w:noWrap/>
            <w:vAlign w:val="center"/>
          </w:tcPr>
          <w:p>
            <w:pPr>
              <w:spacing w:line="320" w:lineRule="exact"/>
              <w:jc w:val="center"/>
              <w:rPr>
                <w:rFonts w:ascii="宋体" w:hAnsi="宋体" w:cs="宋体"/>
                <w:szCs w:val="21"/>
              </w:rPr>
            </w:pPr>
            <w:r>
              <w:rPr>
                <w:rFonts w:hint="eastAsia" w:ascii="宋体" w:hAnsi="宋体" w:cs="宋体"/>
                <w:szCs w:val="21"/>
              </w:rPr>
              <w:t>标准指数范围</w:t>
            </w:r>
          </w:p>
        </w:tc>
        <w:tc>
          <w:tcPr>
            <w:tcW w:w="610" w:type="pct"/>
            <w:noWrap/>
            <w:vAlign w:val="center"/>
          </w:tcPr>
          <w:p>
            <w:pPr>
              <w:jc w:val="center"/>
              <w:rPr>
                <w:rFonts w:ascii="宋体" w:hAnsi="宋体" w:cs="宋体"/>
                <w:color w:val="000000"/>
                <w:szCs w:val="21"/>
              </w:rPr>
            </w:pPr>
            <w:r>
              <w:rPr>
                <w:rFonts w:hint="eastAsia" w:ascii="宋体" w:hAnsi="宋体" w:cs="宋体"/>
                <w:color w:val="000000"/>
                <w:szCs w:val="21"/>
              </w:rPr>
              <w:t>0.8~0.83</w:t>
            </w:r>
          </w:p>
        </w:tc>
        <w:tc>
          <w:tcPr>
            <w:tcW w:w="564" w:type="pct"/>
            <w:noWrap/>
            <w:vAlign w:val="center"/>
          </w:tcPr>
          <w:p>
            <w:pPr>
              <w:jc w:val="center"/>
              <w:rPr>
                <w:rFonts w:ascii="宋体" w:hAnsi="宋体" w:cs="宋体"/>
                <w:color w:val="000000"/>
                <w:szCs w:val="21"/>
              </w:rPr>
            </w:pPr>
            <w:r>
              <w:rPr>
                <w:rFonts w:hint="eastAsia" w:ascii="宋体" w:hAnsi="宋体" w:cs="宋体"/>
                <w:color w:val="000000"/>
                <w:szCs w:val="21"/>
              </w:rPr>
              <w:t>0.9~1.15</w:t>
            </w:r>
          </w:p>
        </w:tc>
        <w:tc>
          <w:tcPr>
            <w:tcW w:w="541" w:type="pct"/>
            <w:noWrap/>
            <w:vAlign w:val="center"/>
          </w:tcPr>
          <w:p>
            <w:pPr>
              <w:jc w:val="center"/>
              <w:rPr>
                <w:rFonts w:ascii="宋体" w:hAnsi="宋体" w:cs="宋体"/>
                <w:color w:val="000000"/>
                <w:szCs w:val="21"/>
              </w:rPr>
            </w:pPr>
            <w:r>
              <w:rPr>
                <w:rFonts w:hint="eastAsia" w:ascii="宋体" w:hAnsi="宋体" w:cs="宋体"/>
                <w:color w:val="000000"/>
                <w:szCs w:val="21"/>
              </w:rPr>
              <w:t>0.725~0.8</w:t>
            </w:r>
          </w:p>
        </w:tc>
        <w:tc>
          <w:tcPr>
            <w:tcW w:w="536" w:type="pct"/>
            <w:noWrap/>
            <w:vAlign w:val="center"/>
          </w:tcPr>
          <w:p>
            <w:pPr>
              <w:jc w:val="center"/>
              <w:rPr>
                <w:rFonts w:ascii="宋体" w:hAnsi="宋体" w:cs="宋体"/>
                <w:color w:val="000000"/>
                <w:szCs w:val="21"/>
              </w:rPr>
            </w:pPr>
            <w:r>
              <w:rPr>
                <w:rFonts w:hint="eastAsia" w:ascii="宋体" w:hAnsi="宋体" w:cs="宋体"/>
                <w:szCs w:val="21"/>
              </w:rPr>
              <w:t>1.35~1.73</w:t>
            </w:r>
          </w:p>
        </w:tc>
        <w:tc>
          <w:tcPr>
            <w:tcW w:w="568" w:type="pct"/>
            <w:noWrap/>
            <w:vAlign w:val="center"/>
          </w:tcPr>
          <w:p>
            <w:pPr>
              <w:jc w:val="center"/>
              <w:rPr>
                <w:rFonts w:ascii="宋体" w:hAnsi="宋体" w:cs="宋体"/>
                <w:color w:val="000000"/>
                <w:szCs w:val="21"/>
              </w:rPr>
            </w:pPr>
            <w:r>
              <w:rPr>
                <w:rFonts w:hint="eastAsia" w:ascii="宋体" w:hAnsi="宋体" w:cs="宋体"/>
                <w:color w:val="000000"/>
                <w:szCs w:val="21"/>
              </w:rPr>
              <w:t>0.75~1.2</w:t>
            </w:r>
          </w:p>
        </w:tc>
        <w:tc>
          <w:tcPr>
            <w:tcW w:w="610" w:type="pct"/>
            <w:noWrap/>
            <w:vAlign w:val="center"/>
          </w:tcPr>
          <w:p>
            <w:pPr>
              <w:jc w:val="center"/>
              <w:rPr>
                <w:rFonts w:ascii="宋体" w:hAnsi="宋体" w:cs="宋体"/>
                <w:color w:val="000000"/>
                <w:szCs w:val="21"/>
              </w:rPr>
            </w:pPr>
            <w:r>
              <w:rPr>
                <w:rFonts w:hint="eastAsia" w:ascii="宋体" w:hAnsi="宋体" w:cs="宋体"/>
                <w:color w:val="000000"/>
                <w:szCs w:val="21"/>
              </w:rPr>
              <w:t>0.29~0.42</w:t>
            </w:r>
          </w:p>
        </w:tc>
        <w:tc>
          <w:tcPr>
            <w:tcW w:w="671" w:type="pct"/>
            <w:noWrap/>
            <w:vAlign w:val="center"/>
          </w:tcPr>
          <w:p>
            <w:pPr>
              <w:jc w:val="center"/>
              <w:rPr>
                <w:rFonts w:ascii="宋体" w:hAnsi="宋体" w:cs="宋体"/>
                <w:color w:val="000000"/>
                <w:szCs w:val="21"/>
              </w:rPr>
            </w:pPr>
            <w:r>
              <w:rPr>
                <w:rFonts w:hint="eastAsia" w:ascii="宋体" w:hAnsi="宋体" w:cs="宋体"/>
                <w:szCs w:val="21"/>
              </w:rPr>
              <w:t>1.45~1.85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1" w:hRule="exact"/>
          <w:jc w:val="center"/>
        </w:trPr>
        <w:tc>
          <w:tcPr>
            <w:tcW w:w="340" w:type="pct"/>
            <w:vMerge w:val="continue"/>
            <w:noWrap/>
            <w:vAlign w:val="center"/>
          </w:tcPr>
          <w:p>
            <w:pPr>
              <w:spacing w:line="240" w:lineRule="atLeast"/>
              <w:jc w:val="center"/>
              <w:rPr>
                <w:rFonts w:ascii="宋体" w:hAnsi="宋体" w:cs="宋体"/>
                <w:szCs w:val="21"/>
              </w:rPr>
            </w:pPr>
          </w:p>
        </w:tc>
        <w:tc>
          <w:tcPr>
            <w:tcW w:w="556" w:type="pct"/>
            <w:noWrap/>
            <w:vAlign w:val="center"/>
          </w:tcPr>
          <w:p>
            <w:pPr>
              <w:spacing w:line="320" w:lineRule="exact"/>
              <w:jc w:val="center"/>
              <w:rPr>
                <w:rFonts w:ascii="宋体" w:hAnsi="宋体" w:cs="宋体"/>
                <w:szCs w:val="21"/>
              </w:rPr>
            </w:pPr>
            <w:r>
              <w:rPr>
                <w:rFonts w:hint="eastAsia" w:ascii="宋体" w:hAnsi="宋体" w:cs="宋体"/>
                <w:szCs w:val="21"/>
              </w:rPr>
              <w:t>最大超标倍数</w:t>
            </w:r>
          </w:p>
        </w:tc>
        <w:tc>
          <w:tcPr>
            <w:tcW w:w="610" w:type="pct"/>
            <w:noWrap/>
            <w:vAlign w:val="center"/>
          </w:tcPr>
          <w:p>
            <w:pPr>
              <w:spacing w:line="320" w:lineRule="exact"/>
              <w:jc w:val="center"/>
              <w:rPr>
                <w:rFonts w:ascii="宋体" w:hAnsi="宋体" w:cs="宋体"/>
                <w:szCs w:val="21"/>
              </w:rPr>
            </w:pPr>
            <w:r>
              <w:rPr>
                <w:rFonts w:hint="eastAsia" w:ascii="宋体" w:hAnsi="宋体" w:cs="宋体"/>
                <w:szCs w:val="21"/>
              </w:rPr>
              <w:t>/</w:t>
            </w:r>
          </w:p>
        </w:tc>
        <w:tc>
          <w:tcPr>
            <w:tcW w:w="564" w:type="pct"/>
            <w:noWrap/>
            <w:vAlign w:val="center"/>
          </w:tcPr>
          <w:p>
            <w:pPr>
              <w:spacing w:line="320" w:lineRule="exact"/>
              <w:jc w:val="center"/>
              <w:rPr>
                <w:rFonts w:ascii="宋体" w:hAnsi="宋体" w:cs="宋体"/>
                <w:szCs w:val="21"/>
              </w:rPr>
            </w:pPr>
            <w:r>
              <w:rPr>
                <w:rFonts w:hint="eastAsia" w:ascii="宋体" w:hAnsi="宋体" w:cs="宋体"/>
                <w:szCs w:val="21"/>
              </w:rPr>
              <w:t>0.15</w:t>
            </w:r>
          </w:p>
        </w:tc>
        <w:tc>
          <w:tcPr>
            <w:tcW w:w="541" w:type="pct"/>
            <w:noWrap/>
            <w:vAlign w:val="center"/>
          </w:tcPr>
          <w:p>
            <w:pPr>
              <w:spacing w:line="320" w:lineRule="exact"/>
              <w:jc w:val="center"/>
              <w:rPr>
                <w:rFonts w:ascii="宋体" w:hAnsi="宋体" w:cs="宋体"/>
                <w:szCs w:val="21"/>
              </w:rPr>
            </w:pPr>
            <w:r>
              <w:rPr>
                <w:rFonts w:hint="eastAsia" w:ascii="宋体" w:hAnsi="宋体" w:cs="宋体"/>
                <w:szCs w:val="21"/>
              </w:rPr>
              <w:t>/</w:t>
            </w:r>
          </w:p>
        </w:tc>
        <w:tc>
          <w:tcPr>
            <w:tcW w:w="536" w:type="pct"/>
            <w:noWrap/>
            <w:vAlign w:val="center"/>
          </w:tcPr>
          <w:p>
            <w:pPr>
              <w:spacing w:line="320" w:lineRule="exact"/>
              <w:jc w:val="center"/>
              <w:rPr>
                <w:rFonts w:ascii="宋体" w:hAnsi="宋体" w:cs="宋体"/>
                <w:szCs w:val="21"/>
              </w:rPr>
            </w:pPr>
            <w:r>
              <w:rPr>
                <w:rFonts w:hint="eastAsia" w:ascii="宋体" w:hAnsi="宋体" w:cs="宋体"/>
                <w:szCs w:val="21"/>
              </w:rPr>
              <w:t>0.73</w:t>
            </w:r>
          </w:p>
        </w:tc>
        <w:tc>
          <w:tcPr>
            <w:tcW w:w="568" w:type="pct"/>
            <w:noWrap/>
            <w:vAlign w:val="center"/>
          </w:tcPr>
          <w:p>
            <w:pPr>
              <w:spacing w:line="320" w:lineRule="exact"/>
              <w:jc w:val="center"/>
              <w:rPr>
                <w:rFonts w:ascii="宋体" w:hAnsi="宋体" w:cs="宋体"/>
                <w:szCs w:val="21"/>
              </w:rPr>
            </w:pPr>
            <w:r>
              <w:rPr>
                <w:rFonts w:hint="eastAsia" w:ascii="宋体" w:hAnsi="宋体" w:cs="宋体"/>
                <w:szCs w:val="21"/>
              </w:rPr>
              <w:t>0.2</w:t>
            </w:r>
          </w:p>
        </w:tc>
        <w:tc>
          <w:tcPr>
            <w:tcW w:w="610" w:type="pct"/>
            <w:noWrap/>
            <w:vAlign w:val="center"/>
          </w:tcPr>
          <w:p>
            <w:pPr>
              <w:spacing w:line="320" w:lineRule="exact"/>
              <w:jc w:val="center"/>
              <w:rPr>
                <w:rFonts w:ascii="宋体" w:hAnsi="宋体" w:cs="宋体"/>
                <w:szCs w:val="21"/>
              </w:rPr>
            </w:pPr>
            <w:r>
              <w:rPr>
                <w:rFonts w:hint="eastAsia" w:ascii="宋体" w:hAnsi="宋体" w:cs="宋体"/>
                <w:szCs w:val="21"/>
              </w:rPr>
              <w:t>/</w:t>
            </w:r>
          </w:p>
        </w:tc>
        <w:tc>
          <w:tcPr>
            <w:tcW w:w="671" w:type="pct"/>
            <w:noWrap/>
            <w:vAlign w:val="center"/>
          </w:tcPr>
          <w:p>
            <w:pPr>
              <w:spacing w:line="320" w:lineRule="exact"/>
              <w:jc w:val="center"/>
              <w:rPr>
                <w:rFonts w:ascii="宋体" w:hAnsi="宋体" w:cs="宋体"/>
                <w:szCs w:val="21"/>
              </w:rPr>
            </w:pPr>
            <w:r>
              <w:rPr>
                <w:rFonts w:hint="eastAsia" w:ascii="宋体" w:hAnsi="宋体" w:cs="宋体"/>
                <w:szCs w:val="21"/>
              </w:rPr>
              <w:t>0.85</w:t>
            </w:r>
          </w:p>
        </w:tc>
      </w:tr>
    </w:tbl>
    <w:p>
      <w:pPr>
        <w:adjustRightInd w:val="0"/>
        <w:snapToGrid w:val="0"/>
        <w:spacing w:line="500" w:lineRule="atLeast"/>
        <w:ind w:firstLine="480" w:firstLineChars="200"/>
        <w:rPr>
          <w:sz w:val="24"/>
        </w:rPr>
      </w:pPr>
      <w:r>
        <w:rPr>
          <w:sz w:val="24"/>
        </w:rPr>
        <w:t>由监测结果可知，监测点位的监测因子不能满足《地表水环境质量标准》（GB3838-2002）中</w:t>
      </w:r>
      <w:r>
        <w:rPr>
          <w:sz w:val="24"/>
        </w:rPr>
        <w:fldChar w:fldCharType="begin"/>
      </w:r>
      <w:r>
        <w:rPr>
          <w:sz w:val="24"/>
        </w:rPr>
        <w:instrText xml:space="preserve">= 3 \* ROMAN</w:instrText>
      </w:r>
      <w:r>
        <w:rPr>
          <w:sz w:val="24"/>
        </w:rPr>
        <w:fldChar w:fldCharType="separate"/>
      </w:r>
      <w:r>
        <w:rPr>
          <w:sz w:val="24"/>
        </w:rPr>
        <w:t>III</w:t>
      </w:r>
      <w:r>
        <w:rPr>
          <w:sz w:val="24"/>
        </w:rPr>
        <w:fldChar w:fldCharType="end"/>
      </w:r>
      <w:r>
        <w:rPr>
          <w:sz w:val="24"/>
        </w:rPr>
        <w:t>类水质标准要求。</w:t>
      </w:r>
    </w:p>
    <w:p>
      <w:pPr>
        <w:spacing w:line="520" w:lineRule="exact"/>
        <w:ind w:firstLine="480"/>
        <w:jc w:val="left"/>
        <w:rPr>
          <w:b/>
          <w:bCs/>
          <w:sz w:val="24"/>
          <w:u w:val="single"/>
        </w:rPr>
      </w:pPr>
      <w:r>
        <w:rPr>
          <w:rFonts w:hint="eastAsia"/>
          <w:b/>
          <w:bCs/>
          <w:sz w:val="24"/>
          <w:u w:val="single"/>
        </w:rPr>
        <w:t>本次监测的大黄港河为距离本项目最近地表水体，位于项目</w:t>
      </w:r>
      <w:r>
        <w:rPr>
          <w:rFonts w:hint="eastAsia"/>
          <w:b/>
          <w:bCs/>
          <w:color w:val="000000"/>
          <w:sz w:val="24"/>
          <w:u w:val="single"/>
          <w:lang w:val="zh-CN"/>
        </w:rPr>
        <w:t>西</w:t>
      </w:r>
      <w:r>
        <w:rPr>
          <w:b/>
          <w:bCs/>
          <w:color w:val="000000"/>
          <w:sz w:val="24"/>
          <w:u w:val="single"/>
          <w:lang w:val="zh-CN"/>
        </w:rPr>
        <w:t>侧</w:t>
      </w:r>
      <w:r>
        <w:rPr>
          <w:rFonts w:hint="eastAsia"/>
          <w:b/>
          <w:bCs/>
          <w:color w:val="000000"/>
          <w:sz w:val="24"/>
          <w:u w:val="single"/>
        </w:rPr>
        <w:t>583</w:t>
      </w:r>
      <w:r>
        <w:rPr>
          <w:b/>
          <w:bCs/>
          <w:color w:val="000000"/>
          <w:sz w:val="24"/>
          <w:u w:val="single"/>
          <w:lang w:val="zh-CN"/>
        </w:rPr>
        <w:t>m处</w:t>
      </w:r>
      <w:r>
        <w:rPr>
          <w:rFonts w:hint="eastAsia"/>
          <w:b/>
          <w:bCs/>
          <w:sz w:val="24"/>
          <w:u w:val="single"/>
        </w:rPr>
        <w:t>，大黄港自北向南约6.6km后汇入小洪河，本项目无废水排放，因此不会对地表水体产生影响。本项目所在区域内主要纳污水体为小洪河，</w:t>
      </w:r>
      <w:r>
        <w:rPr>
          <w:b/>
          <w:bCs/>
          <w:sz w:val="24"/>
          <w:u w:val="single"/>
        </w:rPr>
        <w:t>其为进一步了解小洪河水质状况，本次评价查阅了小洪河新蔡李桥控制断面2018年1月到12月份水质监控数据（其主要监控因子为COD、氨氮和总磷），具体如下：</w:t>
      </w:r>
    </w:p>
    <w:p>
      <w:pPr>
        <w:widowControl/>
        <w:snapToGrid w:val="0"/>
        <w:spacing w:beforeLines="50" w:afterLines="50"/>
        <w:ind w:firstLine="422" w:firstLineChars="200"/>
        <w:jc w:val="center"/>
        <w:rPr>
          <w:b/>
          <w:bCs/>
          <w:kern w:val="0"/>
          <w:szCs w:val="21"/>
          <w:u w:val="single"/>
        </w:rPr>
      </w:pPr>
      <w:r>
        <w:rPr>
          <w:b/>
          <w:bCs/>
          <w:kern w:val="0"/>
          <w:szCs w:val="21"/>
          <w:u w:val="single"/>
        </w:rPr>
        <w:t>表</w:t>
      </w:r>
      <w:r>
        <w:rPr>
          <w:rFonts w:hint="eastAsia"/>
          <w:b/>
          <w:bCs/>
          <w:kern w:val="0"/>
          <w:szCs w:val="21"/>
          <w:u w:val="single"/>
        </w:rPr>
        <w:t>3.3-11</w:t>
      </w:r>
      <w:r>
        <w:rPr>
          <w:b/>
          <w:bCs/>
          <w:kern w:val="0"/>
          <w:szCs w:val="21"/>
          <w:u w:val="single"/>
        </w:rPr>
        <w:t>小洪河新蔡李桥控制断面2018年1-12月份监控数据（单位：mg/L）</w:t>
      </w:r>
    </w:p>
    <w:tbl>
      <w:tblPr>
        <w:tblStyle w:val="44"/>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686"/>
        <w:gridCol w:w="924"/>
        <w:gridCol w:w="868"/>
        <w:gridCol w:w="826"/>
        <w:gridCol w:w="1274"/>
        <w:gridCol w:w="3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68" w:type="dxa"/>
            <w:noWrap/>
            <w:vAlign w:val="center"/>
          </w:tcPr>
          <w:p>
            <w:pPr>
              <w:jc w:val="center"/>
              <w:rPr>
                <w:b/>
                <w:bCs/>
                <w:szCs w:val="21"/>
                <w:u w:val="single"/>
              </w:rPr>
            </w:pPr>
            <w:r>
              <w:rPr>
                <w:b/>
                <w:bCs/>
                <w:szCs w:val="21"/>
                <w:u w:val="single"/>
              </w:rPr>
              <w:t>监控断面</w:t>
            </w:r>
          </w:p>
        </w:tc>
        <w:tc>
          <w:tcPr>
            <w:tcW w:w="686" w:type="dxa"/>
            <w:noWrap/>
            <w:vAlign w:val="center"/>
          </w:tcPr>
          <w:p>
            <w:pPr>
              <w:jc w:val="center"/>
              <w:rPr>
                <w:b/>
                <w:bCs/>
                <w:szCs w:val="21"/>
                <w:u w:val="single"/>
              </w:rPr>
            </w:pPr>
            <w:r>
              <w:rPr>
                <w:b/>
                <w:bCs/>
                <w:szCs w:val="21"/>
                <w:u w:val="single"/>
              </w:rPr>
              <w:t>月份</w:t>
            </w:r>
          </w:p>
        </w:tc>
        <w:tc>
          <w:tcPr>
            <w:tcW w:w="924" w:type="dxa"/>
            <w:noWrap/>
            <w:vAlign w:val="center"/>
          </w:tcPr>
          <w:p>
            <w:pPr>
              <w:jc w:val="center"/>
              <w:rPr>
                <w:b/>
                <w:bCs/>
                <w:szCs w:val="21"/>
                <w:u w:val="single"/>
              </w:rPr>
            </w:pPr>
            <w:r>
              <w:rPr>
                <w:b/>
                <w:bCs/>
                <w:szCs w:val="21"/>
                <w:u w:val="single"/>
              </w:rPr>
              <w:t>COD</w:t>
            </w:r>
          </w:p>
        </w:tc>
        <w:tc>
          <w:tcPr>
            <w:tcW w:w="868" w:type="dxa"/>
            <w:noWrap/>
            <w:vAlign w:val="center"/>
          </w:tcPr>
          <w:p>
            <w:pPr>
              <w:jc w:val="center"/>
              <w:rPr>
                <w:b/>
                <w:bCs/>
                <w:szCs w:val="21"/>
                <w:u w:val="single"/>
              </w:rPr>
            </w:pPr>
            <w:r>
              <w:rPr>
                <w:b/>
                <w:bCs/>
                <w:szCs w:val="21"/>
                <w:u w:val="single"/>
              </w:rPr>
              <w:t>氨氮</w:t>
            </w:r>
          </w:p>
        </w:tc>
        <w:tc>
          <w:tcPr>
            <w:tcW w:w="826" w:type="dxa"/>
            <w:noWrap/>
            <w:vAlign w:val="center"/>
          </w:tcPr>
          <w:p>
            <w:pPr>
              <w:snapToGrid w:val="0"/>
              <w:jc w:val="center"/>
              <w:rPr>
                <w:b/>
                <w:bCs/>
                <w:szCs w:val="21"/>
                <w:u w:val="single"/>
              </w:rPr>
            </w:pPr>
            <w:r>
              <w:rPr>
                <w:b/>
                <w:bCs/>
                <w:szCs w:val="21"/>
                <w:u w:val="single"/>
              </w:rPr>
              <w:t>总磷</w:t>
            </w:r>
          </w:p>
        </w:tc>
        <w:tc>
          <w:tcPr>
            <w:tcW w:w="1274" w:type="dxa"/>
            <w:noWrap/>
            <w:vAlign w:val="center"/>
          </w:tcPr>
          <w:p>
            <w:pPr>
              <w:jc w:val="center"/>
              <w:rPr>
                <w:b/>
                <w:bCs/>
                <w:szCs w:val="21"/>
                <w:u w:val="single"/>
              </w:rPr>
            </w:pPr>
            <w:r>
              <w:rPr>
                <w:b/>
                <w:bCs/>
                <w:szCs w:val="21"/>
                <w:u w:val="single"/>
              </w:rPr>
              <w:t>达标情况</w:t>
            </w:r>
          </w:p>
        </w:tc>
        <w:tc>
          <w:tcPr>
            <w:tcW w:w="3700" w:type="dxa"/>
            <w:noWrap/>
            <w:vAlign w:val="center"/>
          </w:tcPr>
          <w:p>
            <w:pPr>
              <w:jc w:val="center"/>
              <w:rPr>
                <w:b/>
                <w:bCs/>
                <w:szCs w:val="21"/>
                <w:u w:val="single"/>
              </w:rPr>
            </w:pPr>
            <w:r>
              <w:rPr>
                <w:b/>
                <w:bCs/>
                <w:szCs w:val="21"/>
                <w:u w:val="single"/>
              </w:rPr>
              <w:t>主要超标因子及超标倍数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dxa"/>
            <w:vMerge w:val="restart"/>
            <w:noWrap/>
            <w:vAlign w:val="center"/>
          </w:tcPr>
          <w:p>
            <w:pPr>
              <w:jc w:val="center"/>
              <w:rPr>
                <w:b/>
                <w:bCs/>
                <w:szCs w:val="21"/>
                <w:u w:val="single"/>
              </w:rPr>
            </w:pPr>
            <w:r>
              <w:rPr>
                <w:b/>
                <w:bCs/>
                <w:sz w:val="24"/>
                <w:u w:val="single"/>
              </w:rPr>
              <w:t>新蔡李桥</w:t>
            </w:r>
          </w:p>
        </w:tc>
        <w:tc>
          <w:tcPr>
            <w:tcW w:w="686" w:type="dxa"/>
            <w:noWrap/>
            <w:vAlign w:val="center"/>
          </w:tcPr>
          <w:p>
            <w:pPr>
              <w:jc w:val="center"/>
              <w:rPr>
                <w:b/>
                <w:bCs/>
                <w:szCs w:val="21"/>
                <w:u w:val="single"/>
              </w:rPr>
            </w:pPr>
            <w:r>
              <w:rPr>
                <w:b/>
                <w:bCs/>
                <w:szCs w:val="21"/>
                <w:u w:val="single"/>
              </w:rPr>
              <w:t>1月</w:t>
            </w:r>
          </w:p>
        </w:tc>
        <w:tc>
          <w:tcPr>
            <w:tcW w:w="924" w:type="dxa"/>
            <w:noWrap/>
            <w:vAlign w:val="center"/>
          </w:tcPr>
          <w:p>
            <w:pPr>
              <w:jc w:val="center"/>
              <w:rPr>
                <w:b/>
                <w:bCs/>
                <w:szCs w:val="21"/>
                <w:u w:val="single"/>
              </w:rPr>
            </w:pPr>
            <w:r>
              <w:rPr>
                <w:b/>
                <w:bCs/>
                <w:szCs w:val="21"/>
                <w:u w:val="single"/>
              </w:rPr>
              <w:t>22</w:t>
            </w:r>
          </w:p>
        </w:tc>
        <w:tc>
          <w:tcPr>
            <w:tcW w:w="868" w:type="dxa"/>
            <w:noWrap/>
            <w:vAlign w:val="center"/>
          </w:tcPr>
          <w:p>
            <w:pPr>
              <w:jc w:val="center"/>
              <w:rPr>
                <w:b/>
                <w:bCs/>
                <w:szCs w:val="21"/>
                <w:u w:val="single"/>
              </w:rPr>
            </w:pPr>
            <w:r>
              <w:rPr>
                <w:b/>
                <w:bCs/>
                <w:szCs w:val="21"/>
                <w:u w:val="single"/>
              </w:rPr>
              <w:t>0.40</w:t>
            </w:r>
          </w:p>
        </w:tc>
        <w:tc>
          <w:tcPr>
            <w:tcW w:w="826" w:type="dxa"/>
            <w:noWrap/>
            <w:vAlign w:val="center"/>
          </w:tcPr>
          <w:p>
            <w:pPr>
              <w:jc w:val="center"/>
              <w:rPr>
                <w:b/>
                <w:bCs/>
                <w:szCs w:val="21"/>
                <w:u w:val="single"/>
              </w:rPr>
            </w:pPr>
            <w:r>
              <w:rPr>
                <w:b/>
                <w:bCs/>
                <w:szCs w:val="21"/>
                <w:u w:val="single"/>
              </w:rPr>
              <w:t>0.16</w:t>
            </w:r>
          </w:p>
        </w:tc>
        <w:tc>
          <w:tcPr>
            <w:tcW w:w="1274" w:type="dxa"/>
            <w:noWrap/>
            <w:vAlign w:val="center"/>
          </w:tcPr>
          <w:p>
            <w:pPr>
              <w:jc w:val="center"/>
              <w:rPr>
                <w:b/>
                <w:bCs/>
                <w:szCs w:val="21"/>
                <w:u w:val="single"/>
              </w:rPr>
            </w:pPr>
            <w:r>
              <w:rPr>
                <w:b/>
                <w:bCs/>
                <w:szCs w:val="21"/>
                <w:u w:val="single"/>
              </w:rPr>
              <w:t>达标</w:t>
            </w:r>
          </w:p>
        </w:tc>
        <w:tc>
          <w:tcPr>
            <w:tcW w:w="3700" w:type="dxa"/>
            <w:noWrap/>
            <w:vAlign w:val="center"/>
          </w:tcPr>
          <w:p>
            <w:pPr>
              <w:jc w:val="center"/>
              <w:rPr>
                <w:b/>
                <w:bCs/>
                <w:szCs w:val="21"/>
                <w:u w:val="single"/>
              </w:rPr>
            </w:pPr>
            <w:r>
              <w:rPr>
                <w:b/>
                <w:bCs/>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dxa"/>
            <w:vMerge w:val="continue"/>
            <w:noWrap/>
            <w:vAlign w:val="center"/>
          </w:tcPr>
          <w:p>
            <w:pPr>
              <w:jc w:val="center"/>
              <w:rPr>
                <w:b/>
                <w:bCs/>
                <w:szCs w:val="21"/>
                <w:u w:val="single"/>
              </w:rPr>
            </w:pPr>
          </w:p>
        </w:tc>
        <w:tc>
          <w:tcPr>
            <w:tcW w:w="686" w:type="dxa"/>
            <w:noWrap/>
            <w:vAlign w:val="center"/>
          </w:tcPr>
          <w:p>
            <w:pPr>
              <w:jc w:val="center"/>
              <w:rPr>
                <w:b/>
                <w:bCs/>
                <w:szCs w:val="21"/>
                <w:u w:val="single"/>
              </w:rPr>
            </w:pPr>
            <w:r>
              <w:rPr>
                <w:b/>
                <w:bCs/>
                <w:szCs w:val="21"/>
                <w:u w:val="single"/>
              </w:rPr>
              <w:t>2月</w:t>
            </w:r>
          </w:p>
        </w:tc>
        <w:tc>
          <w:tcPr>
            <w:tcW w:w="924" w:type="dxa"/>
            <w:noWrap/>
            <w:vAlign w:val="center"/>
          </w:tcPr>
          <w:p>
            <w:pPr>
              <w:jc w:val="center"/>
              <w:rPr>
                <w:b/>
                <w:bCs/>
                <w:szCs w:val="21"/>
                <w:u w:val="single"/>
              </w:rPr>
            </w:pPr>
            <w:r>
              <w:rPr>
                <w:b/>
                <w:bCs/>
                <w:szCs w:val="21"/>
                <w:u w:val="single"/>
              </w:rPr>
              <w:t>21</w:t>
            </w:r>
          </w:p>
        </w:tc>
        <w:tc>
          <w:tcPr>
            <w:tcW w:w="868" w:type="dxa"/>
            <w:noWrap/>
            <w:vAlign w:val="center"/>
          </w:tcPr>
          <w:p>
            <w:pPr>
              <w:jc w:val="center"/>
              <w:rPr>
                <w:b/>
                <w:bCs/>
                <w:szCs w:val="21"/>
                <w:u w:val="single"/>
              </w:rPr>
            </w:pPr>
            <w:r>
              <w:rPr>
                <w:b/>
                <w:bCs/>
                <w:szCs w:val="21"/>
                <w:u w:val="single"/>
              </w:rPr>
              <w:t>1.92</w:t>
            </w:r>
          </w:p>
        </w:tc>
        <w:tc>
          <w:tcPr>
            <w:tcW w:w="826" w:type="dxa"/>
            <w:noWrap/>
            <w:vAlign w:val="center"/>
          </w:tcPr>
          <w:p>
            <w:pPr>
              <w:jc w:val="center"/>
              <w:rPr>
                <w:b/>
                <w:bCs/>
                <w:szCs w:val="21"/>
                <w:u w:val="single"/>
              </w:rPr>
            </w:pPr>
            <w:r>
              <w:rPr>
                <w:b/>
                <w:bCs/>
                <w:szCs w:val="21"/>
                <w:u w:val="single"/>
              </w:rPr>
              <w:t>0.24</w:t>
            </w:r>
          </w:p>
        </w:tc>
        <w:tc>
          <w:tcPr>
            <w:tcW w:w="1274" w:type="dxa"/>
            <w:noWrap/>
            <w:vAlign w:val="center"/>
          </w:tcPr>
          <w:p>
            <w:pPr>
              <w:jc w:val="center"/>
              <w:rPr>
                <w:b/>
                <w:bCs/>
                <w:szCs w:val="21"/>
                <w:u w:val="single"/>
              </w:rPr>
            </w:pPr>
            <w:r>
              <w:rPr>
                <w:b/>
                <w:bCs/>
                <w:szCs w:val="21"/>
                <w:u w:val="single"/>
              </w:rPr>
              <w:t>不达标</w:t>
            </w:r>
          </w:p>
        </w:tc>
        <w:tc>
          <w:tcPr>
            <w:tcW w:w="3700" w:type="dxa"/>
            <w:noWrap/>
            <w:vAlign w:val="center"/>
          </w:tcPr>
          <w:p>
            <w:pPr>
              <w:jc w:val="center"/>
              <w:rPr>
                <w:b/>
                <w:bCs/>
                <w:szCs w:val="21"/>
                <w:u w:val="single"/>
              </w:rPr>
            </w:pPr>
            <w:r>
              <w:rPr>
                <w:b/>
                <w:bCs/>
                <w:szCs w:val="21"/>
                <w:u w:val="single"/>
              </w:rPr>
              <w:t>氨氮（0.28）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dxa"/>
            <w:vMerge w:val="continue"/>
            <w:noWrap/>
            <w:vAlign w:val="center"/>
          </w:tcPr>
          <w:p>
            <w:pPr>
              <w:jc w:val="center"/>
              <w:rPr>
                <w:b/>
                <w:bCs/>
                <w:szCs w:val="21"/>
                <w:u w:val="single"/>
              </w:rPr>
            </w:pPr>
          </w:p>
        </w:tc>
        <w:tc>
          <w:tcPr>
            <w:tcW w:w="686" w:type="dxa"/>
            <w:noWrap/>
            <w:vAlign w:val="center"/>
          </w:tcPr>
          <w:p>
            <w:pPr>
              <w:jc w:val="center"/>
              <w:rPr>
                <w:b/>
                <w:bCs/>
                <w:szCs w:val="21"/>
                <w:u w:val="single"/>
              </w:rPr>
            </w:pPr>
            <w:r>
              <w:rPr>
                <w:b/>
                <w:bCs/>
                <w:szCs w:val="21"/>
                <w:u w:val="single"/>
              </w:rPr>
              <w:t>3月</w:t>
            </w:r>
          </w:p>
        </w:tc>
        <w:tc>
          <w:tcPr>
            <w:tcW w:w="924" w:type="dxa"/>
            <w:noWrap/>
            <w:vAlign w:val="center"/>
          </w:tcPr>
          <w:p>
            <w:pPr>
              <w:jc w:val="center"/>
              <w:rPr>
                <w:b/>
                <w:bCs/>
                <w:szCs w:val="21"/>
                <w:u w:val="single"/>
              </w:rPr>
            </w:pPr>
            <w:r>
              <w:rPr>
                <w:b/>
                <w:bCs/>
                <w:szCs w:val="21"/>
                <w:u w:val="single"/>
              </w:rPr>
              <w:t>30</w:t>
            </w:r>
          </w:p>
        </w:tc>
        <w:tc>
          <w:tcPr>
            <w:tcW w:w="868" w:type="dxa"/>
            <w:noWrap/>
            <w:vAlign w:val="center"/>
          </w:tcPr>
          <w:p>
            <w:pPr>
              <w:jc w:val="center"/>
              <w:rPr>
                <w:b/>
                <w:bCs/>
                <w:szCs w:val="21"/>
                <w:u w:val="single"/>
              </w:rPr>
            </w:pPr>
            <w:r>
              <w:rPr>
                <w:b/>
                <w:bCs/>
                <w:szCs w:val="21"/>
                <w:u w:val="single"/>
              </w:rPr>
              <w:t>1.71</w:t>
            </w:r>
          </w:p>
        </w:tc>
        <w:tc>
          <w:tcPr>
            <w:tcW w:w="826" w:type="dxa"/>
            <w:noWrap/>
            <w:vAlign w:val="center"/>
          </w:tcPr>
          <w:p>
            <w:pPr>
              <w:jc w:val="center"/>
              <w:rPr>
                <w:b/>
                <w:bCs/>
                <w:szCs w:val="21"/>
                <w:u w:val="single"/>
              </w:rPr>
            </w:pPr>
            <w:r>
              <w:rPr>
                <w:b/>
                <w:bCs/>
                <w:szCs w:val="21"/>
                <w:u w:val="single"/>
              </w:rPr>
              <w:t>0.28</w:t>
            </w:r>
          </w:p>
        </w:tc>
        <w:tc>
          <w:tcPr>
            <w:tcW w:w="1274" w:type="dxa"/>
            <w:noWrap/>
            <w:vAlign w:val="center"/>
          </w:tcPr>
          <w:p>
            <w:pPr>
              <w:jc w:val="center"/>
              <w:rPr>
                <w:b/>
                <w:bCs/>
                <w:szCs w:val="21"/>
                <w:u w:val="single"/>
              </w:rPr>
            </w:pPr>
            <w:r>
              <w:rPr>
                <w:b/>
                <w:bCs/>
                <w:szCs w:val="21"/>
                <w:u w:val="single"/>
              </w:rPr>
              <w:t>不达标</w:t>
            </w:r>
          </w:p>
        </w:tc>
        <w:tc>
          <w:tcPr>
            <w:tcW w:w="3700" w:type="dxa"/>
            <w:noWrap/>
            <w:vAlign w:val="center"/>
          </w:tcPr>
          <w:p>
            <w:pPr>
              <w:jc w:val="center"/>
              <w:rPr>
                <w:b/>
                <w:bCs/>
                <w:szCs w:val="21"/>
                <w:u w:val="single"/>
              </w:rPr>
            </w:pPr>
            <w:r>
              <w:rPr>
                <w:b/>
                <w:bCs/>
                <w:szCs w:val="21"/>
                <w:u w:val="single"/>
              </w:rPr>
              <w:t>氨氮（0.10）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dxa"/>
            <w:vMerge w:val="continue"/>
            <w:noWrap/>
            <w:vAlign w:val="center"/>
          </w:tcPr>
          <w:p>
            <w:pPr>
              <w:jc w:val="center"/>
              <w:rPr>
                <w:b/>
                <w:bCs/>
                <w:szCs w:val="21"/>
                <w:u w:val="single"/>
              </w:rPr>
            </w:pPr>
          </w:p>
        </w:tc>
        <w:tc>
          <w:tcPr>
            <w:tcW w:w="686" w:type="dxa"/>
            <w:noWrap/>
            <w:vAlign w:val="center"/>
          </w:tcPr>
          <w:p>
            <w:pPr>
              <w:jc w:val="center"/>
              <w:rPr>
                <w:b/>
                <w:bCs/>
                <w:szCs w:val="21"/>
                <w:u w:val="single"/>
              </w:rPr>
            </w:pPr>
            <w:r>
              <w:rPr>
                <w:b/>
                <w:bCs/>
                <w:szCs w:val="21"/>
                <w:u w:val="single"/>
              </w:rPr>
              <w:t>4月</w:t>
            </w:r>
          </w:p>
        </w:tc>
        <w:tc>
          <w:tcPr>
            <w:tcW w:w="924" w:type="dxa"/>
            <w:noWrap/>
            <w:vAlign w:val="center"/>
          </w:tcPr>
          <w:p>
            <w:pPr>
              <w:jc w:val="center"/>
              <w:rPr>
                <w:b/>
                <w:bCs/>
                <w:szCs w:val="21"/>
                <w:u w:val="single"/>
              </w:rPr>
            </w:pPr>
            <w:r>
              <w:rPr>
                <w:b/>
                <w:bCs/>
                <w:szCs w:val="21"/>
                <w:u w:val="single"/>
              </w:rPr>
              <w:t>18</w:t>
            </w:r>
          </w:p>
        </w:tc>
        <w:tc>
          <w:tcPr>
            <w:tcW w:w="868" w:type="dxa"/>
            <w:noWrap/>
            <w:vAlign w:val="center"/>
          </w:tcPr>
          <w:p>
            <w:pPr>
              <w:jc w:val="center"/>
              <w:rPr>
                <w:b/>
                <w:bCs/>
                <w:szCs w:val="21"/>
                <w:u w:val="single"/>
              </w:rPr>
            </w:pPr>
            <w:r>
              <w:rPr>
                <w:b/>
                <w:bCs/>
                <w:szCs w:val="21"/>
                <w:u w:val="single"/>
              </w:rPr>
              <w:t>0.14</w:t>
            </w:r>
          </w:p>
        </w:tc>
        <w:tc>
          <w:tcPr>
            <w:tcW w:w="826" w:type="dxa"/>
            <w:noWrap/>
            <w:vAlign w:val="center"/>
          </w:tcPr>
          <w:p>
            <w:pPr>
              <w:jc w:val="center"/>
              <w:rPr>
                <w:b/>
                <w:bCs/>
                <w:szCs w:val="21"/>
                <w:u w:val="single"/>
              </w:rPr>
            </w:pPr>
            <w:r>
              <w:rPr>
                <w:b/>
                <w:bCs/>
                <w:szCs w:val="21"/>
                <w:u w:val="single"/>
              </w:rPr>
              <w:t>0.33</w:t>
            </w:r>
          </w:p>
        </w:tc>
        <w:tc>
          <w:tcPr>
            <w:tcW w:w="1274" w:type="dxa"/>
            <w:noWrap/>
            <w:vAlign w:val="center"/>
          </w:tcPr>
          <w:p>
            <w:pPr>
              <w:jc w:val="center"/>
              <w:rPr>
                <w:b/>
                <w:bCs/>
                <w:szCs w:val="21"/>
                <w:u w:val="single"/>
              </w:rPr>
            </w:pPr>
            <w:r>
              <w:rPr>
                <w:b/>
                <w:bCs/>
                <w:szCs w:val="21"/>
                <w:u w:val="single"/>
              </w:rPr>
              <w:t>不达标</w:t>
            </w:r>
          </w:p>
        </w:tc>
        <w:tc>
          <w:tcPr>
            <w:tcW w:w="3700" w:type="dxa"/>
            <w:noWrap/>
            <w:vAlign w:val="center"/>
          </w:tcPr>
          <w:p>
            <w:pPr>
              <w:jc w:val="center"/>
              <w:rPr>
                <w:b/>
                <w:bCs/>
                <w:szCs w:val="21"/>
                <w:u w:val="single"/>
              </w:rPr>
            </w:pPr>
            <w:r>
              <w:rPr>
                <w:b/>
                <w:bCs/>
                <w:szCs w:val="21"/>
                <w:u w:val="single"/>
              </w:rPr>
              <w:t>总磷（0.10）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dxa"/>
            <w:vMerge w:val="continue"/>
            <w:noWrap/>
            <w:vAlign w:val="center"/>
          </w:tcPr>
          <w:p>
            <w:pPr>
              <w:jc w:val="center"/>
              <w:rPr>
                <w:b/>
                <w:bCs/>
                <w:szCs w:val="21"/>
                <w:u w:val="single"/>
              </w:rPr>
            </w:pPr>
          </w:p>
        </w:tc>
        <w:tc>
          <w:tcPr>
            <w:tcW w:w="686" w:type="dxa"/>
            <w:noWrap/>
            <w:vAlign w:val="center"/>
          </w:tcPr>
          <w:p>
            <w:pPr>
              <w:jc w:val="center"/>
              <w:rPr>
                <w:b/>
                <w:bCs/>
                <w:szCs w:val="21"/>
                <w:u w:val="single"/>
              </w:rPr>
            </w:pPr>
            <w:r>
              <w:rPr>
                <w:b/>
                <w:bCs/>
                <w:szCs w:val="21"/>
                <w:u w:val="single"/>
              </w:rPr>
              <w:t>5月</w:t>
            </w:r>
          </w:p>
        </w:tc>
        <w:tc>
          <w:tcPr>
            <w:tcW w:w="924" w:type="dxa"/>
            <w:noWrap/>
            <w:vAlign w:val="center"/>
          </w:tcPr>
          <w:p>
            <w:pPr>
              <w:jc w:val="center"/>
              <w:rPr>
                <w:b/>
                <w:bCs/>
                <w:szCs w:val="21"/>
                <w:u w:val="single"/>
              </w:rPr>
            </w:pPr>
            <w:r>
              <w:rPr>
                <w:b/>
                <w:bCs/>
                <w:szCs w:val="21"/>
                <w:u w:val="single"/>
              </w:rPr>
              <w:t>25</w:t>
            </w:r>
          </w:p>
        </w:tc>
        <w:tc>
          <w:tcPr>
            <w:tcW w:w="868" w:type="dxa"/>
            <w:noWrap/>
            <w:vAlign w:val="center"/>
          </w:tcPr>
          <w:p>
            <w:pPr>
              <w:jc w:val="center"/>
              <w:rPr>
                <w:b/>
                <w:bCs/>
                <w:szCs w:val="21"/>
                <w:u w:val="single"/>
              </w:rPr>
            </w:pPr>
            <w:r>
              <w:rPr>
                <w:b/>
                <w:bCs/>
                <w:szCs w:val="21"/>
                <w:u w:val="single"/>
              </w:rPr>
              <w:t>0.77</w:t>
            </w:r>
          </w:p>
        </w:tc>
        <w:tc>
          <w:tcPr>
            <w:tcW w:w="826" w:type="dxa"/>
            <w:noWrap/>
            <w:vAlign w:val="center"/>
          </w:tcPr>
          <w:p>
            <w:pPr>
              <w:jc w:val="center"/>
              <w:rPr>
                <w:b/>
                <w:bCs/>
                <w:szCs w:val="21"/>
                <w:u w:val="single"/>
              </w:rPr>
            </w:pPr>
            <w:r>
              <w:rPr>
                <w:b/>
                <w:bCs/>
                <w:szCs w:val="21"/>
                <w:u w:val="single"/>
              </w:rPr>
              <w:t>0.15</w:t>
            </w:r>
          </w:p>
        </w:tc>
        <w:tc>
          <w:tcPr>
            <w:tcW w:w="1274" w:type="dxa"/>
            <w:noWrap/>
            <w:vAlign w:val="center"/>
          </w:tcPr>
          <w:p>
            <w:pPr>
              <w:jc w:val="center"/>
              <w:rPr>
                <w:b/>
                <w:bCs/>
                <w:szCs w:val="21"/>
                <w:u w:val="single"/>
              </w:rPr>
            </w:pPr>
            <w:r>
              <w:rPr>
                <w:b/>
                <w:bCs/>
                <w:szCs w:val="21"/>
                <w:u w:val="single"/>
              </w:rPr>
              <w:t>达标</w:t>
            </w:r>
          </w:p>
        </w:tc>
        <w:tc>
          <w:tcPr>
            <w:tcW w:w="3700" w:type="dxa"/>
            <w:noWrap/>
            <w:vAlign w:val="center"/>
          </w:tcPr>
          <w:p>
            <w:pPr>
              <w:jc w:val="center"/>
              <w:rPr>
                <w:b/>
                <w:bCs/>
                <w:szCs w:val="21"/>
                <w:u w:val="single"/>
              </w:rPr>
            </w:pPr>
            <w:r>
              <w:rPr>
                <w:b/>
                <w:bCs/>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dxa"/>
            <w:vMerge w:val="continue"/>
            <w:noWrap/>
            <w:vAlign w:val="center"/>
          </w:tcPr>
          <w:p>
            <w:pPr>
              <w:jc w:val="center"/>
              <w:rPr>
                <w:b/>
                <w:bCs/>
                <w:szCs w:val="21"/>
                <w:u w:val="single"/>
              </w:rPr>
            </w:pPr>
          </w:p>
        </w:tc>
        <w:tc>
          <w:tcPr>
            <w:tcW w:w="686" w:type="dxa"/>
            <w:noWrap/>
            <w:vAlign w:val="center"/>
          </w:tcPr>
          <w:p>
            <w:pPr>
              <w:jc w:val="center"/>
              <w:rPr>
                <w:b/>
                <w:bCs/>
                <w:szCs w:val="21"/>
                <w:u w:val="single"/>
              </w:rPr>
            </w:pPr>
            <w:r>
              <w:rPr>
                <w:b/>
                <w:bCs/>
                <w:szCs w:val="21"/>
                <w:u w:val="single"/>
              </w:rPr>
              <w:t>6月</w:t>
            </w:r>
          </w:p>
        </w:tc>
        <w:tc>
          <w:tcPr>
            <w:tcW w:w="924" w:type="dxa"/>
            <w:noWrap/>
            <w:vAlign w:val="center"/>
          </w:tcPr>
          <w:p>
            <w:pPr>
              <w:jc w:val="center"/>
              <w:rPr>
                <w:b/>
                <w:bCs/>
                <w:szCs w:val="21"/>
                <w:u w:val="single"/>
              </w:rPr>
            </w:pPr>
            <w:r>
              <w:rPr>
                <w:b/>
                <w:bCs/>
                <w:szCs w:val="21"/>
                <w:u w:val="single"/>
              </w:rPr>
              <w:t>19</w:t>
            </w:r>
          </w:p>
        </w:tc>
        <w:tc>
          <w:tcPr>
            <w:tcW w:w="868" w:type="dxa"/>
            <w:noWrap/>
            <w:vAlign w:val="center"/>
          </w:tcPr>
          <w:p>
            <w:pPr>
              <w:jc w:val="center"/>
              <w:rPr>
                <w:b/>
                <w:bCs/>
                <w:szCs w:val="21"/>
                <w:u w:val="single"/>
              </w:rPr>
            </w:pPr>
            <w:r>
              <w:rPr>
                <w:b/>
                <w:bCs/>
                <w:szCs w:val="21"/>
                <w:u w:val="single"/>
              </w:rPr>
              <w:t>0.22</w:t>
            </w:r>
          </w:p>
        </w:tc>
        <w:tc>
          <w:tcPr>
            <w:tcW w:w="826" w:type="dxa"/>
            <w:noWrap/>
            <w:vAlign w:val="center"/>
          </w:tcPr>
          <w:p>
            <w:pPr>
              <w:jc w:val="center"/>
              <w:rPr>
                <w:b/>
                <w:bCs/>
                <w:szCs w:val="21"/>
                <w:u w:val="single"/>
              </w:rPr>
            </w:pPr>
            <w:r>
              <w:rPr>
                <w:b/>
                <w:bCs/>
                <w:szCs w:val="21"/>
                <w:u w:val="single"/>
              </w:rPr>
              <w:t>0.30</w:t>
            </w:r>
          </w:p>
        </w:tc>
        <w:tc>
          <w:tcPr>
            <w:tcW w:w="1274" w:type="dxa"/>
            <w:noWrap/>
            <w:vAlign w:val="center"/>
          </w:tcPr>
          <w:p>
            <w:pPr>
              <w:jc w:val="center"/>
              <w:rPr>
                <w:b/>
                <w:bCs/>
                <w:szCs w:val="21"/>
                <w:u w:val="single"/>
              </w:rPr>
            </w:pPr>
            <w:r>
              <w:rPr>
                <w:b/>
                <w:bCs/>
                <w:szCs w:val="21"/>
                <w:u w:val="single"/>
              </w:rPr>
              <w:t>达标</w:t>
            </w:r>
          </w:p>
        </w:tc>
        <w:tc>
          <w:tcPr>
            <w:tcW w:w="3700" w:type="dxa"/>
            <w:noWrap/>
            <w:vAlign w:val="center"/>
          </w:tcPr>
          <w:p>
            <w:pPr>
              <w:jc w:val="center"/>
              <w:rPr>
                <w:b/>
                <w:bCs/>
                <w:szCs w:val="21"/>
                <w:u w:val="single"/>
              </w:rPr>
            </w:pPr>
            <w:r>
              <w:rPr>
                <w:b/>
                <w:bCs/>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dxa"/>
            <w:vMerge w:val="continue"/>
            <w:noWrap/>
            <w:vAlign w:val="center"/>
          </w:tcPr>
          <w:p>
            <w:pPr>
              <w:jc w:val="center"/>
              <w:rPr>
                <w:b/>
                <w:bCs/>
                <w:szCs w:val="21"/>
                <w:u w:val="single"/>
              </w:rPr>
            </w:pPr>
          </w:p>
        </w:tc>
        <w:tc>
          <w:tcPr>
            <w:tcW w:w="686" w:type="dxa"/>
            <w:noWrap/>
            <w:vAlign w:val="center"/>
          </w:tcPr>
          <w:p>
            <w:pPr>
              <w:jc w:val="center"/>
              <w:rPr>
                <w:b/>
                <w:bCs/>
                <w:szCs w:val="21"/>
                <w:u w:val="single"/>
              </w:rPr>
            </w:pPr>
            <w:r>
              <w:rPr>
                <w:b/>
                <w:bCs/>
                <w:szCs w:val="21"/>
                <w:u w:val="single"/>
              </w:rPr>
              <w:t>7月</w:t>
            </w:r>
          </w:p>
        </w:tc>
        <w:tc>
          <w:tcPr>
            <w:tcW w:w="924" w:type="dxa"/>
            <w:noWrap/>
            <w:vAlign w:val="center"/>
          </w:tcPr>
          <w:p>
            <w:pPr>
              <w:jc w:val="center"/>
              <w:rPr>
                <w:b/>
                <w:bCs/>
                <w:szCs w:val="21"/>
                <w:u w:val="single"/>
              </w:rPr>
            </w:pPr>
            <w:r>
              <w:rPr>
                <w:b/>
                <w:bCs/>
                <w:szCs w:val="21"/>
                <w:u w:val="single"/>
              </w:rPr>
              <w:t>17</w:t>
            </w:r>
          </w:p>
        </w:tc>
        <w:tc>
          <w:tcPr>
            <w:tcW w:w="868" w:type="dxa"/>
            <w:noWrap/>
            <w:vAlign w:val="center"/>
          </w:tcPr>
          <w:p>
            <w:pPr>
              <w:jc w:val="center"/>
              <w:rPr>
                <w:b/>
                <w:bCs/>
                <w:szCs w:val="21"/>
                <w:u w:val="single"/>
              </w:rPr>
            </w:pPr>
            <w:r>
              <w:rPr>
                <w:b/>
                <w:bCs/>
                <w:szCs w:val="21"/>
                <w:u w:val="single"/>
              </w:rPr>
              <w:t>0.10</w:t>
            </w:r>
          </w:p>
        </w:tc>
        <w:tc>
          <w:tcPr>
            <w:tcW w:w="826" w:type="dxa"/>
            <w:noWrap/>
            <w:vAlign w:val="center"/>
          </w:tcPr>
          <w:p>
            <w:pPr>
              <w:jc w:val="center"/>
              <w:rPr>
                <w:b/>
                <w:bCs/>
                <w:szCs w:val="21"/>
                <w:u w:val="single"/>
              </w:rPr>
            </w:pPr>
            <w:r>
              <w:rPr>
                <w:b/>
                <w:bCs/>
                <w:szCs w:val="21"/>
                <w:u w:val="single"/>
              </w:rPr>
              <w:t>0.51</w:t>
            </w:r>
          </w:p>
        </w:tc>
        <w:tc>
          <w:tcPr>
            <w:tcW w:w="1274" w:type="dxa"/>
            <w:noWrap/>
            <w:vAlign w:val="center"/>
          </w:tcPr>
          <w:p>
            <w:pPr>
              <w:jc w:val="center"/>
              <w:rPr>
                <w:b/>
                <w:bCs/>
                <w:szCs w:val="21"/>
                <w:u w:val="single"/>
              </w:rPr>
            </w:pPr>
            <w:r>
              <w:rPr>
                <w:b/>
                <w:bCs/>
                <w:szCs w:val="21"/>
                <w:u w:val="single"/>
              </w:rPr>
              <w:t>不达标</w:t>
            </w:r>
          </w:p>
        </w:tc>
        <w:tc>
          <w:tcPr>
            <w:tcW w:w="3700" w:type="dxa"/>
            <w:noWrap/>
            <w:vAlign w:val="center"/>
          </w:tcPr>
          <w:p>
            <w:pPr>
              <w:jc w:val="center"/>
              <w:rPr>
                <w:b/>
                <w:bCs/>
                <w:szCs w:val="21"/>
                <w:u w:val="single"/>
              </w:rPr>
            </w:pPr>
            <w:r>
              <w:rPr>
                <w:b/>
                <w:bCs/>
                <w:szCs w:val="21"/>
                <w:u w:val="single"/>
              </w:rPr>
              <w:t>总磷（0.70）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dxa"/>
            <w:vMerge w:val="continue"/>
            <w:noWrap/>
            <w:vAlign w:val="center"/>
          </w:tcPr>
          <w:p>
            <w:pPr>
              <w:jc w:val="center"/>
              <w:rPr>
                <w:b/>
                <w:bCs/>
                <w:szCs w:val="21"/>
                <w:u w:val="single"/>
              </w:rPr>
            </w:pPr>
          </w:p>
        </w:tc>
        <w:tc>
          <w:tcPr>
            <w:tcW w:w="686" w:type="dxa"/>
            <w:noWrap/>
            <w:vAlign w:val="center"/>
          </w:tcPr>
          <w:p>
            <w:pPr>
              <w:jc w:val="center"/>
              <w:rPr>
                <w:b/>
                <w:bCs/>
                <w:szCs w:val="21"/>
                <w:u w:val="single"/>
              </w:rPr>
            </w:pPr>
            <w:r>
              <w:rPr>
                <w:b/>
                <w:bCs/>
                <w:szCs w:val="21"/>
                <w:u w:val="single"/>
              </w:rPr>
              <w:t>9月</w:t>
            </w:r>
          </w:p>
        </w:tc>
        <w:tc>
          <w:tcPr>
            <w:tcW w:w="924" w:type="dxa"/>
            <w:noWrap/>
            <w:vAlign w:val="center"/>
          </w:tcPr>
          <w:p>
            <w:pPr>
              <w:jc w:val="center"/>
              <w:rPr>
                <w:b/>
                <w:bCs/>
                <w:szCs w:val="21"/>
                <w:u w:val="single"/>
              </w:rPr>
            </w:pPr>
            <w:r>
              <w:rPr>
                <w:b/>
                <w:bCs/>
                <w:szCs w:val="21"/>
                <w:u w:val="single"/>
              </w:rPr>
              <w:t>18</w:t>
            </w:r>
          </w:p>
        </w:tc>
        <w:tc>
          <w:tcPr>
            <w:tcW w:w="868" w:type="dxa"/>
            <w:noWrap/>
            <w:vAlign w:val="center"/>
          </w:tcPr>
          <w:p>
            <w:pPr>
              <w:jc w:val="center"/>
              <w:rPr>
                <w:b/>
                <w:bCs/>
                <w:szCs w:val="21"/>
                <w:u w:val="single"/>
              </w:rPr>
            </w:pPr>
            <w:r>
              <w:rPr>
                <w:b/>
                <w:bCs/>
                <w:szCs w:val="21"/>
                <w:u w:val="single"/>
              </w:rPr>
              <w:t>0.07</w:t>
            </w:r>
          </w:p>
        </w:tc>
        <w:tc>
          <w:tcPr>
            <w:tcW w:w="826" w:type="dxa"/>
            <w:noWrap/>
            <w:vAlign w:val="center"/>
          </w:tcPr>
          <w:p>
            <w:pPr>
              <w:jc w:val="center"/>
              <w:rPr>
                <w:b/>
                <w:bCs/>
                <w:szCs w:val="21"/>
                <w:u w:val="single"/>
              </w:rPr>
            </w:pPr>
            <w:r>
              <w:rPr>
                <w:b/>
                <w:bCs/>
                <w:szCs w:val="21"/>
                <w:u w:val="single"/>
              </w:rPr>
              <w:t>0.30</w:t>
            </w:r>
          </w:p>
        </w:tc>
        <w:tc>
          <w:tcPr>
            <w:tcW w:w="1274" w:type="dxa"/>
            <w:noWrap/>
            <w:vAlign w:val="center"/>
          </w:tcPr>
          <w:p>
            <w:pPr>
              <w:jc w:val="center"/>
              <w:rPr>
                <w:b/>
                <w:bCs/>
                <w:szCs w:val="21"/>
                <w:u w:val="single"/>
              </w:rPr>
            </w:pPr>
            <w:r>
              <w:rPr>
                <w:b/>
                <w:bCs/>
                <w:szCs w:val="21"/>
                <w:u w:val="single"/>
              </w:rPr>
              <w:t>达标</w:t>
            </w:r>
          </w:p>
        </w:tc>
        <w:tc>
          <w:tcPr>
            <w:tcW w:w="3700" w:type="dxa"/>
            <w:noWrap/>
            <w:vAlign w:val="center"/>
          </w:tcPr>
          <w:p>
            <w:pPr>
              <w:jc w:val="center"/>
              <w:rPr>
                <w:b/>
                <w:bCs/>
                <w:szCs w:val="21"/>
                <w:u w:val="single"/>
              </w:rPr>
            </w:pPr>
            <w:r>
              <w:rPr>
                <w:b/>
                <w:bCs/>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dxa"/>
            <w:vMerge w:val="continue"/>
            <w:noWrap/>
            <w:vAlign w:val="center"/>
          </w:tcPr>
          <w:p>
            <w:pPr>
              <w:jc w:val="center"/>
              <w:rPr>
                <w:b/>
                <w:bCs/>
                <w:szCs w:val="21"/>
                <w:u w:val="single"/>
              </w:rPr>
            </w:pPr>
          </w:p>
        </w:tc>
        <w:tc>
          <w:tcPr>
            <w:tcW w:w="686" w:type="dxa"/>
            <w:noWrap/>
            <w:vAlign w:val="center"/>
          </w:tcPr>
          <w:p>
            <w:pPr>
              <w:jc w:val="center"/>
              <w:rPr>
                <w:b/>
                <w:bCs/>
                <w:szCs w:val="21"/>
                <w:u w:val="single"/>
              </w:rPr>
            </w:pPr>
            <w:r>
              <w:rPr>
                <w:b/>
                <w:bCs/>
                <w:szCs w:val="21"/>
                <w:u w:val="single"/>
              </w:rPr>
              <w:t>10月</w:t>
            </w:r>
          </w:p>
        </w:tc>
        <w:tc>
          <w:tcPr>
            <w:tcW w:w="924" w:type="dxa"/>
            <w:noWrap/>
            <w:vAlign w:val="center"/>
          </w:tcPr>
          <w:p>
            <w:pPr>
              <w:jc w:val="center"/>
              <w:rPr>
                <w:b/>
                <w:bCs/>
                <w:szCs w:val="21"/>
                <w:u w:val="single"/>
              </w:rPr>
            </w:pPr>
            <w:r>
              <w:rPr>
                <w:b/>
                <w:bCs/>
                <w:szCs w:val="21"/>
                <w:u w:val="single"/>
              </w:rPr>
              <w:t>13.0</w:t>
            </w:r>
          </w:p>
        </w:tc>
        <w:tc>
          <w:tcPr>
            <w:tcW w:w="868" w:type="dxa"/>
            <w:noWrap/>
            <w:vAlign w:val="center"/>
          </w:tcPr>
          <w:p>
            <w:pPr>
              <w:jc w:val="center"/>
              <w:rPr>
                <w:b/>
                <w:bCs/>
                <w:szCs w:val="21"/>
                <w:u w:val="single"/>
              </w:rPr>
            </w:pPr>
            <w:r>
              <w:rPr>
                <w:b/>
                <w:bCs/>
                <w:szCs w:val="21"/>
                <w:u w:val="single"/>
              </w:rPr>
              <w:t>0.11</w:t>
            </w:r>
          </w:p>
        </w:tc>
        <w:tc>
          <w:tcPr>
            <w:tcW w:w="826" w:type="dxa"/>
            <w:noWrap/>
            <w:vAlign w:val="center"/>
          </w:tcPr>
          <w:p>
            <w:pPr>
              <w:jc w:val="center"/>
              <w:rPr>
                <w:b/>
                <w:bCs/>
                <w:szCs w:val="21"/>
                <w:u w:val="single"/>
              </w:rPr>
            </w:pPr>
            <w:r>
              <w:rPr>
                <w:b/>
                <w:bCs/>
                <w:szCs w:val="21"/>
                <w:u w:val="single"/>
              </w:rPr>
              <w:t>0.250</w:t>
            </w:r>
          </w:p>
        </w:tc>
        <w:tc>
          <w:tcPr>
            <w:tcW w:w="1274" w:type="dxa"/>
            <w:noWrap/>
            <w:vAlign w:val="center"/>
          </w:tcPr>
          <w:p>
            <w:pPr>
              <w:jc w:val="center"/>
              <w:rPr>
                <w:b/>
                <w:bCs/>
                <w:szCs w:val="21"/>
                <w:u w:val="single"/>
              </w:rPr>
            </w:pPr>
            <w:r>
              <w:rPr>
                <w:b/>
                <w:bCs/>
                <w:szCs w:val="21"/>
                <w:u w:val="single"/>
              </w:rPr>
              <w:t>达标</w:t>
            </w:r>
          </w:p>
        </w:tc>
        <w:tc>
          <w:tcPr>
            <w:tcW w:w="3700" w:type="dxa"/>
            <w:noWrap/>
            <w:vAlign w:val="center"/>
          </w:tcPr>
          <w:p>
            <w:pPr>
              <w:jc w:val="center"/>
              <w:rPr>
                <w:b/>
                <w:bCs/>
                <w:szCs w:val="21"/>
                <w:u w:val="single"/>
              </w:rPr>
            </w:pPr>
            <w:r>
              <w:rPr>
                <w:b/>
                <w:bCs/>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dxa"/>
            <w:vMerge w:val="continue"/>
            <w:noWrap/>
            <w:vAlign w:val="center"/>
          </w:tcPr>
          <w:p>
            <w:pPr>
              <w:jc w:val="center"/>
              <w:rPr>
                <w:b/>
                <w:bCs/>
                <w:szCs w:val="21"/>
                <w:u w:val="single"/>
              </w:rPr>
            </w:pPr>
          </w:p>
        </w:tc>
        <w:tc>
          <w:tcPr>
            <w:tcW w:w="686" w:type="dxa"/>
            <w:noWrap/>
            <w:vAlign w:val="center"/>
          </w:tcPr>
          <w:p>
            <w:pPr>
              <w:jc w:val="center"/>
              <w:rPr>
                <w:b/>
                <w:bCs/>
                <w:szCs w:val="21"/>
                <w:u w:val="single"/>
              </w:rPr>
            </w:pPr>
            <w:r>
              <w:rPr>
                <w:b/>
                <w:bCs/>
                <w:szCs w:val="21"/>
                <w:u w:val="single"/>
              </w:rPr>
              <w:t>11月</w:t>
            </w:r>
          </w:p>
        </w:tc>
        <w:tc>
          <w:tcPr>
            <w:tcW w:w="924" w:type="dxa"/>
            <w:noWrap/>
            <w:vAlign w:val="center"/>
          </w:tcPr>
          <w:p>
            <w:pPr>
              <w:jc w:val="center"/>
              <w:rPr>
                <w:b/>
                <w:bCs/>
                <w:szCs w:val="21"/>
                <w:u w:val="single"/>
              </w:rPr>
            </w:pPr>
            <w:r>
              <w:rPr>
                <w:b/>
                <w:bCs/>
                <w:szCs w:val="21"/>
                <w:u w:val="single"/>
              </w:rPr>
              <w:t>11</w:t>
            </w:r>
          </w:p>
        </w:tc>
        <w:tc>
          <w:tcPr>
            <w:tcW w:w="868" w:type="dxa"/>
            <w:noWrap/>
            <w:vAlign w:val="center"/>
          </w:tcPr>
          <w:p>
            <w:pPr>
              <w:jc w:val="center"/>
              <w:rPr>
                <w:b/>
                <w:bCs/>
                <w:szCs w:val="21"/>
                <w:u w:val="single"/>
              </w:rPr>
            </w:pPr>
            <w:r>
              <w:rPr>
                <w:b/>
                <w:bCs/>
                <w:szCs w:val="21"/>
                <w:u w:val="single"/>
              </w:rPr>
              <w:t>0.21</w:t>
            </w:r>
          </w:p>
        </w:tc>
        <w:tc>
          <w:tcPr>
            <w:tcW w:w="826" w:type="dxa"/>
            <w:noWrap/>
            <w:vAlign w:val="center"/>
          </w:tcPr>
          <w:p>
            <w:pPr>
              <w:jc w:val="center"/>
              <w:rPr>
                <w:b/>
                <w:bCs/>
                <w:szCs w:val="21"/>
                <w:u w:val="single"/>
              </w:rPr>
            </w:pPr>
            <w:r>
              <w:rPr>
                <w:b/>
                <w:bCs/>
                <w:szCs w:val="21"/>
                <w:u w:val="single"/>
              </w:rPr>
              <w:t>0.12</w:t>
            </w:r>
          </w:p>
        </w:tc>
        <w:tc>
          <w:tcPr>
            <w:tcW w:w="1274" w:type="dxa"/>
            <w:noWrap/>
            <w:vAlign w:val="center"/>
          </w:tcPr>
          <w:p>
            <w:pPr>
              <w:jc w:val="center"/>
              <w:rPr>
                <w:b/>
                <w:bCs/>
                <w:szCs w:val="21"/>
                <w:u w:val="single"/>
              </w:rPr>
            </w:pPr>
            <w:r>
              <w:rPr>
                <w:b/>
                <w:bCs/>
                <w:szCs w:val="21"/>
                <w:u w:val="single"/>
              </w:rPr>
              <w:t>达标</w:t>
            </w:r>
          </w:p>
        </w:tc>
        <w:tc>
          <w:tcPr>
            <w:tcW w:w="3700" w:type="dxa"/>
            <w:noWrap/>
            <w:vAlign w:val="center"/>
          </w:tcPr>
          <w:p>
            <w:pPr>
              <w:jc w:val="center"/>
              <w:rPr>
                <w:b/>
                <w:bCs/>
                <w:szCs w:val="21"/>
                <w:u w:val="single"/>
              </w:rPr>
            </w:pPr>
            <w:r>
              <w:rPr>
                <w:b/>
                <w:bCs/>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dxa"/>
            <w:vMerge w:val="continue"/>
            <w:noWrap/>
            <w:vAlign w:val="center"/>
          </w:tcPr>
          <w:p>
            <w:pPr>
              <w:jc w:val="center"/>
              <w:rPr>
                <w:b/>
                <w:bCs/>
                <w:szCs w:val="21"/>
                <w:u w:val="single"/>
              </w:rPr>
            </w:pPr>
          </w:p>
        </w:tc>
        <w:tc>
          <w:tcPr>
            <w:tcW w:w="686" w:type="dxa"/>
            <w:noWrap/>
            <w:vAlign w:val="center"/>
          </w:tcPr>
          <w:p>
            <w:pPr>
              <w:jc w:val="center"/>
              <w:rPr>
                <w:b/>
                <w:bCs/>
                <w:szCs w:val="21"/>
                <w:u w:val="single"/>
              </w:rPr>
            </w:pPr>
            <w:r>
              <w:rPr>
                <w:b/>
                <w:bCs/>
                <w:szCs w:val="21"/>
                <w:u w:val="single"/>
              </w:rPr>
              <w:t>12月</w:t>
            </w:r>
          </w:p>
        </w:tc>
        <w:tc>
          <w:tcPr>
            <w:tcW w:w="924" w:type="dxa"/>
            <w:noWrap/>
            <w:vAlign w:val="center"/>
          </w:tcPr>
          <w:p>
            <w:pPr>
              <w:jc w:val="center"/>
              <w:rPr>
                <w:b/>
                <w:bCs/>
                <w:szCs w:val="21"/>
                <w:u w:val="single"/>
              </w:rPr>
            </w:pPr>
            <w:r>
              <w:rPr>
                <w:b/>
                <w:bCs/>
                <w:szCs w:val="21"/>
                <w:u w:val="single"/>
              </w:rPr>
              <w:t>14</w:t>
            </w:r>
          </w:p>
        </w:tc>
        <w:tc>
          <w:tcPr>
            <w:tcW w:w="868" w:type="dxa"/>
            <w:noWrap/>
            <w:vAlign w:val="center"/>
          </w:tcPr>
          <w:p>
            <w:pPr>
              <w:jc w:val="center"/>
              <w:rPr>
                <w:b/>
                <w:bCs/>
                <w:szCs w:val="21"/>
                <w:u w:val="single"/>
              </w:rPr>
            </w:pPr>
            <w:r>
              <w:rPr>
                <w:b/>
                <w:bCs/>
                <w:szCs w:val="21"/>
                <w:u w:val="single"/>
              </w:rPr>
              <w:t>1.26</w:t>
            </w:r>
          </w:p>
        </w:tc>
        <w:tc>
          <w:tcPr>
            <w:tcW w:w="826" w:type="dxa"/>
            <w:noWrap/>
            <w:vAlign w:val="center"/>
          </w:tcPr>
          <w:p>
            <w:pPr>
              <w:jc w:val="center"/>
              <w:rPr>
                <w:b/>
                <w:bCs/>
                <w:szCs w:val="21"/>
                <w:u w:val="single"/>
              </w:rPr>
            </w:pPr>
            <w:r>
              <w:rPr>
                <w:b/>
                <w:bCs/>
                <w:szCs w:val="21"/>
                <w:u w:val="single"/>
              </w:rPr>
              <w:t>0.20</w:t>
            </w:r>
          </w:p>
        </w:tc>
        <w:tc>
          <w:tcPr>
            <w:tcW w:w="1274" w:type="dxa"/>
            <w:noWrap/>
            <w:vAlign w:val="center"/>
          </w:tcPr>
          <w:p>
            <w:pPr>
              <w:jc w:val="center"/>
              <w:rPr>
                <w:b/>
                <w:bCs/>
                <w:szCs w:val="21"/>
                <w:u w:val="single"/>
              </w:rPr>
            </w:pPr>
            <w:r>
              <w:rPr>
                <w:b/>
                <w:bCs/>
                <w:szCs w:val="21"/>
                <w:u w:val="single"/>
              </w:rPr>
              <w:t>达标</w:t>
            </w:r>
          </w:p>
        </w:tc>
        <w:tc>
          <w:tcPr>
            <w:tcW w:w="3700" w:type="dxa"/>
            <w:noWrap/>
            <w:vAlign w:val="center"/>
          </w:tcPr>
          <w:p>
            <w:pPr>
              <w:jc w:val="center"/>
              <w:rPr>
                <w:b/>
                <w:bCs/>
                <w:szCs w:val="21"/>
                <w:u w:val="single"/>
              </w:rPr>
            </w:pPr>
            <w:r>
              <w:rPr>
                <w:b/>
                <w:bCs/>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4" w:type="dxa"/>
            <w:gridSpan w:val="2"/>
            <w:noWrap/>
            <w:vAlign w:val="center"/>
          </w:tcPr>
          <w:p>
            <w:pPr>
              <w:jc w:val="center"/>
              <w:rPr>
                <w:b/>
                <w:bCs/>
                <w:szCs w:val="21"/>
                <w:u w:val="single"/>
              </w:rPr>
            </w:pPr>
            <w:r>
              <w:rPr>
                <w:b/>
                <w:bCs/>
                <w:szCs w:val="21"/>
                <w:u w:val="single"/>
              </w:rPr>
              <w:t>目标值</w:t>
            </w:r>
          </w:p>
        </w:tc>
        <w:tc>
          <w:tcPr>
            <w:tcW w:w="924" w:type="dxa"/>
            <w:noWrap/>
            <w:vAlign w:val="center"/>
          </w:tcPr>
          <w:p>
            <w:pPr>
              <w:jc w:val="center"/>
              <w:rPr>
                <w:b/>
                <w:bCs/>
                <w:szCs w:val="21"/>
                <w:u w:val="single"/>
              </w:rPr>
            </w:pPr>
            <w:r>
              <w:rPr>
                <w:b/>
                <w:bCs/>
                <w:szCs w:val="21"/>
                <w:u w:val="single"/>
              </w:rPr>
              <w:t>30</w:t>
            </w:r>
          </w:p>
        </w:tc>
        <w:tc>
          <w:tcPr>
            <w:tcW w:w="868" w:type="dxa"/>
            <w:noWrap/>
            <w:vAlign w:val="center"/>
          </w:tcPr>
          <w:p>
            <w:pPr>
              <w:jc w:val="center"/>
              <w:rPr>
                <w:b/>
                <w:bCs/>
                <w:szCs w:val="21"/>
                <w:u w:val="single"/>
              </w:rPr>
            </w:pPr>
            <w:r>
              <w:rPr>
                <w:b/>
                <w:bCs/>
                <w:szCs w:val="21"/>
                <w:u w:val="single"/>
              </w:rPr>
              <w:t>1.5</w:t>
            </w:r>
          </w:p>
        </w:tc>
        <w:tc>
          <w:tcPr>
            <w:tcW w:w="826" w:type="dxa"/>
            <w:noWrap/>
            <w:vAlign w:val="center"/>
          </w:tcPr>
          <w:p>
            <w:pPr>
              <w:jc w:val="center"/>
              <w:rPr>
                <w:b/>
                <w:bCs/>
                <w:szCs w:val="21"/>
                <w:u w:val="single"/>
              </w:rPr>
            </w:pPr>
            <w:r>
              <w:rPr>
                <w:b/>
                <w:bCs/>
                <w:szCs w:val="21"/>
                <w:u w:val="single"/>
              </w:rPr>
              <w:t>0.3</w:t>
            </w:r>
          </w:p>
        </w:tc>
        <w:tc>
          <w:tcPr>
            <w:tcW w:w="1274" w:type="dxa"/>
            <w:noWrap/>
            <w:vAlign w:val="center"/>
          </w:tcPr>
          <w:p>
            <w:pPr>
              <w:jc w:val="center"/>
              <w:rPr>
                <w:b/>
                <w:bCs/>
                <w:szCs w:val="21"/>
                <w:u w:val="single"/>
              </w:rPr>
            </w:pPr>
            <w:r>
              <w:rPr>
                <w:b/>
                <w:bCs/>
                <w:szCs w:val="21"/>
                <w:u w:val="single"/>
              </w:rPr>
              <w:t>/</w:t>
            </w:r>
          </w:p>
        </w:tc>
        <w:tc>
          <w:tcPr>
            <w:tcW w:w="3700" w:type="dxa"/>
            <w:noWrap/>
            <w:vAlign w:val="center"/>
          </w:tcPr>
          <w:p>
            <w:pPr>
              <w:jc w:val="center"/>
              <w:rPr>
                <w:b/>
                <w:bCs/>
                <w:szCs w:val="21"/>
                <w:u w:val="single"/>
              </w:rPr>
            </w:pPr>
            <w:r>
              <w:rPr>
                <w:b/>
                <w:bCs/>
                <w:szCs w:val="21"/>
                <w:u w:val="single"/>
              </w:rPr>
              <w:t>/</w:t>
            </w:r>
          </w:p>
        </w:tc>
      </w:tr>
    </w:tbl>
    <w:p>
      <w:pPr>
        <w:spacing w:line="520" w:lineRule="exact"/>
        <w:ind w:firstLine="480"/>
        <w:jc w:val="left"/>
        <w:rPr>
          <w:b/>
          <w:bCs/>
          <w:sz w:val="24"/>
          <w:u w:val="single"/>
        </w:rPr>
      </w:pPr>
      <w:r>
        <w:rPr>
          <w:b/>
          <w:bCs/>
          <w:sz w:val="24"/>
          <w:u w:val="single"/>
        </w:rPr>
        <w:t>由小洪河新蔡李桥控制断面2018年1-12月份监控数据来看，小洪河水质2-4月份、7月份水质不能够满足监控目标值要求。其超标原因主要是由于小洪河沿河接纳了大量的污水造成的。</w:t>
      </w:r>
    </w:p>
    <w:p>
      <w:pPr>
        <w:spacing w:line="520" w:lineRule="exact"/>
        <w:ind w:firstLine="482" w:firstLineChars="200"/>
        <w:rPr>
          <w:b/>
          <w:bCs/>
          <w:sz w:val="24"/>
          <w:u w:val="single"/>
        </w:rPr>
      </w:pPr>
      <w:r>
        <w:rPr>
          <w:b/>
          <w:bCs/>
          <w:sz w:val="24"/>
          <w:u w:val="single"/>
        </w:rPr>
        <w:t>为了进一步解决小洪河水质超标问题，平舆县人民政府于2016年3月25日发布了《平舆县碧水工程行动计划（水污染防治工作方案）》，方案指出到2020年，全线水环境质量得到阶段性改善。辖区内河流水质优良(达到或优于</w:t>
      </w:r>
      <w:r>
        <w:rPr>
          <w:rFonts w:hint="eastAsia" w:ascii="宋体" w:hAnsi="宋体" w:cs="宋体"/>
          <w:b/>
          <w:bCs/>
          <w:sz w:val="24"/>
          <w:u w:val="single"/>
        </w:rPr>
        <w:t>Ⅲ</w:t>
      </w:r>
      <w:r>
        <w:rPr>
          <w:b/>
          <w:bCs/>
          <w:sz w:val="24"/>
          <w:u w:val="single"/>
        </w:rPr>
        <w:t>类，下同)比例总体达到60%以上，污染严重水体较大幅度减少。到2030 年，力争全县水环境质量总体改善，水生态系统功能初步恢复。河流水质优良比例总体达到70%以上，丧失使用功能的水体基本消除，中心城区黑臭水体总体得到消除，研究建立流域水生态环境功能分区管理体系。对化学需氧量、氨氮、总氮、总磷、重金属及其他影响人体健康的主要污染物采取针对性措施，加大整治力度。2016 年完成辖区内总磷排放源调查及整治工作。到2020 年，辖区内河流水质进一步改善。小洪河属于淮河流域，在监测断面水质目标要求是2016 年至2018 年要求达到地表水</w:t>
      </w:r>
      <w:r>
        <w:rPr>
          <w:rFonts w:hint="eastAsia" w:ascii="宋体" w:hAnsi="宋体" w:cs="宋体"/>
          <w:b/>
          <w:bCs/>
          <w:sz w:val="24"/>
          <w:u w:val="single"/>
        </w:rPr>
        <w:t>Ⅳ</w:t>
      </w:r>
      <w:r>
        <w:rPr>
          <w:b/>
          <w:bCs/>
          <w:sz w:val="24"/>
          <w:u w:val="single"/>
        </w:rPr>
        <w:t>类标准，到2019 年要求达到地表水</w:t>
      </w:r>
      <w:r>
        <w:rPr>
          <w:rFonts w:hint="eastAsia" w:ascii="宋体" w:hAnsi="宋体" w:cs="宋体"/>
          <w:b/>
          <w:bCs/>
          <w:sz w:val="24"/>
          <w:u w:val="single"/>
        </w:rPr>
        <w:t>Ⅲ</w:t>
      </w:r>
      <w:r>
        <w:rPr>
          <w:b/>
          <w:bCs/>
          <w:sz w:val="24"/>
          <w:u w:val="single"/>
        </w:rPr>
        <w:t>类标准。</w:t>
      </w:r>
    </w:p>
    <w:bookmarkEnd w:id="212"/>
    <w:bookmarkEnd w:id="213"/>
    <w:p>
      <w:pPr>
        <w:pStyle w:val="5"/>
        <w:spacing w:before="0" w:after="0" w:line="520" w:lineRule="exact"/>
        <w:rPr>
          <w:rFonts w:eastAsia="黑体"/>
          <w:b w:val="0"/>
          <w:bCs w:val="0"/>
          <w:color w:val="000000" w:themeColor="text1"/>
          <w:sz w:val="24"/>
          <w:szCs w:val="24"/>
        </w:rPr>
      </w:pPr>
      <w:bookmarkStart w:id="216" w:name="_Toc468366614"/>
      <w:bookmarkStart w:id="217" w:name="_Toc413829638"/>
      <w:bookmarkStart w:id="218" w:name="_Toc406663005"/>
      <w:r>
        <w:rPr>
          <w:rFonts w:eastAsia="黑体"/>
          <w:b w:val="0"/>
          <w:bCs w:val="0"/>
          <w:color w:val="000000" w:themeColor="text1"/>
          <w:sz w:val="24"/>
          <w:szCs w:val="24"/>
        </w:rPr>
        <w:t>3.3.3地下水质量现状监测与评价</w:t>
      </w:r>
      <w:bookmarkEnd w:id="216"/>
      <w:bookmarkEnd w:id="217"/>
      <w:bookmarkEnd w:id="218"/>
    </w:p>
    <w:p>
      <w:pPr>
        <w:spacing w:line="500" w:lineRule="exact"/>
        <w:rPr>
          <w:color w:val="000000" w:themeColor="text1"/>
          <w:sz w:val="24"/>
        </w:rPr>
      </w:pPr>
      <w:bookmarkStart w:id="219" w:name="_Toc413829639"/>
      <w:bookmarkStart w:id="220" w:name="_Toc406663006"/>
      <w:r>
        <w:rPr>
          <w:color w:val="000000" w:themeColor="text1"/>
          <w:sz w:val="24"/>
        </w:rPr>
        <w:t>3.3.3.1监测断面的设置</w:t>
      </w:r>
      <w:bookmarkEnd w:id="219"/>
      <w:bookmarkEnd w:id="220"/>
    </w:p>
    <w:p>
      <w:pPr>
        <w:topLinePunct/>
        <w:autoSpaceDE w:val="0"/>
        <w:adjustRightInd w:val="0"/>
        <w:spacing w:line="520" w:lineRule="exact"/>
        <w:ind w:firstLine="487" w:firstLineChars="202"/>
        <w:jc w:val="left"/>
        <w:rPr>
          <w:b/>
          <w:bCs/>
          <w:kern w:val="0"/>
          <w:sz w:val="24"/>
          <w:u w:val="single"/>
        </w:rPr>
      </w:pPr>
      <w:r>
        <w:rPr>
          <w:b/>
          <w:bCs/>
          <w:kern w:val="0"/>
          <w:sz w:val="24"/>
          <w:u w:val="single"/>
        </w:rPr>
        <w:t>评价区内地下水主要为浅层地下水。依据工程污染特征、地下水走向、项目区周围敏感点分布情况、沼液消纳地分布情况，本次评价对地下水监测共布设2个监测点，地下水监测布点设置见表3</w:t>
      </w:r>
      <w:r>
        <w:rPr>
          <w:rFonts w:hint="eastAsia"/>
          <w:b/>
          <w:bCs/>
          <w:kern w:val="0"/>
          <w:sz w:val="24"/>
          <w:u w:val="single"/>
        </w:rPr>
        <w:t>.3-12</w:t>
      </w:r>
      <w:r>
        <w:rPr>
          <w:b/>
          <w:bCs/>
          <w:kern w:val="0"/>
          <w:sz w:val="24"/>
          <w:u w:val="single"/>
        </w:rPr>
        <w:t>和附图2。</w:t>
      </w:r>
    </w:p>
    <w:p>
      <w:pPr>
        <w:topLinePunct/>
        <w:autoSpaceDE w:val="0"/>
        <w:spacing w:beforeLines="50"/>
        <w:ind w:firstLine="484" w:firstLineChars="201"/>
        <w:jc w:val="center"/>
        <w:rPr>
          <w:b/>
          <w:bCs/>
          <w:kern w:val="0"/>
          <w:szCs w:val="21"/>
          <w:u w:val="single"/>
        </w:rPr>
      </w:pPr>
      <w:r>
        <w:rPr>
          <w:b/>
          <w:bCs/>
          <w:color w:val="000000" w:themeColor="text1"/>
          <w:sz w:val="24"/>
          <w:u w:val="single"/>
        </w:rPr>
        <w:t>表3</w:t>
      </w:r>
      <w:bookmarkStart w:id="221" w:name="_Toc413829640"/>
      <w:bookmarkStart w:id="222" w:name="_Toc406663007"/>
      <w:r>
        <w:rPr>
          <w:rFonts w:hint="eastAsia"/>
          <w:b/>
          <w:bCs/>
          <w:color w:val="000000" w:themeColor="text1"/>
          <w:sz w:val="24"/>
          <w:u w:val="single"/>
        </w:rPr>
        <w:t xml:space="preserve">.9-12  </w:t>
      </w:r>
      <w:r>
        <w:rPr>
          <w:b/>
          <w:bCs/>
          <w:kern w:val="0"/>
          <w:szCs w:val="21"/>
          <w:u w:val="single"/>
        </w:rPr>
        <w:t>地下水现状监测点位布设一览表</w:t>
      </w:r>
    </w:p>
    <w:p>
      <w:pPr>
        <w:pStyle w:val="2"/>
        <w:ind w:firstLine="402"/>
        <w:rPr>
          <w:b/>
          <w:bCs/>
          <w:kern w:val="0"/>
          <w:szCs w:val="21"/>
          <w:u w:val="single"/>
        </w:rPr>
      </w:pPr>
    </w:p>
    <w:tbl>
      <w:tblPr>
        <w:tblStyle w:val="44"/>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932"/>
        <w:gridCol w:w="2004"/>
        <w:gridCol w:w="1596"/>
        <w:gridCol w:w="25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818" w:type="dxa"/>
            <w:noWrap/>
            <w:vAlign w:val="center"/>
          </w:tcPr>
          <w:p>
            <w:pPr>
              <w:topLinePunct/>
              <w:jc w:val="center"/>
              <w:rPr>
                <w:b/>
                <w:bCs/>
                <w:szCs w:val="21"/>
                <w:u w:val="single"/>
              </w:rPr>
            </w:pPr>
            <w:r>
              <w:rPr>
                <w:b/>
                <w:bCs/>
                <w:szCs w:val="21"/>
                <w:u w:val="single"/>
              </w:rPr>
              <w:t>序号</w:t>
            </w:r>
          </w:p>
        </w:tc>
        <w:tc>
          <w:tcPr>
            <w:tcW w:w="1932" w:type="dxa"/>
            <w:noWrap/>
            <w:vAlign w:val="center"/>
          </w:tcPr>
          <w:p>
            <w:pPr>
              <w:topLinePunct/>
              <w:jc w:val="center"/>
              <w:rPr>
                <w:b/>
                <w:bCs/>
                <w:szCs w:val="21"/>
                <w:u w:val="single"/>
              </w:rPr>
            </w:pPr>
            <w:r>
              <w:rPr>
                <w:b/>
                <w:bCs/>
                <w:szCs w:val="21"/>
                <w:u w:val="single"/>
              </w:rPr>
              <w:t>监测点名称</w:t>
            </w:r>
          </w:p>
        </w:tc>
        <w:tc>
          <w:tcPr>
            <w:tcW w:w="2004" w:type="dxa"/>
            <w:noWrap/>
            <w:vAlign w:val="center"/>
          </w:tcPr>
          <w:p>
            <w:pPr>
              <w:topLinePunct/>
              <w:jc w:val="center"/>
              <w:rPr>
                <w:b/>
                <w:bCs/>
                <w:szCs w:val="21"/>
                <w:u w:val="single"/>
              </w:rPr>
            </w:pPr>
            <w:r>
              <w:rPr>
                <w:b/>
                <w:bCs/>
                <w:szCs w:val="21"/>
                <w:u w:val="single"/>
              </w:rPr>
              <w:t>距场区方位及距离</w:t>
            </w:r>
          </w:p>
        </w:tc>
        <w:tc>
          <w:tcPr>
            <w:tcW w:w="1596" w:type="dxa"/>
            <w:noWrap/>
            <w:vAlign w:val="center"/>
          </w:tcPr>
          <w:p>
            <w:pPr>
              <w:topLinePunct/>
              <w:jc w:val="center"/>
              <w:rPr>
                <w:b/>
                <w:bCs/>
                <w:szCs w:val="21"/>
                <w:u w:val="single"/>
              </w:rPr>
            </w:pPr>
            <w:r>
              <w:rPr>
                <w:b/>
                <w:bCs/>
                <w:szCs w:val="21"/>
                <w:u w:val="single"/>
              </w:rPr>
              <w:t>相对位置</w:t>
            </w:r>
          </w:p>
        </w:tc>
        <w:tc>
          <w:tcPr>
            <w:tcW w:w="2596" w:type="dxa"/>
            <w:noWrap/>
            <w:vAlign w:val="center"/>
          </w:tcPr>
          <w:p>
            <w:pPr>
              <w:topLinePunct/>
              <w:jc w:val="center"/>
              <w:rPr>
                <w:b/>
                <w:bCs/>
                <w:szCs w:val="21"/>
                <w:u w:val="single"/>
              </w:rPr>
            </w:pPr>
            <w:r>
              <w:rPr>
                <w:b/>
                <w:bCs/>
                <w:szCs w:val="21"/>
                <w:u w:val="single"/>
              </w:rPr>
              <w:t>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18" w:type="dxa"/>
            <w:noWrap/>
            <w:vAlign w:val="center"/>
          </w:tcPr>
          <w:p>
            <w:pPr>
              <w:topLinePunct/>
              <w:jc w:val="center"/>
              <w:rPr>
                <w:b/>
                <w:bCs/>
                <w:szCs w:val="21"/>
                <w:u w:val="single"/>
              </w:rPr>
            </w:pPr>
            <w:r>
              <w:rPr>
                <w:b/>
                <w:bCs/>
                <w:szCs w:val="21"/>
                <w:u w:val="single"/>
              </w:rPr>
              <w:t>1</w:t>
            </w:r>
          </w:p>
        </w:tc>
        <w:tc>
          <w:tcPr>
            <w:tcW w:w="1932" w:type="dxa"/>
            <w:noWrap/>
            <w:vAlign w:val="center"/>
          </w:tcPr>
          <w:p>
            <w:pPr>
              <w:widowControl/>
              <w:snapToGrid w:val="0"/>
              <w:spacing w:line="240" w:lineRule="atLeast"/>
              <w:jc w:val="center"/>
              <w:rPr>
                <w:b/>
                <w:bCs/>
                <w:kern w:val="0"/>
                <w:szCs w:val="21"/>
                <w:u w:val="single"/>
              </w:rPr>
            </w:pPr>
            <w:r>
              <w:rPr>
                <w:rFonts w:hint="eastAsia" w:cs="宋体"/>
                <w:b/>
                <w:bCs/>
                <w:szCs w:val="21"/>
                <w:u w:val="single"/>
              </w:rPr>
              <w:t>老任庄</w:t>
            </w:r>
          </w:p>
        </w:tc>
        <w:tc>
          <w:tcPr>
            <w:tcW w:w="2004" w:type="dxa"/>
            <w:noWrap/>
            <w:vAlign w:val="center"/>
          </w:tcPr>
          <w:p>
            <w:pPr>
              <w:topLinePunct/>
              <w:autoSpaceDE w:val="0"/>
              <w:adjustRightInd w:val="0"/>
              <w:jc w:val="center"/>
              <w:rPr>
                <w:b/>
                <w:bCs/>
                <w:kern w:val="0"/>
                <w:szCs w:val="21"/>
                <w:u w:val="single"/>
              </w:rPr>
            </w:pPr>
            <w:r>
              <w:rPr>
                <w:rFonts w:hint="eastAsia"/>
                <w:b/>
                <w:bCs/>
                <w:szCs w:val="21"/>
                <w:u w:val="single"/>
              </w:rPr>
              <w:t>S1140</w:t>
            </w:r>
            <w:r>
              <w:rPr>
                <w:b/>
                <w:bCs/>
                <w:szCs w:val="21"/>
                <w:u w:val="single"/>
              </w:rPr>
              <w:t>m</w:t>
            </w:r>
          </w:p>
        </w:tc>
        <w:tc>
          <w:tcPr>
            <w:tcW w:w="1596" w:type="dxa"/>
            <w:noWrap/>
            <w:vAlign w:val="center"/>
          </w:tcPr>
          <w:p>
            <w:pPr>
              <w:topLinePunct/>
              <w:jc w:val="center"/>
              <w:rPr>
                <w:b/>
                <w:bCs/>
                <w:szCs w:val="21"/>
                <w:u w:val="single"/>
              </w:rPr>
            </w:pPr>
            <w:r>
              <w:rPr>
                <w:b/>
                <w:bCs/>
                <w:szCs w:val="21"/>
                <w:u w:val="single"/>
              </w:rPr>
              <w:t>地下水上游</w:t>
            </w:r>
          </w:p>
        </w:tc>
        <w:tc>
          <w:tcPr>
            <w:tcW w:w="2596" w:type="dxa"/>
            <w:noWrap/>
            <w:vAlign w:val="center"/>
          </w:tcPr>
          <w:p>
            <w:pPr>
              <w:topLinePunct/>
              <w:jc w:val="center"/>
              <w:rPr>
                <w:b/>
                <w:bCs/>
                <w:szCs w:val="21"/>
                <w:u w:val="single"/>
              </w:rPr>
            </w:pPr>
            <w:r>
              <w:rPr>
                <w:b/>
                <w:bCs/>
                <w:szCs w:val="21"/>
                <w:u w:val="single"/>
              </w:rPr>
              <w:t>民用井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8" w:type="dxa"/>
            <w:noWrap/>
            <w:vAlign w:val="center"/>
          </w:tcPr>
          <w:p>
            <w:pPr>
              <w:topLinePunct/>
              <w:jc w:val="center"/>
              <w:rPr>
                <w:b/>
                <w:bCs/>
                <w:szCs w:val="21"/>
                <w:u w:val="single"/>
              </w:rPr>
            </w:pPr>
            <w:r>
              <w:rPr>
                <w:b/>
                <w:bCs/>
                <w:szCs w:val="21"/>
                <w:u w:val="single"/>
              </w:rPr>
              <w:t>2</w:t>
            </w:r>
          </w:p>
        </w:tc>
        <w:tc>
          <w:tcPr>
            <w:tcW w:w="1932" w:type="dxa"/>
            <w:noWrap/>
            <w:vAlign w:val="center"/>
          </w:tcPr>
          <w:p>
            <w:pPr>
              <w:widowControl/>
              <w:snapToGrid w:val="0"/>
              <w:spacing w:line="240" w:lineRule="atLeast"/>
              <w:jc w:val="center"/>
              <w:rPr>
                <w:b/>
                <w:bCs/>
                <w:kern w:val="0"/>
                <w:szCs w:val="21"/>
                <w:u w:val="single"/>
              </w:rPr>
            </w:pPr>
            <w:r>
              <w:rPr>
                <w:rFonts w:hint="eastAsia" w:cs="宋体"/>
                <w:b/>
                <w:bCs/>
                <w:szCs w:val="21"/>
                <w:u w:val="single"/>
              </w:rPr>
              <w:t>仙翁庙</w:t>
            </w:r>
          </w:p>
        </w:tc>
        <w:tc>
          <w:tcPr>
            <w:tcW w:w="2004" w:type="dxa"/>
            <w:noWrap/>
            <w:vAlign w:val="center"/>
          </w:tcPr>
          <w:p>
            <w:pPr>
              <w:topLinePunct/>
              <w:autoSpaceDE w:val="0"/>
              <w:adjustRightInd w:val="0"/>
              <w:jc w:val="center"/>
              <w:rPr>
                <w:b/>
                <w:bCs/>
                <w:kern w:val="0"/>
                <w:szCs w:val="21"/>
                <w:u w:val="single"/>
              </w:rPr>
            </w:pPr>
            <w:r>
              <w:rPr>
                <w:rFonts w:hint="eastAsia"/>
                <w:b/>
                <w:bCs/>
                <w:kern w:val="0"/>
                <w:szCs w:val="21"/>
                <w:u w:val="single"/>
              </w:rPr>
              <w:t>N955</w:t>
            </w:r>
            <w:r>
              <w:rPr>
                <w:b/>
                <w:bCs/>
                <w:kern w:val="0"/>
                <w:szCs w:val="21"/>
                <w:u w:val="single"/>
              </w:rPr>
              <w:t>m</w:t>
            </w:r>
          </w:p>
        </w:tc>
        <w:tc>
          <w:tcPr>
            <w:tcW w:w="1596" w:type="dxa"/>
            <w:noWrap/>
            <w:vAlign w:val="center"/>
          </w:tcPr>
          <w:p>
            <w:pPr>
              <w:topLinePunct/>
              <w:jc w:val="center"/>
              <w:rPr>
                <w:b/>
                <w:bCs/>
                <w:szCs w:val="21"/>
                <w:u w:val="single"/>
              </w:rPr>
            </w:pPr>
            <w:r>
              <w:rPr>
                <w:b/>
                <w:bCs/>
                <w:szCs w:val="21"/>
                <w:u w:val="single"/>
              </w:rPr>
              <w:t>地下水下游</w:t>
            </w:r>
          </w:p>
        </w:tc>
        <w:tc>
          <w:tcPr>
            <w:tcW w:w="2596" w:type="dxa"/>
            <w:noWrap/>
            <w:vAlign w:val="center"/>
          </w:tcPr>
          <w:p>
            <w:pPr>
              <w:topLinePunct/>
              <w:jc w:val="center"/>
              <w:rPr>
                <w:b/>
                <w:bCs/>
                <w:szCs w:val="21"/>
                <w:u w:val="single"/>
              </w:rPr>
            </w:pPr>
            <w:r>
              <w:rPr>
                <w:b/>
                <w:bCs/>
                <w:szCs w:val="21"/>
                <w:u w:val="single"/>
              </w:rPr>
              <w:t>民用井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8" w:type="dxa"/>
            <w:noWrap/>
            <w:vAlign w:val="center"/>
          </w:tcPr>
          <w:p>
            <w:pPr>
              <w:topLinePunct/>
              <w:jc w:val="center"/>
              <w:rPr>
                <w:b/>
                <w:bCs/>
                <w:szCs w:val="21"/>
                <w:u w:val="single"/>
              </w:rPr>
            </w:pPr>
            <w:r>
              <w:rPr>
                <w:rFonts w:hint="eastAsia"/>
                <w:b/>
                <w:bCs/>
                <w:szCs w:val="21"/>
                <w:u w:val="single"/>
              </w:rPr>
              <w:t>3</w:t>
            </w:r>
          </w:p>
        </w:tc>
        <w:tc>
          <w:tcPr>
            <w:tcW w:w="1932" w:type="dxa"/>
            <w:noWrap/>
            <w:vAlign w:val="center"/>
          </w:tcPr>
          <w:p>
            <w:pPr>
              <w:widowControl/>
              <w:snapToGrid w:val="0"/>
              <w:spacing w:line="240" w:lineRule="atLeast"/>
              <w:jc w:val="center"/>
              <w:rPr>
                <w:b/>
                <w:bCs/>
                <w:szCs w:val="21"/>
                <w:u w:val="single"/>
              </w:rPr>
            </w:pPr>
            <w:r>
              <w:rPr>
                <w:rFonts w:hint="eastAsia" w:cs="宋体"/>
                <w:b/>
                <w:bCs/>
                <w:szCs w:val="21"/>
                <w:u w:val="single"/>
              </w:rPr>
              <w:t>邢寨</w:t>
            </w:r>
          </w:p>
        </w:tc>
        <w:tc>
          <w:tcPr>
            <w:tcW w:w="2004" w:type="dxa"/>
            <w:noWrap/>
            <w:vAlign w:val="center"/>
          </w:tcPr>
          <w:p>
            <w:pPr>
              <w:topLinePunct/>
              <w:autoSpaceDE w:val="0"/>
              <w:adjustRightInd w:val="0"/>
              <w:jc w:val="center"/>
              <w:rPr>
                <w:b/>
                <w:bCs/>
                <w:kern w:val="0"/>
                <w:szCs w:val="21"/>
                <w:u w:val="single"/>
              </w:rPr>
            </w:pPr>
            <w:r>
              <w:rPr>
                <w:rFonts w:hint="eastAsia"/>
                <w:b/>
                <w:bCs/>
                <w:kern w:val="0"/>
                <w:szCs w:val="21"/>
                <w:u w:val="single"/>
              </w:rPr>
              <w:t>SE</w:t>
            </w:r>
            <w:r>
              <w:rPr>
                <w:rFonts w:hint="eastAsia"/>
                <w:b/>
                <w:bCs/>
                <w:kern w:val="0"/>
                <w:szCs w:val="21"/>
                <w:u w:val="single"/>
                <w:lang w:eastAsia="zh-CN"/>
              </w:rPr>
              <w:t>507</w:t>
            </w:r>
            <w:r>
              <w:rPr>
                <w:b/>
                <w:bCs/>
                <w:kern w:val="0"/>
                <w:szCs w:val="21"/>
                <w:u w:val="single"/>
              </w:rPr>
              <w:t>m</w:t>
            </w:r>
          </w:p>
        </w:tc>
        <w:tc>
          <w:tcPr>
            <w:tcW w:w="1596" w:type="dxa"/>
            <w:noWrap/>
            <w:vAlign w:val="center"/>
          </w:tcPr>
          <w:p>
            <w:pPr>
              <w:topLinePunct/>
              <w:jc w:val="center"/>
              <w:rPr>
                <w:b/>
                <w:bCs/>
                <w:szCs w:val="21"/>
                <w:u w:val="single"/>
              </w:rPr>
            </w:pPr>
            <w:r>
              <w:rPr>
                <w:b/>
                <w:bCs/>
                <w:szCs w:val="21"/>
                <w:u w:val="single"/>
              </w:rPr>
              <w:t>地下水上游</w:t>
            </w:r>
          </w:p>
        </w:tc>
        <w:tc>
          <w:tcPr>
            <w:tcW w:w="2596" w:type="dxa"/>
            <w:noWrap/>
            <w:vAlign w:val="center"/>
          </w:tcPr>
          <w:p>
            <w:pPr>
              <w:topLinePunct/>
              <w:jc w:val="center"/>
              <w:rPr>
                <w:b/>
                <w:bCs/>
                <w:szCs w:val="21"/>
                <w:u w:val="single"/>
              </w:rPr>
            </w:pPr>
            <w:r>
              <w:rPr>
                <w:b/>
                <w:bCs/>
                <w:szCs w:val="21"/>
                <w:u w:val="single"/>
              </w:rPr>
              <w:t>民用井</w:t>
            </w:r>
          </w:p>
        </w:tc>
      </w:tr>
    </w:tbl>
    <w:p>
      <w:pPr>
        <w:spacing w:line="520" w:lineRule="exact"/>
        <w:rPr>
          <w:b/>
          <w:bCs/>
          <w:color w:val="000000" w:themeColor="text1"/>
          <w:sz w:val="24"/>
          <w:u w:val="single"/>
        </w:rPr>
      </w:pPr>
      <w:r>
        <w:rPr>
          <w:b/>
          <w:bCs/>
          <w:color w:val="000000" w:themeColor="text1"/>
          <w:sz w:val="24"/>
          <w:u w:val="single"/>
        </w:rPr>
        <w:t>3.3.3.2监测项目、时间及分析方法</w:t>
      </w:r>
      <w:bookmarkEnd w:id="221"/>
      <w:bookmarkEnd w:id="222"/>
    </w:p>
    <w:p>
      <w:pPr>
        <w:adjustRightInd w:val="0"/>
        <w:snapToGrid w:val="0"/>
        <w:spacing w:line="500" w:lineRule="exact"/>
        <w:ind w:firstLine="482" w:firstLineChars="200"/>
        <w:rPr>
          <w:b/>
          <w:bCs/>
          <w:sz w:val="24"/>
          <w:u w:val="single"/>
        </w:rPr>
      </w:pPr>
      <w:bookmarkStart w:id="223" w:name="_Toc406663008"/>
      <w:bookmarkStart w:id="224" w:name="_Toc413829641"/>
      <w:r>
        <w:rPr>
          <w:b/>
          <w:bCs/>
          <w:sz w:val="24"/>
          <w:u w:val="single"/>
        </w:rPr>
        <w:t>监测项目：Cl</w:t>
      </w:r>
      <w:r>
        <w:rPr>
          <w:b/>
          <w:bCs/>
          <w:sz w:val="24"/>
          <w:u w:val="single"/>
          <w:vertAlign w:val="superscript"/>
        </w:rPr>
        <w:t>—</w:t>
      </w:r>
      <w:r>
        <w:rPr>
          <w:b/>
          <w:bCs/>
          <w:sz w:val="24"/>
          <w:u w:val="single"/>
        </w:rPr>
        <w:t>、SO</w:t>
      </w:r>
      <w:r>
        <w:rPr>
          <w:b/>
          <w:bCs/>
          <w:sz w:val="24"/>
          <w:u w:val="single"/>
          <w:vertAlign w:val="subscript"/>
        </w:rPr>
        <w:t>4</w:t>
      </w:r>
      <w:r>
        <w:rPr>
          <w:b/>
          <w:bCs/>
          <w:sz w:val="24"/>
          <w:u w:val="single"/>
          <w:vertAlign w:val="superscript"/>
        </w:rPr>
        <w:t>2—</w:t>
      </w:r>
      <w:r>
        <w:rPr>
          <w:b/>
          <w:bCs/>
          <w:sz w:val="24"/>
          <w:u w:val="single"/>
        </w:rPr>
        <w:t>、pH、总硬度、氨氮、溶解性总固体、耗氧量、硫化物、硝酸盐、亚硝酸盐、总大肠菌群、六价铬、铅、铁、锰、水温同时检测井深、水位和水温。</w:t>
      </w:r>
    </w:p>
    <w:p>
      <w:pPr>
        <w:adjustRightInd w:val="0"/>
        <w:snapToGrid w:val="0"/>
        <w:spacing w:line="500" w:lineRule="exact"/>
        <w:ind w:firstLine="482" w:firstLineChars="200"/>
        <w:rPr>
          <w:b/>
          <w:bCs/>
          <w:sz w:val="24"/>
          <w:u w:val="single"/>
        </w:rPr>
      </w:pPr>
      <w:r>
        <w:rPr>
          <w:b/>
          <w:bCs/>
          <w:sz w:val="24"/>
          <w:u w:val="single"/>
        </w:rPr>
        <w:t>监测时间及频次：</w:t>
      </w:r>
      <w:r>
        <w:rPr>
          <w:b/>
          <w:bCs/>
          <w:kern w:val="0"/>
          <w:sz w:val="24"/>
          <w:u w:val="single"/>
        </w:rPr>
        <w:t>1#~2#</w:t>
      </w:r>
      <w:r>
        <w:rPr>
          <w:b/>
          <w:bCs/>
          <w:sz w:val="24"/>
          <w:u w:val="single"/>
        </w:rPr>
        <w:t>地下水监测由河南政检检测研究院有限公司于2019年8月16日～8月17日进行监测，每日采样一次。</w:t>
      </w:r>
    </w:p>
    <w:p>
      <w:pPr>
        <w:topLinePunct/>
        <w:autoSpaceDE w:val="0"/>
        <w:adjustRightInd w:val="0"/>
        <w:spacing w:line="520" w:lineRule="exact"/>
        <w:ind w:firstLine="487" w:firstLineChars="202"/>
        <w:jc w:val="left"/>
        <w:rPr>
          <w:b/>
          <w:bCs/>
          <w:kern w:val="0"/>
          <w:sz w:val="24"/>
          <w:u w:val="single"/>
        </w:rPr>
      </w:pPr>
      <w:r>
        <w:rPr>
          <w:b/>
          <w:bCs/>
          <w:kern w:val="0"/>
          <w:sz w:val="24"/>
          <w:u w:val="single"/>
        </w:rPr>
        <w:t>分析方法：水样的采集、保存按《生活饮用水标准检验方法水样的采集和保存》（GB/T5750.2-2006）进行，分析方法按照《生活饮用水标准检验方法》（GB/T5750.4、5750.5、5750.7、5750.8－2006）中相关规定的监测方法进行。</w:t>
      </w:r>
    </w:p>
    <w:p>
      <w:pPr>
        <w:spacing w:line="520" w:lineRule="exact"/>
        <w:rPr>
          <w:b/>
          <w:bCs/>
          <w:color w:val="000000" w:themeColor="text1"/>
          <w:sz w:val="24"/>
          <w:u w:val="single"/>
        </w:rPr>
      </w:pPr>
      <w:r>
        <w:rPr>
          <w:b/>
          <w:bCs/>
          <w:color w:val="000000" w:themeColor="text1"/>
          <w:sz w:val="24"/>
          <w:u w:val="single"/>
        </w:rPr>
        <w:t>3.3.3.3评价方法</w:t>
      </w:r>
      <w:bookmarkEnd w:id="223"/>
      <w:bookmarkEnd w:id="224"/>
    </w:p>
    <w:p>
      <w:pPr>
        <w:spacing w:line="500" w:lineRule="exact"/>
        <w:ind w:firstLine="482"/>
        <w:rPr>
          <w:b/>
          <w:bCs/>
          <w:color w:val="000000" w:themeColor="text1"/>
          <w:sz w:val="24"/>
          <w:u w:val="single"/>
        </w:rPr>
      </w:pPr>
      <w:bookmarkStart w:id="225" w:name="_Toc413829642"/>
      <w:bookmarkStart w:id="226" w:name="_Toc406663009"/>
      <w:r>
        <w:rPr>
          <w:b/>
          <w:bCs/>
          <w:color w:val="000000" w:themeColor="text1"/>
          <w:sz w:val="24"/>
          <w:u w:val="single"/>
        </w:rPr>
        <w:t>采用单项标准指数法对各评价因子进行单项水质参数评价，计算方法如下：</w:t>
      </w:r>
    </w:p>
    <w:p>
      <w:pPr>
        <w:spacing w:line="500" w:lineRule="exact"/>
        <w:ind w:firstLine="482"/>
        <w:rPr>
          <w:b/>
          <w:bCs/>
          <w:color w:val="000000" w:themeColor="text1"/>
          <w:sz w:val="24"/>
          <w:u w:val="single"/>
        </w:rPr>
      </w:pPr>
      <w:r>
        <w:rPr>
          <w:b/>
          <w:bCs/>
          <w:color w:val="000000" w:themeColor="text1"/>
          <w:sz w:val="24"/>
          <w:u w:val="single"/>
        </w:rPr>
        <w:t xml:space="preserve">                  P</w:t>
      </w:r>
      <w:r>
        <w:rPr>
          <w:b/>
          <w:bCs/>
          <w:color w:val="000000" w:themeColor="text1"/>
          <w:sz w:val="24"/>
          <w:u w:val="single"/>
          <w:vertAlign w:val="subscript"/>
        </w:rPr>
        <w:t>i</w:t>
      </w:r>
      <w:r>
        <w:rPr>
          <w:b/>
          <w:bCs/>
          <w:color w:val="000000" w:themeColor="text1"/>
          <w:sz w:val="24"/>
          <w:u w:val="single"/>
        </w:rPr>
        <w:t>=C</w:t>
      </w:r>
      <w:r>
        <w:rPr>
          <w:b/>
          <w:bCs/>
          <w:color w:val="000000" w:themeColor="text1"/>
          <w:sz w:val="24"/>
          <w:u w:val="single"/>
          <w:vertAlign w:val="subscript"/>
        </w:rPr>
        <w:t>i</w:t>
      </w:r>
      <w:r>
        <w:rPr>
          <w:b/>
          <w:bCs/>
          <w:color w:val="000000" w:themeColor="text1"/>
          <w:sz w:val="24"/>
          <w:u w:val="single"/>
        </w:rPr>
        <w:t>/C</w:t>
      </w:r>
      <w:r>
        <w:rPr>
          <w:b/>
          <w:bCs/>
          <w:color w:val="000000" w:themeColor="text1"/>
          <w:sz w:val="24"/>
          <w:u w:val="single"/>
          <w:vertAlign w:val="subscript"/>
        </w:rPr>
        <w:t>si</w:t>
      </w:r>
    </w:p>
    <w:p>
      <w:pPr>
        <w:spacing w:line="500" w:lineRule="exact"/>
        <w:ind w:firstLine="482"/>
        <w:rPr>
          <w:b/>
          <w:bCs/>
          <w:color w:val="000000" w:themeColor="text1"/>
          <w:sz w:val="24"/>
          <w:u w:val="single"/>
        </w:rPr>
      </w:pPr>
      <w:r>
        <w:rPr>
          <w:b/>
          <w:bCs/>
          <w:color w:val="000000" w:themeColor="text1"/>
          <w:sz w:val="24"/>
          <w:u w:val="single"/>
        </w:rPr>
        <w:t>式中：P</w:t>
      </w:r>
      <w:r>
        <w:rPr>
          <w:b/>
          <w:bCs/>
          <w:color w:val="000000" w:themeColor="text1"/>
          <w:sz w:val="24"/>
          <w:u w:val="single"/>
          <w:vertAlign w:val="subscript"/>
        </w:rPr>
        <w:t>i</w:t>
      </w:r>
      <w:r>
        <w:rPr>
          <w:b/>
          <w:bCs/>
          <w:color w:val="000000" w:themeColor="text1"/>
          <w:sz w:val="24"/>
          <w:u w:val="single"/>
        </w:rPr>
        <w:t>——第i个水质因子的标准指数，无量纲；</w:t>
      </w:r>
    </w:p>
    <w:p>
      <w:pPr>
        <w:spacing w:line="500" w:lineRule="exact"/>
        <w:ind w:firstLine="482"/>
        <w:rPr>
          <w:b/>
          <w:bCs/>
          <w:color w:val="000000" w:themeColor="text1"/>
          <w:sz w:val="24"/>
          <w:u w:val="single"/>
        </w:rPr>
      </w:pPr>
      <w:r>
        <w:rPr>
          <w:b/>
          <w:bCs/>
          <w:color w:val="000000" w:themeColor="text1"/>
          <w:sz w:val="24"/>
          <w:u w:val="single"/>
        </w:rPr>
        <w:t xml:space="preserve">          Ci</w:t>
      </w:r>
      <w:r>
        <w:rPr>
          <w:b/>
          <w:bCs/>
          <w:color w:val="000000" w:themeColor="text1"/>
          <w:sz w:val="24"/>
          <w:u w:val="single"/>
          <w:vertAlign w:val="subscript"/>
        </w:rPr>
        <w:t>j</w:t>
      </w:r>
      <w:r>
        <w:rPr>
          <w:b/>
          <w:bCs/>
          <w:color w:val="000000" w:themeColor="text1"/>
          <w:sz w:val="24"/>
          <w:u w:val="single"/>
        </w:rPr>
        <w:t>——第i个水质因子的监测浓度（mg/L）；</w:t>
      </w:r>
    </w:p>
    <w:p>
      <w:pPr>
        <w:spacing w:line="500" w:lineRule="exact"/>
        <w:ind w:firstLine="482"/>
        <w:rPr>
          <w:b/>
          <w:bCs/>
          <w:color w:val="000000" w:themeColor="text1"/>
          <w:sz w:val="24"/>
          <w:u w:val="single"/>
        </w:rPr>
      </w:pPr>
      <w:r>
        <w:rPr>
          <w:b/>
          <w:bCs/>
          <w:color w:val="000000" w:themeColor="text1"/>
          <w:sz w:val="24"/>
          <w:u w:val="single"/>
        </w:rPr>
        <w:t xml:space="preserve">          C</w:t>
      </w:r>
      <w:r>
        <w:rPr>
          <w:b/>
          <w:bCs/>
          <w:color w:val="000000" w:themeColor="text1"/>
          <w:sz w:val="24"/>
          <w:u w:val="single"/>
          <w:vertAlign w:val="subscript"/>
        </w:rPr>
        <w:t>si</w:t>
      </w:r>
      <w:r>
        <w:rPr>
          <w:b/>
          <w:bCs/>
          <w:color w:val="000000" w:themeColor="text1"/>
          <w:sz w:val="24"/>
          <w:u w:val="single"/>
        </w:rPr>
        <w:t>——第i个水质因子的标准限值（mg/L)。</w:t>
      </w:r>
    </w:p>
    <w:p>
      <w:pPr>
        <w:spacing w:line="500" w:lineRule="exact"/>
        <w:ind w:firstLine="482"/>
        <w:rPr>
          <w:b/>
          <w:bCs/>
          <w:color w:val="000000" w:themeColor="text1"/>
          <w:sz w:val="24"/>
          <w:u w:val="single"/>
        </w:rPr>
      </w:pPr>
      <w:r>
        <w:rPr>
          <w:b/>
          <w:bCs/>
          <w:color w:val="000000" w:themeColor="text1"/>
          <w:sz w:val="24"/>
          <w:u w:val="single"/>
        </w:rPr>
        <w:t xml:space="preserve">    pH的标准指数为：</w:t>
      </w:r>
    </w:p>
    <w:p>
      <w:pPr>
        <w:spacing w:line="500" w:lineRule="exact"/>
        <w:ind w:firstLine="482"/>
        <w:jc w:val="center"/>
        <w:rPr>
          <w:b/>
          <w:bCs/>
          <w:color w:val="000000" w:themeColor="text1"/>
          <w:sz w:val="24"/>
          <w:u w:val="single"/>
        </w:rPr>
      </w:pPr>
      <w:r>
        <w:rPr>
          <w:b/>
          <w:bCs/>
          <w:color w:val="000000" w:themeColor="text1"/>
          <w:sz w:val="24"/>
          <w:u w:val="single"/>
        </w:rPr>
        <w:t>S</w:t>
      </w:r>
      <w:r>
        <w:rPr>
          <w:b/>
          <w:bCs/>
          <w:color w:val="000000" w:themeColor="text1"/>
          <w:sz w:val="24"/>
          <w:u w:val="single"/>
          <w:vertAlign w:val="subscript"/>
        </w:rPr>
        <w:t>pH,j</w:t>
      </w:r>
      <w:r>
        <w:rPr>
          <w:b/>
          <w:bCs/>
          <w:color w:val="000000" w:themeColor="text1"/>
          <w:sz w:val="24"/>
          <w:u w:val="single"/>
        </w:rPr>
        <w:t>=(7.0-pH</w:t>
      </w:r>
      <w:r>
        <w:rPr>
          <w:b/>
          <w:bCs/>
          <w:color w:val="000000" w:themeColor="text1"/>
          <w:sz w:val="24"/>
          <w:u w:val="single"/>
          <w:vertAlign w:val="subscript"/>
        </w:rPr>
        <w:t>j</w:t>
      </w:r>
      <w:r>
        <w:rPr>
          <w:b/>
          <w:bCs/>
          <w:color w:val="000000" w:themeColor="text1"/>
          <w:sz w:val="24"/>
          <w:u w:val="single"/>
        </w:rPr>
        <w:t>)/(7.0-pH</w:t>
      </w:r>
      <w:r>
        <w:rPr>
          <w:b/>
          <w:bCs/>
          <w:color w:val="000000" w:themeColor="text1"/>
          <w:sz w:val="24"/>
          <w:u w:val="single"/>
          <w:vertAlign w:val="subscript"/>
        </w:rPr>
        <w:t>sd</w:t>
      </w:r>
      <w:r>
        <w:rPr>
          <w:b/>
          <w:bCs/>
          <w:color w:val="000000" w:themeColor="text1"/>
          <w:sz w:val="24"/>
          <w:u w:val="single"/>
        </w:rPr>
        <w:t>)     (pH</w:t>
      </w:r>
      <w:r>
        <w:rPr>
          <w:b/>
          <w:bCs/>
          <w:color w:val="000000" w:themeColor="text1"/>
          <w:sz w:val="24"/>
          <w:u w:val="single"/>
          <w:vertAlign w:val="subscript"/>
        </w:rPr>
        <w:t>i</w:t>
      </w:r>
      <w:r>
        <w:rPr>
          <w:b/>
          <w:bCs/>
          <w:color w:val="000000" w:themeColor="text1"/>
          <w:sz w:val="24"/>
          <w:u w:val="single"/>
        </w:rPr>
        <w:t>≤7.0时)</w:t>
      </w:r>
    </w:p>
    <w:p>
      <w:pPr>
        <w:spacing w:line="500" w:lineRule="exact"/>
        <w:ind w:firstLine="482"/>
        <w:jc w:val="center"/>
        <w:rPr>
          <w:b/>
          <w:bCs/>
          <w:color w:val="000000" w:themeColor="text1"/>
          <w:sz w:val="24"/>
          <w:u w:val="single"/>
        </w:rPr>
      </w:pPr>
      <w:r>
        <w:rPr>
          <w:b/>
          <w:bCs/>
          <w:color w:val="000000" w:themeColor="text1"/>
          <w:sz w:val="24"/>
          <w:u w:val="single"/>
        </w:rPr>
        <w:t>S</w:t>
      </w:r>
      <w:r>
        <w:rPr>
          <w:b/>
          <w:bCs/>
          <w:color w:val="000000" w:themeColor="text1"/>
          <w:sz w:val="24"/>
          <w:u w:val="single"/>
          <w:vertAlign w:val="subscript"/>
        </w:rPr>
        <w:t>pH,j</w:t>
      </w:r>
      <w:r>
        <w:rPr>
          <w:b/>
          <w:bCs/>
          <w:color w:val="000000" w:themeColor="text1"/>
          <w:sz w:val="24"/>
          <w:u w:val="single"/>
        </w:rPr>
        <w:t>=(pH</w:t>
      </w:r>
      <w:r>
        <w:rPr>
          <w:b/>
          <w:bCs/>
          <w:color w:val="000000" w:themeColor="text1"/>
          <w:sz w:val="24"/>
          <w:u w:val="single"/>
          <w:vertAlign w:val="subscript"/>
        </w:rPr>
        <w:t>j</w:t>
      </w:r>
      <w:r>
        <w:rPr>
          <w:b/>
          <w:bCs/>
          <w:color w:val="000000" w:themeColor="text1"/>
          <w:sz w:val="24"/>
          <w:u w:val="single"/>
        </w:rPr>
        <w:t>-7.0)/(pH</w:t>
      </w:r>
      <w:r>
        <w:rPr>
          <w:b/>
          <w:bCs/>
          <w:color w:val="000000" w:themeColor="text1"/>
          <w:sz w:val="24"/>
          <w:u w:val="single"/>
          <w:vertAlign w:val="subscript"/>
        </w:rPr>
        <w:t>su</w:t>
      </w:r>
      <w:r>
        <w:rPr>
          <w:b/>
          <w:bCs/>
          <w:color w:val="000000" w:themeColor="text1"/>
          <w:sz w:val="24"/>
          <w:u w:val="single"/>
        </w:rPr>
        <w:t>-7.0)     (pH</w:t>
      </w:r>
      <w:r>
        <w:rPr>
          <w:b/>
          <w:bCs/>
          <w:color w:val="000000" w:themeColor="text1"/>
          <w:sz w:val="24"/>
          <w:u w:val="single"/>
          <w:vertAlign w:val="subscript"/>
        </w:rPr>
        <w:t>i</w:t>
      </w:r>
      <w:r>
        <w:rPr>
          <w:b/>
          <w:bCs/>
          <w:color w:val="000000" w:themeColor="text1"/>
          <w:sz w:val="24"/>
          <w:u w:val="single"/>
        </w:rPr>
        <w:t>＞7.0时)</w:t>
      </w:r>
    </w:p>
    <w:p>
      <w:pPr>
        <w:spacing w:line="500" w:lineRule="exact"/>
        <w:ind w:firstLine="482"/>
        <w:rPr>
          <w:b/>
          <w:bCs/>
          <w:color w:val="000000" w:themeColor="text1"/>
          <w:sz w:val="24"/>
          <w:u w:val="single"/>
        </w:rPr>
      </w:pPr>
      <w:r>
        <w:rPr>
          <w:b/>
          <w:bCs/>
          <w:color w:val="000000" w:themeColor="text1"/>
          <w:sz w:val="24"/>
          <w:u w:val="single"/>
        </w:rPr>
        <w:t>式中：S</w:t>
      </w:r>
      <w:r>
        <w:rPr>
          <w:b/>
          <w:bCs/>
          <w:color w:val="000000" w:themeColor="text1"/>
          <w:sz w:val="24"/>
          <w:u w:val="single"/>
          <w:vertAlign w:val="subscript"/>
        </w:rPr>
        <w:t>pH,j</w:t>
      </w:r>
      <w:r>
        <w:rPr>
          <w:b/>
          <w:bCs/>
          <w:color w:val="000000" w:themeColor="text1"/>
          <w:sz w:val="24"/>
          <w:u w:val="single"/>
        </w:rPr>
        <w:t>——第j点pH的标准指数；</w:t>
      </w:r>
    </w:p>
    <w:p>
      <w:pPr>
        <w:spacing w:line="500" w:lineRule="exact"/>
        <w:ind w:firstLine="482"/>
        <w:rPr>
          <w:b/>
          <w:bCs/>
          <w:color w:val="000000" w:themeColor="text1"/>
          <w:sz w:val="24"/>
          <w:u w:val="single"/>
        </w:rPr>
      </w:pPr>
      <w:r>
        <w:rPr>
          <w:b/>
          <w:bCs/>
          <w:color w:val="000000" w:themeColor="text1"/>
          <w:sz w:val="24"/>
          <w:u w:val="single"/>
        </w:rPr>
        <w:t xml:space="preserve">      pH</w:t>
      </w:r>
      <w:r>
        <w:rPr>
          <w:b/>
          <w:bCs/>
          <w:color w:val="000000" w:themeColor="text1"/>
          <w:sz w:val="24"/>
          <w:u w:val="single"/>
          <w:vertAlign w:val="subscript"/>
        </w:rPr>
        <w:t>j</w:t>
      </w:r>
      <w:r>
        <w:rPr>
          <w:b/>
          <w:bCs/>
          <w:color w:val="000000" w:themeColor="text1"/>
          <w:sz w:val="24"/>
          <w:u w:val="single"/>
        </w:rPr>
        <w:t>——第j点的监测值；</w:t>
      </w:r>
    </w:p>
    <w:p>
      <w:pPr>
        <w:spacing w:line="500" w:lineRule="exact"/>
        <w:ind w:firstLine="482"/>
        <w:rPr>
          <w:b/>
          <w:bCs/>
          <w:color w:val="000000" w:themeColor="text1"/>
          <w:sz w:val="24"/>
          <w:u w:val="single"/>
        </w:rPr>
      </w:pPr>
      <w:r>
        <w:rPr>
          <w:b/>
          <w:bCs/>
          <w:color w:val="000000" w:themeColor="text1"/>
          <w:sz w:val="24"/>
          <w:u w:val="single"/>
        </w:rPr>
        <w:t xml:space="preserve">      pH</w:t>
      </w:r>
      <w:r>
        <w:rPr>
          <w:b/>
          <w:bCs/>
          <w:color w:val="000000" w:themeColor="text1"/>
          <w:sz w:val="24"/>
          <w:u w:val="single"/>
          <w:vertAlign w:val="subscript"/>
        </w:rPr>
        <w:t>su</w:t>
      </w:r>
      <w:r>
        <w:rPr>
          <w:b/>
          <w:bCs/>
          <w:color w:val="000000" w:themeColor="text1"/>
          <w:sz w:val="24"/>
          <w:u w:val="single"/>
        </w:rPr>
        <w:t>、pH</w:t>
      </w:r>
      <w:r>
        <w:rPr>
          <w:b/>
          <w:bCs/>
          <w:color w:val="000000" w:themeColor="text1"/>
          <w:sz w:val="24"/>
          <w:u w:val="single"/>
          <w:vertAlign w:val="subscript"/>
        </w:rPr>
        <w:t>sd</w:t>
      </w:r>
      <w:r>
        <w:rPr>
          <w:b/>
          <w:bCs/>
          <w:color w:val="000000" w:themeColor="text1"/>
          <w:sz w:val="24"/>
          <w:u w:val="single"/>
        </w:rPr>
        <w:t>——pH标准限值的上、下限值。</w:t>
      </w:r>
    </w:p>
    <w:p>
      <w:pPr>
        <w:spacing w:line="520" w:lineRule="exact"/>
        <w:rPr>
          <w:b/>
          <w:bCs/>
          <w:color w:val="000000" w:themeColor="text1"/>
          <w:sz w:val="24"/>
          <w:u w:val="single"/>
        </w:rPr>
      </w:pPr>
      <w:r>
        <w:rPr>
          <w:b/>
          <w:bCs/>
          <w:color w:val="000000" w:themeColor="text1"/>
          <w:sz w:val="24"/>
          <w:u w:val="single"/>
        </w:rPr>
        <w:t>3.3.3.4评价标准</w:t>
      </w:r>
      <w:bookmarkEnd w:id="225"/>
      <w:bookmarkEnd w:id="226"/>
    </w:p>
    <w:p>
      <w:pPr>
        <w:autoSpaceDE w:val="0"/>
        <w:autoSpaceDN w:val="0"/>
        <w:adjustRightInd w:val="0"/>
        <w:spacing w:line="520" w:lineRule="exact"/>
        <w:ind w:firstLine="426" w:firstLineChars="177"/>
        <w:jc w:val="left"/>
        <w:rPr>
          <w:b/>
          <w:bCs/>
          <w:color w:val="000000" w:themeColor="text1"/>
          <w:sz w:val="24"/>
          <w:u w:val="single"/>
        </w:rPr>
      </w:pPr>
      <w:bookmarkStart w:id="227" w:name="_Toc406663010"/>
      <w:bookmarkStart w:id="228" w:name="_Toc413829643"/>
      <w:r>
        <w:rPr>
          <w:b/>
          <w:bCs/>
          <w:color w:val="000000" w:themeColor="text1"/>
          <w:sz w:val="24"/>
          <w:u w:val="single"/>
        </w:rPr>
        <w:t>地下水水质现状评价执行《地下水质量标准》（GB/T 14848-2017）中的</w:t>
      </w:r>
      <w:r>
        <w:rPr>
          <w:b/>
          <w:bCs/>
          <w:color w:val="000000" w:themeColor="text1"/>
          <w:u w:val="single"/>
        </w:rPr>
        <w:fldChar w:fldCharType="begin"/>
      </w:r>
      <w:r>
        <w:rPr>
          <w:b/>
          <w:bCs/>
          <w:color w:val="000000" w:themeColor="text1"/>
          <w:sz w:val="24"/>
          <w:u w:val="single"/>
        </w:rPr>
        <w:instrText xml:space="preserve"> = 3 \* ROMAN </w:instrText>
      </w:r>
      <w:r>
        <w:rPr>
          <w:b/>
          <w:bCs/>
          <w:color w:val="000000" w:themeColor="text1"/>
          <w:u w:val="single"/>
        </w:rPr>
        <w:fldChar w:fldCharType="separate"/>
      </w:r>
      <w:r>
        <w:rPr>
          <w:b/>
          <w:bCs/>
          <w:color w:val="000000" w:themeColor="text1"/>
          <w:sz w:val="24"/>
          <w:u w:val="single"/>
        </w:rPr>
        <w:t>III</w:t>
      </w:r>
      <w:r>
        <w:rPr>
          <w:b/>
          <w:bCs/>
          <w:color w:val="000000" w:themeColor="text1"/>
          <w:u w:val="single"/>
        </w:rPr>
        <w:fldChar w:fldCharType="end"/>
      </w:r>
      <w:r>
        <w:rPr>
          <w:b/>
          <w:bCs/>
          <w:color w:val="000000" w:themeColor="text1"/>
          <w:sz w:val="24"/>
          <w:u w:val="single"/>
        </w:rPr>
        <w:t>类标准，根据《环境影响评价技术导则—地下水环境》（HJ 610-2016）要求对地下水因子进行监测。</w:t>
      </w:r>
    </w:p>
    <w:p>
      <w:pPr>
        <w:spacing w:line="520" w:lineRule="exact"/>
        <w:rPr>
          <w:b/>
          <w:bCs/>
          <w:color w:val="000000" w:themeColor="text1"/>
          <w:sz w:val="24"/>
          <w:u w:val="single"/>
        </w:rPr>
      </w:pPr>
      <w:r>
        <w:rPr>
          <w:b/>
          <w:bCs/>
          <w:color w:val="000000" w:themeColor="text1"/>
          <w:sz w:val="24"/>
          <w:u w:val="single"/>
        </w:rPr>
        <w:t>3.3.3.5监测统计及评价结果</w:t>
      </w:r>
      <w:bookmarkEnd w:id="227"/>
      <w:bookmarkEnd w:id="228"/>
    </w:p>
    <w:p>
      <w:pPr>
        <w:topLinePunct/>
        <w:spacing w:line="520" w:lineRule="exact"/>
        <w:ind w:firstLine="482" w:firstLineChars="200"/>
        <w:rPr>
          <w:b/>
          <w:bCs/>
          <w:sz w:val="24"/>
          <w:u w:val="single"/>
        </w:rPr>
      </w:pPr>
      <w:r>
        <w:rPr>
          <w:b/>
          <w:bCs/>
          <w:sz w:val="24"/>
          <w:u w:val="single"/>
        </w:rPr>
        <w:t>地下水环境现状监测统计及评价结果见表</w:t>
      </w:r>
      <w:r>
        <w:rPr>
          <w:rFonts w:hint="eastAsia"/>
          <w:b/>
          <w:bCs/>
          <w:sz w:val="24"/>
          <w:u w:val="single"/>
        </w:rPr>
        <w:t>3.3-13</w:t>
      </w:r>
      <w:r>
        <w:rPr>
          <w:b/>
          <w:bCs/>
          <w:sz w:val="24"/>
          <w:u w:val="single"/>
        </w:rPr>
        <w:t>。</w:t>
      </w:r>
    </w:p>
    <w:p>
      <w:pPr>
        <w:autoSpaceDE w:val="0"/>
        <w:autoSpaceDN w:val="0"/>
        <w:adjustRightInd w:val="0"/>
        <w:spacing w:line="520" w:lineRule="exact"/>
        <w:jc w:val="center"/>
        <w:rPr>
          <w:b/>
          <w:bCs/>
          <w:kern w:val="0"/>
          <w:sz w:val="24"/>
          <w:u w:val="single"/>
        </w:rPr>
      </w:pPr>
      <w:r>
        <w:rPr>
          <w:b/>
          <w:bCs/>
          <w:kern w:val="0"/>
          <w:sz w:val="24"/>
          <w:u w:val="single"/>
        </w:rPr>
        <w:t>表3</w:t>
      </w:r>
      <w:r>
        <w:rPr>
          <w:rFonts w:hint="eastAsia"/>
          <w:b/>
          <w:bCs/>
          <w:kern w:val="0"/>
          <w:sz w:val="24"/>
          <w:u w:val="single"/>
        </w:rPr>
        <w:t>.3-13</w:t>
      </w:r>
      <w:r>
        <w:rPr>
          <w:b/>
          <w:bCs/>
          <w:kern w:val="0"/>
          <w:sz w:val="24"/>
          <w:u w:val="single"/>
        </w:rPr>
        <w:t xml:space="preserve">   地下水水质监测统计及评价结果表</w:t>
      </w:r>
    </w:p>
    <w:tbl>
      <w:tblPr>
        <w:tblStyle w:val="44"/>
        <w:tblW w:w="8946"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58"/>
        <w:gridCol w:w="1119"/>
        <w:gridCol w:w="1500"/>
        <w:gridCol w:w="1462"/>
        <w:gridCol w:w="1240"/>
        <w:gridCol w:w="871"/>
        <w:gridCol w:w="159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blHeader/>
        </w:trPr>
        <w:tc>
          <w:tcPr>
            <w:tcW w:w="1158" w:type="dxa"/>
            <w:noWrap/>
            <w:vAlign w:val="center"/>
          </w:tcPr>
          <w:p>
            <w:pPr>
              <w:jc w:val="center"/>
              <w:rPr>
                <w:b/>
                <w:bCs/>
                <w:szCs w:val="21"/>
                <w:u w:val="single"/>
              </w:rPr>
            </w:pPr>
            <w:r>
              <w:rPr>
                <w:b/>
                <w:bCs/>
                <w:szCs w:val="21"/>
                <w:u w:val="single"/>
              </w:rPr>
              <w:t>名称</w:t>
            </w:r>
          </w:p>
        </w:tc>
        <w:tc>
          <w:tcPr>
            <w:tcW w:w="1119" w:type="dxa"/>
            <w:noWrap/>
            <w:vAlign w:val="center"/>
          </w:tcPr>
          <w:p>
            <w:pPr>
              <w:jc w:val="center"/>
              <w:rPr>
                <w:b/>
                <w:bCs/>
                <w:szCs w:val="21"/>
                <w:u w:val="single"/>
              </w:rPr>
            </w:pPr>
            <w:r>
              <w:rPr>
                <w:b/>
                <w:bCs/>
                <w:szCs w:val="21"/>
                <w:u w:val="single"/>
              </w:rPr>
              <w:t>监测项目</w:t>
            </w:r>
          </w:p>
        </w:tc>
        <w:tc>
          <w:tcPr>
            <w:tcW w:w="1500" w:type="dxa"/>
            <w:noWrap/>
            <w:vAlign w:val="center"/>
          </w:tcPr>
          <w:p>
            <w:pPr>
              <w:jc w:val="center"/>
              <w:rPr>
                <w:b/>
                <w:bCs/>
                <w:szCs w:val="21"/>
                <w:u w:val="single"/>
              </w:rPr>
            </w:pPr>
            <w:r>
              <w:rPr>
                <w:b/>
                <w:bCs/>
                <w:szCs w:val="21"/>
                <w:u w:val="single"/>
              </w:rPr>
              <w:t>监测值</w:t>
            </w:r>
          </w:p>
        </w:tc>
        <w:tc>
          <w:tcPr>
            <w:tcW w:w="1462" w:type="dxa"/>
            <w:noWrap/>
            <w:vAlign w:val="center"/>
          </w:tcPr>
          <w:p>
            <w:pPr>
              <w:jc w:val="center"/>
              <w:rPr>
                <w:b/>
                <w:bCs/>
                <w:szCs w:val="21"/>
                <w:u w:val="single"/>
              </w:rPr>
            </w:pPr>
            <w:r>
              <w:rPr>
                <w:b/>
                <w:bCs/>
                <w:szCs w:val="21"/>
                <w:u w:val="single"/>
              </w:rPr>
              <w:t>标准指数</w:t>
            </w:r>
          </w:p>
        </w:tc>
        <w:tc>
          <w:tcPr>
            <w:tcW w:w="1240" w:type="dxa"/>
            <w:noWrap/>
            <w:vAlign w:val="center"/>
          </w:tcPr>
          <w:p>
            <w:pPr>
              <w:jc w:val="center"/>
              <w:rPr>
                <w:b/>
                <w:bCs/>
                <w:szCs w:val="21"/>
                <w:u w:val="single"/>
              </w:rPr>
            </w:pPr>
            <w:r>
              <w:rPr>
                <w:b/>
                <w:bCs/>
                <w:szCs w:val="21"/>
                <w:u w:val="single"/>
              </w:rPr>
              <w:t>超标率（%）</w:t>
            </w:r>
          </w:p>
        </w:tc>
        <w:tc>
          <w:tcPr>
            <w:tcW w:w="871" w:type="dxa"/>
            <w:noWrap/>
            <w:vAlign w:val="center"/>
          </w:tcPr>
          <w:p>
            <w:pPr>
              <w:ind w:left="-105" w:leftChars="-50" w:right="-105" w:rightChars="-50"/>
              <w:jc w:val="center"/>
              <w:rPr>
                <w:b/>
                <w:bCs/>
                <w:szCs w:val="21"/>
                <w:u w:val="single"/>
              </w:rPr>
            </w:pPr>
            <w:r>
              <w:rPr>
                <w:b/>
                <w:bCs/>
                <w:szCs w:val="21"/>
                <w:u w:val="single"/>
              </w:rPr>
              <w:t>超标倍数</w:t>
            </w:r>
          </w:p>
        </w:tc>
        <w:tc>
          <w:tcPr>
            <w:tcW w:w="1596" w:type="dxa"/>
            <w:noWrap/>
            <w:vAlign w:val="center"/>
          </w:tcPr>
          <w:p>
            <w:pPr>
              <w:jc w:val="center"/>
              <w:rPr>
                <w:b/>
                <w:bCs/>
                <w:szCs w:val="21"/>
                <w:u w:val="single"/>
              </w:rPr>
            </w:pPr>
            <w:r>
              <w:rPr>
                <w:b/>
                <w:bCs/>
                <w:szCs w:val="21"/>
                <w:u w:val="single"/>
              </w:rPr>
              <w:t>标准值</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restart"/>
            <w:noWrap/>
            <w:vAlign w:val="center"/>
          </w:tcPr>
          <w:p>
            <w:pPr>
              <w:widowControl/>
              <w:jc w:val="center"/>
              <w:rPr>
                <w:b/>
                <w:bCs/>
                <w:szCs w:val="21"/>
                <w:u w:val="single"/>
              </w:rPr>
            </w:pPr>
            <w:r>
              <w:rPr>
                <w:rFonts w:hint="eastAsia" w:ascii="宋体" w:hAnsi="宋体"/>
                <w:b/>
                <w:bCs/>
                <w:szCs w:val="21"/>
                <w:u w:val="single"/>
              </w:rPr>
              <w:t>老任庄</w:t>
            </w:r>
          </w:p>
        </w:tc>
        <w:tc>
          <w:tcPr>
            <w:tcW w:w="1119" w:type="dxa"/>
            <w:noWrap/>
            <w:vAlign w:val="center"/>
          </w:tcPr>
          <w:p>
            <w:pPr>
              <w:jc w:val="center"/>
              <w:rPr>
                <w:b/>
                <w:bCs/>
                <w:szCs w:val="21"/>
                <w:u w:val="single"/>
              </w:rPr>
            </w:pPr>
            <w:r>
              <w:rPr>
                <w:b/>
                <w:bCs/>
                <w:szCs w:val="21"/>
                <w:u w:val="single"/>
              </w:rPr>
              <w:t>pH</w:t>
            </w:r>
          </w:p>
        </w:tc>
        <w:tc>
          <w:tcPr>
            <w:tcW w:w="1500" w:type="dxa"/>
            <w:noWrap/>
            <w:vAlign w:val="center"/>
          </w:tcPr>
          <w:p>
            <w:pPr>
              <w:jc w:val="center"/>
              <w:rPr>
                <w:b/>
                <w:bCs/>
                <w:szCs w:val="21"/>
                <w:u w:val="single"/>
              </w:rPr>
            </w:pPr>
            <w:r>
              <w:rPr>
                <w:rFonts w:hint="eastAsia"/>
                <w:b/>
                <w:bCs/>
                <w:szCs w:val="21"/>
                <w:u w:val="single"/>
              </w:rPr>
              <w:t>7.3-</w:t>
            </w:r>
            <w:r>
              <w:rPr>
                <w:b/>
                <w:bCs/>
                <w:szCs w:val="21"/>
                <w:u w:val="single"/>
              </w:rPr>
              <w:t>7.</w:t>
            </w:r>
            <w:r>
              <w:rPr>
                <w:rFonts w:hint="eastAsia"/>
                <w:b/>
                <w:bCs/>
                <w:szCs w:val="21"/>
                <w:u w:val="single"/>
              </w:rPr>
              <w:t>4</w:t>
            </w:r>
          </w:p>
        </w:tc>
        <w:tc>
          <w:tcPr>
            <w:tcW w:w="1462" w:type="dxa"/>
            <w:noWrap/>
            <w:vAlign w:val="center"/>
          </w:tcPr>
          <w:p>
            <w:pPr>
              <w:jc w:val="center"/>
              <w:rPr>
                <w:b/>
                <w:bCs/>
                <w:szCs w:val="21"/>
                <w:u w:val="single"/>
              </w:rPr>
            </w:pPr>
            <w:r>
              <w:rPr>
                <w:rFonts w:hint="eastAsia"/>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6.5~8.5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widowControl/>
              <w:jc w:val="center"/>
              <w:rPr>
                <w:b/>
                <w:bCs/>
                <w:szCs w:val="21"/>
                <w:u w:val="single"/>
              </w:rPr>
            </w:pPr>
          </w:p>
        </w:tc>
        <w:tc>
          <w:tcPr>
            <w:tcW w:w="1119" w:type="dxa"/>
            <w:noWrap/>
            <w:vAlign w:val="center"/>
          </w:tcPr>
          <w:p>
            <w:pPr>
              <w:jc w:val="center"/>
              <w:rPr>
                <w:b/>
                <w:bCs/>
                <w:szCs w:val="21"/>
                <w:u w:val="single"/>
              </w:rPr>
            </w:pPr>
            <w:r>
              <w:rPr>
                <w:b/>
                <w:bCs/>
                <w:szCs w:val="21"/>
                <w:u w:val="single"/>
              </w:rPr>
              <w:t>氨氮</w:t>
            </w:r>
          </w:p>
        </w:tc>
        <w:tc>
          <w:tcPr>
            <w:tcW w:w="1500" w:type="dxa"/>
            <w:noWrap/>
            <w:vAlign w:val="center"/>
          </w:tcPr>
          <w:p>
            <w:pPr>
              <w:jc w:val="center"/>
              <w:rPr>
                <w:b/>
                <w:bCs/>
                <w:szCs w:val="21"/>
                <w:u w:val="single"/>
              </w:rPr>
            </w:pPr>
            <w:r>
              <w:rPr>
                <w:b/>
                <w:bCs/>
                <w:szCs w:val="21"/>
                <w:u w:val="single"/>
              </w:rPr>
              <w:t>0.</w:t>
            </w:r>
            <w:r>
              <w:rPr>
                <w:rFonts w:hint="eastAsia"/>
                <w:b/>
                <w:bCs/>
                <w:szCs w:val="21"/>
                <w:u w:val="single"/>
              </w:rPr>
              <w:t>24</w:t>
            </w:r>
            <w:r>
              <w:rPr>
                <w:b/>
                <w:bCs/>
                <w:szCs w:val="21"/>
                <w:u w:val="single"/>
              </w:rPr>
              <w:t>-0.</w:t>
            </w:r>
            <w:r>
              <w:rPr>
                <w:rFonts w:hint="eastAsia"/>
                <w:b/>
                <w:bCs/>
                <w:szCs w:val="21"/>
                <w:u w:val="single"/>
              </w:rPr>
              <w:t>28</w:t>
            </w:r>
          </w:p>
        </w:tc>
        <w:tc>
          <w:tcPr>
            <w:tcW w:w="1462" w:type="dxa"/>
            <w:noWrap/>
            <w:vAlign w:val="center"/>
          </w:tcPr>
          <w:p>
            <w:pPr>
              <w:jc w:val="center"/>
              <w:rPr>
                <w:b/>
                <w:bCs/>
                <w:szCs w:val="21"/>
                <w:u w:val="single"/>
              </w:rPr>
            </w:pPr>
            <w:r>
              <w:rPr>
                <w:b/>
                <w:bCs/>
                <w:szCs w:val="21"/>
                <w:u w:val="single"/>
              </w:rPr>
              <w:t>0.</w:t>
            </w:r>
            <w:r>
              <w:rPr>
                <w:rFonts w:hint="eastAsia"/>
                <w:b/>
                <w:bCs/>
                <w:szCs w:val="21"/>
                <w:u w:val="single"/>
              </w:rPr>
              <w:t>48</w:t>
            </w:r>
            <w:r>
              <w:rPr>
                <w:b/>
                <w:bCs/>
                <w:szCs w:val="21"/>
                <w:u w:val="single"/>
              </w:rPr>
              <w:t>-0.</w:t>
            </w:r>
            <w:r>
              <w:rPr>
                <w:rFonts w:hint="eastAsia"/>
                <w:b/>
                <w:bCs/>
                <w:szCs w:val="21"/>
                <w:u w:val="single"/>
              </w:rPr>
              <w:t>56</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widowControl/>
              <w:jc w:val="center"/>
              <w:rPr>
                <w:b/>
                <w:bCs/>
                <w:szCs w:val="21"/>
                <w:u w:val="single"/>
              </w:rPr>
            </w:pPr>
          </w:p>
        </w:tc>
        <w:tc>
          <w:tcPr>
            <w:tcW w:w="1119" w:type="dxa"/>
            <w:noWrap/>
            <w:vAlign w:val="center"/>
          </w:tcPr>
          <w:p>
            <w:pPr>
              <w:jc w:val="center"/>
              <w:rPr>
                <w:b/>
                <w:bCs/>
                <w:szCs w:val="21"/>
                <w:u w:val="single"/>
              </w:rPr>
            </w:pPr>
            <w:r>
              <w:rPr>
                <w:b/>
                <w:bCs/>
                <w:szCs w:val="21"/>
                <w:u w:val="single"/>
              </w:rPr>
              <w:t>硝酸盐</w:t>
            </w:r>
          </w:p>
        </w:tc>
        <w:tc>
          <w:tcPr>
            <w:tcW w:w="1500" w:type="dxa"/>
            <w:noWrap/>
            <w:vAlign w:val="center"/>
          </w:tcPr>
          <w:p>
            <w:pPr>
              <w:jc w:val="center"/>
              <w:rPr>
                <w:b/>
                <w:bCs/>
                <w:szCs w:val="21"/>
                <w:u w:val="single"/>
              </w:rPr>
            </w:pPr>
            <w:r>
              <w:rPr>
                <w:rFonts w:hint="eastAsia"/>
                <w:b/>
                <w:bCs/>
                <w:szCs w:val="21"/>
                <w:u w:val="single"/>
              </w:rPr>
              <w:t>2.12</w:t>
            </w:r>
            <w:r>
              <w:rPr>
                <w:b/>
                <w:bCs/>
                <w:szCs w:val="21"/>
                <w:u w:val="single"/>
              </w:rPr>
              <w:t>-</w:t>
            </w:r>
            <w:r>
              <w:rPr>
                <w:rFonts w:hint="eastAsia"/>
                <w:b/>
                <w:bCs/>
                <w:szCs w:val="21"/>
                <w:u w:val="single"/>
              </w:rPr>
              <w:t>2.18</w:t>
            </w:r>
          </w:p>
        </w:tc>
        <w:tc>
          <w:tcPr>
            <w:tcW w:w="1462" w:type="dxa"/>
            <w:noWrap/>
            <w:vAlign w:val="center"/>
          </w:tcPr>
          <w:p>
            <w:pPr>
              <w:jc w:val="center"/>
              <w:rPr>
                <w:b/>
                <w:bCs/>
                <w:szCs w:val="21"/>
                <w:u w:val="single"/>
              </w:rPr>
            </w:pPr>
            <w:r>
              <w:rPr>
                <w:b/>
                <w:bCs/>
                <w:szCs w:val="21"/>
                <w:u w:val="single"/>
              </w:rPr>
              <w:t>0.</w:t>
            </w:r>
            <w:r>
              <w:rPr>
                <w:rFonts w:hint="eastAsia"/>
                <w:b/>
                <w:bCs/>
                <w:szCs w:val="21"/>
                <w:u w:val="single"/>
              </w:rPr>
              <w:t>106</w:t>
            </w:r>
            <w:r>
              <w:rPr>
                <w:b/>
                <w:bCs/>
                <w:szCs w:val="21"/>
                <w:u w:val="single"/>
              </w:rPr>
              <w:t>-0.</w:t>
            </w:r>
            <w:r>
              <w:rPr>
                <w:rFonts w:hint="eastAsia"/>
                <w:b/>
                <w:bCs/>
                <w:szCs w:val="21"/>
                <w:u w:val="single"/>
              </w:rPr>
              <w:t>109</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widowControl/>
              <w:jc w:val="center"/>
              <w:rPr>
                <w:b/>
                <w:bCs/>
                <w:szCs w:val="21"/>
                <w:u w:val="single"/>
              </w:rPr>
            </w:pPr>
          </w:p>
        </w:tc>
        <w:tc>
          <w:tcPr>
            <w:tcW w:w="1119" w:type="dxa"/>
            <w:noWrap/>
            <w:vAlign w:val="center"/>
          </w:tcPr>
          <w:p>
            <w:pPr>
              <w:jc w:val="center"/>
              <w:rPr>
                <w:b/>
                <w:bCs/>
                <w:szCs w:val="21"/>
                <w:u w:val="single"/>
              </w:rPr>
            </w:pPr>
            <w:r>
              <w:rPr>
                <w:b/>
                <w:bCs/>
                <w:szCs w:val="21"/>
                <w:u w:val="single"/>
              </w:rPr>
              <w:t>亚硝酸盐</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widowControl/>
              <w:jc w:val="center"/>
              <w:rPr>
                <w:b/>
                <w:bCs/>
                <w:szCs w:val="21"/>
                <w:u w:val="single"/>
              </w:rPr>
            </w:pPr>
          </w:p>
        </w:tc>
        <w:tc>
          <w:tcPr>
            <w:tcW w:w="1119" w:type="dxa"/>
            <w:noWrap/>
            <w:vAlign w:val="center"/>
          </w:tcPr>
          <w:p>
            <w:pPr>
              <w:jc w:val="center"/>
              <w:rPr>
                <w:b/>
                <w:bCs/>
                <w:szCs w:val="21"/>
                <w:u w:val="single"/>
              </w:rPr>
            </w:pPr>
            <w:r>
              <w:rPr>
                <w:b/>
                <w:bCs/>
                <w:szCs w:val="21"/>
                <w:u w:val="single"/>
              </w:rPr>
              <w:t>挥发酚</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widowControl/>
              <w:jc w:val="center"/>
              <w:rPr>
                <w:b/>
                <w:bCs/>
                <w:szCs w:val="21"/>
                <w:u w:val="single"/>
              </w:rPr>
            </w:pPr>
          </w:p>
        </w:tc>
        <w:tc>
          <w:tcPr>
            <w:tcW w:w="1119" w:type="dxa"/>
            <w:noWrap/>
            <w:vAlign w:val="center"/>
          </w:tcPr>
          <w:p>
            <w:pPr>
              <w:jc w:val="center"/>
              <w:rPr>
                <w:b/>
                <w:bCs/>
                <w:szCs w:val="21"/>
                <w:u w:val="single"/>
              </w:rPr>
            </w:pPr>
            <w:r>
              <w:rPr>
                <w:rFonts w:hint="eastAsia"/>
                <w:b/>
                <w:bCs/>
                <w:szCs w:val="21"/>
                <w:u w:val="single"/>
              </w:rPr>
              <w:t>氰化物</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widowControl/>
              <w:jc w:val="center"/>
              <w:rPr>
                <w:b/>
                <w:bCs/>
                <w:szCs w:val="21"/>
                <w:u w:val="single"/>
              </w:rPr>
            </w:pPr>
          </w:p>
        </w:tc>
        <w:tc>
          <w:tcPr>
            <w:tcW w:w="1119" w:type="dxa"/>
            <w:noWrap/>
            <w:vAlign w:val="center"/>
          </w:tcPr>
          <w:p>
            <w:pPr>
              <w:jc w:val="center"/>
              <w:rPr>
                <w:b/>
                <w:bCs/>
                <w:szCs w:val="21"/>
                <w:u w:val="single"/>
              </w:rPr>
            </w:pPr>
            <w:r>
              <w:rPr>
                <w:b/>
                <w:bCs/>
                <w:szCs w:val="21"/>
                <w:u w:val="single"/>
              </w:rPr>
              <w:t>汞</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widowControl/>
              <w:jc w:val="center"/>
              <w:rPr>
                <w:b/>
                <w:bCs/>
                <w:szCs w:val="21"/>
                <w:u w:val="single"/>
              </w:rPr>
            </w:pPr>
          </w:p>
        </w:tc>
        <w:tc>
          <w:tcPr>
            <w:tcW w:w="1119" w:type="dxa"/>
            <w:noWrap/>
            <w:vAlign w:val="center"/>
          </w:tcPr>
          <w:p>
            <w:pPr>
              <w:jc w:val="center"/>
              <w:rPr>
                <w:b/>
                <w:bCs/>
                <w:szCs w:val="21"/>
                <w:u w:val="single"/>
              </w:rPr>
            </w:pPr>
            <w:r>
              <w:rPr>
                <w:b/>
                <w:bCs/>
                <w:szCs w:val="21"/>
                <w:u w:val="single"/>
              </w:rPr>
              <w:t>铬（六价）</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widowControl/>
              <w:jc w:val="center"/>
              <w:rPr>
                <w:b/>
                <w:bCs/>
                <w:szCs w:val="21"/>
                <w:u w:val="single"/>
              </w:rPr>
            </w:pPr>
          </w:p>
        </w:tc>
        <w:tc>
          <w:tcPr>
            <w:tcW w:w="1119" w:type="dxa"/>
            <w:noWrap/>
            <w:vAlign w:val="center"/>
          </w:tcPr>
          <w:p>
            <w:pPr>
              <w:jc w:val="center"/>
              <w:rPr>
                <w:b/>
                <w:bCs/>
                <w:szCs w:val="21"/>
                <w:u w:val="single"/>
              </w:rPr>
            </w:pPr>
            <w:r>
              <w:rPr>
                <w:b/>
                <w:bCs/>
                <w:szCs w:val="21"/>
                <w:u w:val="single"/>
              </w:rPr>
              <w:t>总硬度</w:t>
            </w:r>
          </w:p>
        </w:tc>
        <w:tc>
          <w:tcPr>
            <w:tcW w:w="1500" w:type="dxa"/>
            <w:noWrap/>
            <w:vAlign w:val="center"/>
          </w:tcPr>
          <w:p>
            <w:pPr>
              <w:jc w:val="center"/>
              <w:rPr>
                <w:b/>
                <w:bCs/>
                <w:szCs w:val="21"/>
                <w:u w:val="single"/>
              </w:rPr>
            </w:pPr>
            <w:r>
              <w:rPr>
                <w:b/>
                <w:bCs/>
                <w:szCs w:val="21"/>
                <w:u w:val="single"/>
              </w:rPr>
              <w:t>3</w:t>
            </w:r>
            <w:r>
              <w:rPr>
                <w:rFonts w:hint="eastAsia"/>
                <w:b/>
                <w:bCs/>
                <w:szCs w:val="21"/>
                <w:u w:val="single"/>
              </w:rPr>
              <w:t>22-</w:t>
            </w:r>
            <w:r>
              <w:rPr>
                <w:b/>
                <w:bCs/>
                <w:szCs w:val="21"/>
                <w:u w:val="single"/>
              </w:rPr>
              <w:t>3</w:t>
            </w:r>
            <w:r>
              <w:rPr>
                <w:rFonts w:hint="eastAsia"/>
                <w:b/>
                <w:bCs/>
                <w:szCs w:val="21"/>
                <w:u w:val="single"/>
              </w:rPr>
              <w:t>45</w:t>
            </w:r>
          </w:p>
        </w:tc>
        <w:tc>
          <w:tcPr>
            <w:tcW w:w="1462" w:type="dxa"/>
            <w:noWrap/>
            <w:vAlign w:val="center"/>
          </w:tcPr>
          <w:p>
            <w:pPr>
              <w:jc w:val="center"/>
              <w:rPr>
                <w:b/>
                <w:bCs/>
                <w:szCs w:val="21"/>
                <w:u w:val="single"/>
              </w:rPr>
            </w:pPr>
            <w:r>
              <w:rPr>
                <w:b/>
                <w:bCs/>
                <w:szCs w:val="21"/>
                <w:u w:val="single"/>
              </w:rPr>
              <w:t>0.</w:t>
            </w:r>
            <w:r>
              <w:rPr>
                <w:rFonts w:hint="eastAsia"/>
                <w:b/>
                <w:bCs/>
                <w:szCs w:val="21"/>
                <w:u w:val="single"/>
              </w:rPr>
              <w:t>715</w:t>
            </w:r>
            <w:r>
              <w:rPr>
                <w:b/>
                <w:bCs/>
                <w:szCs w:val="21"/>
                <w:u w:val="single"/>
              </w:rPr>
              <w:t>-0.</w:t>
            </w:r>
            <w:r>
              <w:rPr>
                <w:rFonts w:hint="eastAsia"/>
                <w:b/>
                <w:bCs/>
                <w:szCs w:val="21"/>
                <w:u w:val="single"/>
              </w:rPr>
              <w:t>766</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≤450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widowControl/>
              <w:jc w:val="center"/>
              <w:rPr>
                <w:b/>
                <w:bCs/>
                <w:szCs w:val="21"/>
                <w:u w:val="single"/>
              </w:rPr>
            </w:pPr>
          </w:p>
        </w:tc>
        <w:tc>
          <w:tcPr>
            <w:tcW w:w="1119" w:type="dxa"/>
            <w:noWrap/>
            <w:vAlign w:val="center"/>
          </w:tcPr>
          <w:p>
            <w:pPr>
              <w:jc w:val="center"/>
              <w:rPr>
                <w:b/>
                <w:bCs/>
                <w:szCs w:val="21"/>
                <w:u w:val="single"/>
              </w:rPr>
            </w:pPr>
            <w:r>
              <w:rPr>
                <w:b/>
                <w:bCs/>
                <w:szCs w:val="21"/>
                <w:u w:val="single"/>
              </w:rPr>
              <w:t>氟化物</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rFonts w:hint="eastAsia"/>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widowControl/>
              <w:jc w:val="center"/>
              <w:rPr>
                <w:b/>
                <w:bCs/>
                <w:szCs w:val="21"/>
                <w:u w:val="single"/>
              </w:rPr>
            </w:pPr>
          </w:p>
        </w:tc>
        <w:tc>
          <w:tcPr>
            <w:tcW w:w="1119" w:type="dxa"/>
            <w:noWrap/>
            <w:vAlign w:val="center"/>
          </w:tcPr>
          <w:p>
            <w:pPr>
              <w:jc w:val="center"/>
              <w:rPr>
                <w:b/>
                <w:bCs/>
                <w:szCs w:val="21"/>
                <w:u w:val="single"/>
              </w:rPr>
            </w:pPr>
            <w:r>
              <w:rPr>
                <w:b/>
                <w:bCs/>
                <w:szCs w:val="21"/>
                <w:u w:val="single"/>
              </w:rPr>
              <w:t>铅</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widowControl/>
              <w:jc w:val="center"/>
              <w:rPr>
                <w:b/>
                <w:bCs/>
                <w:szCs w:val="21"/>
                <w:u w:val="single"/>
              </w:rPr>
            </w:pPr>
          </w:p>
        </w:tc>
        <w:tc>
          <w:tcPr>
            <w:tcW w:w="1119" w:type="dxa"/>
            <w:noWrap/>
            <w:vAlign w:val="center"/>
          </w:tcPr>
          <w:p>
            <w:pPr>
              <w:jc w:val="center"/>
              <w:rPr>
                <w:b/>
                <w:bCs/>
                <w:szCs w:val="21"/>
                <w:u w:val="single"/>
              </w:rPr>
            </w:pPr>
            <w:r>
              <w:rPr>
                <w:b/>
                <w:bCs/>
                <w:szCs w:val="21"/>
                <w:u w:val="single"/>
              </w:rPr>
              <w:t>镉</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铁</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溶解性总固体</w:t>
            </w:r>
          </w:p>
        </w:tc>
        <w:tc>
          <w:tcPr>
            <w:tcW w:w="1500" w:type="dxa"/>
            <w:noWrap/>
            <w:vAlign w:val="center"/>
          </w:tcPr>
          <w:p>
            <w:pPr>
              <w:jc w:val="center"/>
              <w:rPr>
                <w:b/>
                <w:bCs/>
                <w:szCs w:val="21"/>
                <w:u w:val="single"/>
              </w:rPr>
            </w:pPr>
            <w:r>
              <w:rPr>
                <w:rFonts w:hint="eastAsia"/>
                <w:b/>
                <w:bCs/>
                <w:szCs w:val="21"/>
                <w:u w:val="single"/>
              </w:rPr>
              <w:t>446</w:t>
            </w:r>
            <w:r>
              <w:rPr>
                <w:b/>
                <w:bCs/>
                <w:szCs w:val="21"/>
                <w:u w:val="single"/>
              </w:rPr>
              <w:t>-</w:t>
            </w:r>
            <w:r>
              <w:rPr>
                <w:rFonts w:hint="eastAsia"/>
                <w:b/>
                <w:bCs/>
                <w:szCs w:val="21"/>
                <w:u w:val="single"/>
              </w:rPr>
              <w:t>456</w:t>
            </w:r>
          </w:p>
        </w:tc>
        <w:tc>
          <w:tcPr>
            <w:tcW w:w="1462" w:type="dxa"/>
            <w:noWrap/>
            <w:vAlign w:val="center"/>
          </w:tcPr>
          <w:p>
            <w:pPr>
              <w:jc w:val="center"/>
              <w:rPr>
                <w:b/>
                <w:bCs/>
                <w:szCs w:val="21"/>
                <w:u w:val="single"/>
              </w:rPr>
            </w:pPr>
            <w:r>
              <w:rPr>
                <w:b/>
                <w:bCs/>
                <w:szCs w:val="21"/>
                <w:u w:val="single"/>
              </w:rPr>
              <w:t>0.</w:t>
            </w:r>
            <w:r>
              <w:rPr>
                <w:rFonts w:hint="eastAsia"/>
                <w:b/>
                <w:bCs/>
                <w:szCs w:val="21"/>
                <w:u w:val="single"/>
              </w:rPr>
              <w:t>44</w:t>
            </w:r>
            <w:r>
              <w:rPr>
                <w:b/>
                <w:bCs/>
                <w:szCs w:val="21"/>
                <w:u w:val="single"/>
              </w:rPr>
              <w:t>6-0.</w:t>
            </w:r>
            <w:r>
              <w:rPr>
                <w:rFonts w:hint="eastAsia"/>
                <w:b/>
                <w:bCs/>
                <w:szCs w:val="21"/>
                <w:u w:val="single"/>
              </w:rPr>
              <w:t>456</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≤1000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耗氧量</w:t>
            </w:r>
          </w:p>
        </w:tc>
        <w:tc>
          <w:tcPr>
            <w:tcW w:w="1500" w:type="dxa"/>
            <w:noWrap/>
            <w:vAlign w:val="center"/>
          </w:tcPr>
          <w:p>
            <w:pPr>
              <w:jc w:val="center"/>
              <w:rPr>
                <w:b/>
                <w:bCs/>
                <w:szCs w:val="21"/>
                <w:u w:val="single"/>
              </w:rPr>
            </w:pPr>
            <w:r>
              <w:rPr>
                <w:rFonts w:hint="eastAsia"/>
                <w:b/>
                <w:bCs/>
                <w:szCs w:val="21"/>
                <w:u w:val="single"/>
              </w:rPr>
              <w:t>1.7-1.8</w:t>
            </w:r>
          </w:p>
        </w:tc>
        <w:tc>
          <w:tcPr>
            <w:tcW w:w="1462" w:type="dxa"/>
            <w:noWrap/>
            <w:vAlign w:val="center"/>
          </w:tcPr>
          <w:p>
            <w:pPr>
              <w:jc w:val="center"/>
              <w:rPr>
                <w:b/>
                <w:bCs/>
                <w:szCs w:val="21"/>
                <w:u w:val="single"/>
              </w:rPr>
            </w:pPr>
            <w:r>
              <w:rPr>
                <w:b/>
                <w:bCs/>
                <w:szCs w:val="21"/>
                <w:u w:val="single"/>
              </w:rPr>
              <w:t>0.</w:t>
            </w:r>
            <w:r>
              <w:rPr>
                <w:rFonts w:hint="eastAsia"/>
                <w:b/>
                <w:bCs/>
                <w:szCs w:val="21"/>
                <w:u w:val="single"/>
              </w:rPr>
              <w:t>57-0.6</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硫酸盐</w:t>
            </w:r>
          </w:p>
        </w:tc>
        <w:tc>
          <w:tcPr>
            <w:tcW w:w="1500" w:type="dxa"/>
            <w:noWrap/>
            <w:vAlign w:val="center"/>
          </w:tcPr>
          <w:p>
            <w:pPr>
              <w:jc w:val="center"/>
              <w:rPr>
                <w:b/>
                <w:bCs/>
                <w:szCs w:val="21"/>
                <w:u w:val="single"/>
              </w:rPr>
            </w:pPr>
            <w:r>
              <w:rPr>
                <w:rFonts w:hint="eastAsia"/>
                <w:b/>
                <w:bCs/>
                <w:szCs w:val="21"/>
                <w:u w:val="single"/>
              </w:rPr>
              <w:t>9.3</w:t>
            </w:r>
            <w:r>
              <w:rPr>
                <w:b/>
                <w:bCs/>
                <w:szCs w:val="21"/>
                <w:u w:val="single"/>
              </w:rPr>
              <w:t>-</w:t>
            </w:r>
            <w:r>
              <w:rPr>
                <w:rFonts w:hint="eastAsia"/>
                <w:b/>
                <w:bCs/>
                <w:szCs w:val="21"/>
                <w:u w:val="single"/>
              </w:rPr>
              <w:t>10.5</w:t>
            </w:r>
          </w:p>
        </w:tc>
        <w:tc>
          <w:tcPr>
            <w:tcW w:w="1462" w:type="dxa"/>
            <w:noWrap/>
            <w:vAlign w:val="center"/>
          </w:tcPr>
          <w:p>
            <w:pPr>
              <w:jc w:val="center"/>
              <w:rPr>
                <w:b/>
                <w:bCs/>
                <w:szCs w:val="21"/>
                <w:u w:val="single"/>
              </w:rPr>
            </w:pPr>
            <w:r>
              <w:rPr>
                <w:b/>
                <w:bCs/>
                <w:szCs w:val="21"/>
                <w:u w:val="single"/>
              </w:rPr>
              <w:t>0.0</w:t>
            </w:r>
            <w:r>
              <w:rPr>
                <w:rFonts w:hint="eastAsia"/>
                <w:b/>
                <w:bCs/>
                <w:szCs w:val="21"/>
                <w:u w:val="single"/>
              </w:rPr>
              <w:t>372</w:t>
            </w:r>
            <w:r>
              <w:rPr>
                <w:b/>
                <w:bCs/>
                <w:szCs w:val="21"/>
                <w:u w:val="single"/>
              </w:rPr>
              <w:t>-0.0</w:t>
            </w:r>
            <w:r>
              <w:rPr>
                <w:rFonts w:hint="eastAsia"/>
                <w:b/>
                <w:bCs/>
                <w:szCs w:val="21"/>
                <w:u w:val="single"/>
              </w:rPr>
              <w:t>42</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szCs w:val="21"/>
                <w:u w:val="single"/>
              </w:rPr>
            </w:pPr>
            <w:r>
              <w:rPr>
                <w:b/>
                <w:bCs/>
                <w:szCs w:val="21"/>
                <w:u w:val="single"/>
              </w:rPr>
              <w:t>≤250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总大肠菌群</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≤3.0（个/L）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钾</w:t>
            </w:r>
          </w:p>
        </w:tc>
        <w:tc>
          <w:tcPr>
            <w:tcW w:w="1500" w:type="dxa"/>
            <w:noWrap/>
            <w:vAlign w:val="center"/>
          </w:tcPr>
          <w:p>
            <w:pPr>
              <w:jc w:val="center"/>
              <w:rPr>
                <w:b/>
                <w:bCs/>
                <w:szCs w:val="21"/>
                <w:u w:val="single"/>
              </w:rPr>
            </w:pPr>
            <w:r>
              <w:rPr>
                <w:rFonts w:hint="eastAsia"/>
                <w:b/>
                <w:bCs/>
                <w:szCs w:val="21"/>
                <w:u w:val="single"/>
              </w:rPr>
              <w:t>1.92</w:t>
            </w:r>
            <w:r>
              <w:rPr>
                <w:b/>
                <w:bCs/>
                <w:szCs w:val="21"/>
                <w:u w:val="single"/>
              </w:rPr>
              <w:t>-</w:t>
            </w:r>
            <w:r>
              <w:rPr>
                <w:rFonts w:hint="eastAsia"/>
                <w:b/>
                <w:bCs/>
                <w:szCs w:val="21"/>
                <w:u w:val="single"/>
              </w:rPr>
              <w:t>2.27</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钠</w:t>
            </w:r>
          </w:p>
        </w:tc>
        <w:tc>
          <w:tcPr>
            <w:tcW w:w="1500" w:type="dxa"/>
            <w:noWrap/>
            <w:vAlign w:val="center"/>
          </w:tcPr>
          <w:p>
            <w:pPr>
              <w:jc w:val="center"/>
              <w:rPr>
                <w:b/>
                <w:bCs/>
                <w:szCs w:val="21"/>
                <w:u w:val="single"/>
              </w:rPr>
            </w:pPr>
            <w:r>
              <w:rPr>
                <w:rFonts w:hint="eastAsia"/>
                <w:b/>
                <w:bCs/>
                <w:szCs w:val="21"/>
                <w:u w:val="single"/>
              </w:rPr>
              <w:t>73.6</w:t>
            </w:r>
            <w:r>
              <w:rPr>
                <w:b/>
                <w:bCs/>
                <w:szCs w:val="21"/>
                <w:u w:val="single"/>
              </w:rPr>
              <w:t>-</w:t>
            </w:r>
            <w:r>
              <w:rPr>
                <w:rFonts w:hint="eastAsia"/>
                <w:b/>
                <w:bCs/>
                <w:szCs w:val="21"/>
                <w:u w:val="single"/>
              </w:rPr>
              <w:t>74.4</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widowControl/>
              <w:jc w:val="center"/>
              <w:rPr>
                <w:b/>
                <w:bCs/>
                <w:szCs w:val="21"/>
                <w:u w:val="single"/>
              </w:rPr>
            </w:pPr>
            <w:r>
              <w:rPr>
                <w:b/>
                <w:bCs/>
                <w:szCs w:val="21"/>
                <w:u w:val="single"/>
              </w:rPr>
              <w:t>CO</w:t>
            </w:r>
            <w:r>
              <w:rPr>
                <w:b/>
                <w:bCs/>
                <w:szCs w:val="21"/>
                <w:u w:val="single"/>
                <w:vertAlign w:val="subscript"/>
              </w:rPr>
              <w:t>3</w:t>
            </w:r>
            <w:r>
              <w:rPr>
                <w:b/>
                <w:bCs/>
                <w:szCs w:val="21"/>
                <w:u w:val="single"/>
                <w:vertAlign w:val="superscript"/>
              </w:rPr>
              <w:t>2-</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HCO</w:t>
            </w:r>
            <w:r>
              <w:rPr>
                <w:b/>
                <w:bCs/>
                <w:szCs w:val="21"/>
                <w:u w:val="single"/>
                <w:vertAlign w:val="subscript"/>
              </w:rPr>
              <w:t>3</w:t>
            </w:r>
            <w:r>
              <w:rPr>
                <w:b/>
                <w:bCs/>
                <w:szCs w:val="21"/>
                <w:u w:val="single"/>
                <w:vertAlign w:val="superscript"/>
              </w:rPr>
              <w:t>-</w:t>
            </w:r>
          </w:p>
        </w:tc>
        <w:tc>
          <w:tcPr>
            <w:tcW w:w="1500" w:type="dxa"/>
            <w:noWrap/>
            <w:vAlign w:val="center"/>
          </w:tcPr>
          <w:p>
            <w:pPr>
              <w:jc w:val="center"/>
              <w:rPr>
                <w:b/>
                <w:bCs/>
                <w:szCs w:val="21"/>
                <w:u w:val="single"/>
              </w:rPr>
            </w:pPr>
            <w:r>
              <w:rPr>
                <w:rFonts w:hint="eastAsia"/>
                <w:b/>
                <w:bCs/>
                <w:szCs w:val="21"/>
                <w:u w:val="single"/>
              </w:rPr>
              <w:t>13.1</w:t>
            </w:r>
            <w:r>
              <w:rPr>
                <w:b/>
                <w:bCs/>
                <w:szCs w:val="21"/>
                <w:u w:val="single"/>
              </w:rPr>
              <w:t>-</w:t>
            </w:r>
            <w:r>
              <w:rPr>
                <w:rFonts w:hint="eastAsia"/>
                <w:b/>
                <w:bCs/>
                <w:szCs w:val="21"/>
                <w:u w:val="single"/>
              </w:rPr>
              <w:t>13.5</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Mg</w:t>
            </w:r>
            <w:r>
              <w:rPr>
                <w:b/>
                <w:bCs/>
                <w:szCs w:val="21"/>
                <w:u w:val="single"/>
                <w:vertAlign w:val="superscript"/>
              </w:rPr>
              <w:t>2+</w:t>
            </w:r>
          </w:p>
        </w:tc>
        <w:tc>
          <w:tcPr>
            <w:tcW w:w="1500" w:type="dxa"/>
            <w:noWrap/>
            <w:vAlign w:val="center"/>
          </w:tcPr>
          <w:p>
            <w:pPr>
              <w:jc w:val="center"/>
              <w:rPr>
                <w:b/>
                <w:bCs/>
                <w:szCs w:val="21"/>
                <w:u w:val="single"/>
              </w:rPr>
            </w:pPr>
            <w:r>
              <w:rPr>
                <w:rFonts w:hint="eastAsia"/>
                <w:b/>
                <w:bCs/>
                <w:szCs w:val="21"/>
                <w:u w:val="single"/>
              </w:rPr>
              <w:t>28-31</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Ca</w:t>
            </w:r>
            <w:r>
              <w:rPr>
                <w:b/>
                <w:bCs/>
                <w:szCs w:val="21"/>
                <w:u w:val="single"/>
                <w:vertAlign w:val="superscript"/>
              </w:rPr>
              <w:t>2+</w:t>
            </w:r>
          </w:p>
        </w:tc>
        <w:tc>
          <w:tcPr>
            <w:tcW w:w="1500" w:type="dxa"/>
            <w:noWrap/>
            <w:vAlign w:val="center"/>
          </w:tcPr>
          <w:p>
            <w:pPr>
              <w:jc w:val="center"/>
              <w:rPr>
                <w:b/>
                <w:bCs/>
                <w:szCs w:val="21"/>
                <w:u w:val="single"/>
              </w:rPr>
            </w:pPr>
            <w:r>
              <w:rPr>
                <w:rFonts w:hint="eastAsia"/>
                <w:b/>
                <w:bCs/>
                <w:szCs w:val="21"/>
                <w:u w:val="single"/>
              </w:rPr>
              <w:t>29-34</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铜</w:t>
            </w:r>
          </w:p>
        </w:tc>
        <w:tc>
          <w:tcPr>
            <w:tcW w:w="1500" w:type="dxa"/>
            <w:noWrap/>
            <w:vAlign w:val="center"/>
          </w:tcPr>
          <w:p>
            <w:pPr>
              <w:jc w:val="center"/>
              <w:rPr>
                <w:b/>
                <w:bCs/>
                <w:szCs w:val="21"/>
                <w:u w:val="single"/>
              </w:rPr>
            </w:pPr>
            <w:r>
              <w:rPr>
                <w:rFonts w:hint="eastAsia"/>
                <w:b/>
                <w:bCs/>
                <w:szCs w:val="21"/>
                <w:u w:val="single"/>
              </w:rPr>
              <w:t>0.015-0.021</w:t>
            </w:r>
          </w:p>
        </w:tc>
        <w:tc>
          <w:tcPr>
            <w:tcW w:w="1462" w:type="dxa"/>
            <w:noWrap/>
            <w:vAlign w:val="center"/>
          </w:tcPr>
          <w:p>
            <w:pPr>
              <w:jc w:val="center"/>
              <w:rPr>
                <w:b/>
                <w:bCs/>
                <w:szCs w:val="21"/>
                <w:u w:val="single"/>
              </w:rPr>
            </w:pPr>
            <w:r>
              <w:rPr>
                <w:rFonts w:hint="eastAsia"/>
                <w:b/>
                <w:bCs/>
                <w:szCs w:val="21"/>
                <w:u w:val="single"/>
              </w:rPr>
              <w:t>0.015-0.021</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菌落总数</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rFonts w:hint="eastAsia"/>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restart"/>
            <w:noWrap/>
            <w:vAlign w:val="center"/>
          </w:tcPr>
          <w:p>
            <w:pPr>
              <w:pStyle w:val="190"/>
              <w:rPr>
                <w:rFonts w:cs="Times New Roman"/>
                <w:b/>
                <w:bCs/>
                <w:szCs w:val="21"/>
                <w:u w:val="single"/>
              </w:rPr>
            </w:pPr>
            <w:r>
              <w:rPr>
                <w:rFonts w:hint="eastAsia" w:ascii="宋体" w:hAnsi="宋体" w:cs="Times New Roman"/>
                <w:b/>
                <w:bCs/>
                <w:szCs w:val="21"/>
                <w:u w:val="single"/>
              </w:rPr>
              <w:t>仙翁庙</w:t>
            </w:r>
          </w:p>
        </w:tc>
        <w:tc>
          <w:tcPr>
            <w:tcW w:w="1119" w:type="dxa"/>
            <w:noWrap/>
            <w:vAlign w:val="center"/>
          </w:tcPr>
          <w:p>
            <w:pPr>
              <w:jc w:val="center"/>
              <w:rPr>
                <w:b/>
                <w:bCs/>
                <w:szCs w:val="21"/>
                <w:u w:val="single"/>
              </w:rPr>
            </w:pPr>
            <w:r>
              <w:rPr>
                <w:b/>
                <w:bCs/>
                <w:szCs w:val="21"/>
                <w:u w:val="single"/>
              </w:rPr>
              <w:t>pH</w:t>
            </w:r>
          </w:p>
        </w:tc>
        <w:tc>
          <w:tcPr>
            <w:tcW w:w="1500" w:type="dxa"/>
            <w:noWrap/>
            <w:vAlign w:val="center"/>
          </w:tcPr>
          <w:p>
            <w:pPr>
              <w:jc w:val="center"/>
              <w:rPr>
                <w:b/>
                <w:bCs/>
                <w:szCs w:val="21"/>
                <w:u w:val="single"/>
              </w:rPr>
            </w:pPr>
            <w:r>
              <w:rPr>
                <w:rFonts w:hint="eastAsia"/>
                <w:b/>
                <w:bCs/>
                <w:szCs w:val="21"/>
                <w:u w:val="single"/>
              </w:rPr>
              <w:t>7.4-</w:t>
            </w:r>
            <w:r>
              <w:rPr>
                <w:b/>
                <w:bCs/>
                <w:szCs w:val="21"/>
                <w:u w:val="single"/>
              </w:rPr>
              <w:t>7.</w:t>
            </w:r>
            <w:r>
              <w:rPr>
                <w:rFonts w:hint="eastAsia"/>
                <w:b/>
                <w:bCs/>
                <w:szCs w:val="21"/>
                <w:u w:val="single"/>
              </w:rPr>
              <w:t>5</w:t>
            </w:r>
          </w:p>
        </w:tc>
        <w:tc>
          <w:tcPr>
            <w:tcW w:w="1462" w:type="dxa"/>
            <w:noWrap/>
            <w:vAlign w:val="center"/>
          </w:tcPr>
          <w:p>
            <w:pPr>
              <w:jc w:val="center"/>
              <w:rPr>
                <w:b/>
                <w:bCs/>
                <w:szCs w:val="21"/>
                <w:u w:val="single"/>
              </w:rPr>
            </w:pPr>
            <w:r>
              <w:rPr>
                <w:rFonts w:hint="eastAsia"/>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6.5~8.5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氨氮</w:t>
            </w:r>
          </w:p>
        </w:tc>
        <w:tc>
          <w:tcPr>
            <w:tcW w:w="1500" w:type="dxa"/>
            <w:noWrap/>
            <w:vAlign w:val="center"/>
          </w:tcPr>
          <w:p>
            <w:pPr>
              <w:jc w:val="center"/>
              <w:rPr>
                <w:b/>
                <w:bCs/>
                <w:szCs w:val="21"/>
                <w:u w:val="single"/>
              </w:rPr>
            </w:pPr>
            <w:r>
              <w:rPr>
                <w:rFonts w:hint="eastAsia"/>
                <w:b/>
                <w:bCs/>
                <w:szCs w:val="21"/>
                <w:u w:val="single"/>
              </w:rPr>
              <w:t>0.22-0.23</w:t>
            </w:r>
          </w:p>
        </w:tc>
        <w:tc>
          <w:tcPr>
            <w:tcW w:w="1462" w:type="dxa"/>
            <w:noWrap/>
            <w:vAlign w:val="center"/>
          </w:tcPr>
          <w:p>
            <w:pPr>
              <w:jc w:val="center"/>
              <w:rPr>
                <w:b/>
                <w:bCs/>
                <w:szCs w:val="21"/>
                <w:u w:val="single"/>
              </w:rPr>
            </w:pPr>
            <w:r>
              <w:rPr>
                <w:rFonts w:hint="eastAsia"/>
                <w:b/>
                <w:bCs/>
                <w:szCs w:val="21"/>
                <w:u w:val="single"/>
              </w:rPr>
              <w:t>0.44-0.46</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硝酸盐</w:t>
            </w:r>
          </w:p>
        </w:tc>
        <w:tc>
          <w:tcPr>
            <w:tcW w:w="1500" w:type="dxa"/>
            <w:noWrap/>
            <w:vAlign w:val="center"/>
          </w:tcPr>
          <w:p>
            <w:pPr>
              <w:jc w:val="center"/>
              <w:rPr>
                <w:b/>
                <w:bCs/>
                <w:szCs w:val="21"/>
                <w:u w:val="single"/>
              </w:rPr>
            </w:pPr>
            <w:r>
              <w:rPr>
                <w:b/>
                <w:bCs/>
                <w:szCs w:val="21"/>
                <w:u w:val="single"/>
              </w:rPr>
              <w:t>1.</w:t>
            </w:r>
            <w:r>
              <w:rPr>
                <w:rFonts w:hint="eastAsia"/>
                <w:b/>
                <w:bCs/>
                <w:szCs w:val="21"/>
                <w:u w:val="single"/>
              </w:rPr>
              <w:t>95</w:t>
            </w:r>
            <w:r>
              <w:rPr>
                <w:b/>
                <w:bCs/>
                <w:szCs w:val="21"/>
                <w:u w:val="single"/>
              </w:rPr>
              <w:t>-</w:t>
            </w:r>
            <w:r>
              <w:rPr>
                <w:rFonts w:hint="eastAsia"/>
                <w:b/>
                <w:bCs/>
                <w:szCs w:val="21"/>
                <w:u w:val="single"/>
              </w:rPr>
              <w:t>2.01</w:t>
            </w:r>
          </w:p>
        </w:tc>
        <w:tc>
          <w:tcPr>
            <w:tcW w:w="1462" w:type="dxa"/>
            <w:noWrap/>
            <w:vAlign w:val="center"/>
          </w:tcPr>
          <w:p>
            <w:pPr>
              <w:jc w:val="center"/>
              <w:rPr>
                <w:b/>
                <w:bCs/>
                <w:szCs w:val="21"/>
                <w:u w:val="single"/>
              </w:rPr>
            </w:pPr>
            <w:r>
              <w:rPr>
                <w:b/>
                <w:bCs/>
                <w:szCs w:val="21"/>
                <w:u w:val="single"/>
              </w:rPr>
              <w:t>0.0</w:t>
            </w:r>
            <w:r>
              <w:rPr>
                <w:rFonts w:hint="eastAsia"/>
                <w:b/>
                <w:bCs/>
                <w:szCs w:val="21"/>
                <w:u w:val="single"/>
              </w:rPr>
              <w:t>975</w:t>
            </w:r>
            <w:r>
              <w:rPr>
                <w:b/>
                <w:bCs/>
                <w:szCs w:val="21"/>
                <w:u w:val="single"/>
              </w:rPr>
              <w:t>-0.</w:t>
            </w:r>
            <w:r>
              <w:rPr>
                <w:rFonts w:hint="eastAsia"/>
                <w:b/>
                <w:bCs/>
                <w:szCs w:val="21"/>
                <w:u w:val="single"/>
              </w:rPr>
              <w:t>1005</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亚硝酸盐</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挥发酚</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氰化物</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汞</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铬（六价）</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rFonts w:hint="eastAsia"/>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总硬度</w:t>
            </w:r>
          </w:p>
        </w:tc>
        <w:tc>
          <w:tcPr>
            <w:tcW w:w="1500" w:type="dxa"/>
            <w:noWrap/>
            <w:vAlign w:val="center"/>
          </w:tcPr>
          <w:p>
            <w:pPr>
              <w:jc w:val="center"/>
              <w:rPr>
                <w:b/>
                <w:bCs/>
                <w:szCs w:val="21"/>
                <w:u w:val="single"/>
              </w:rPr>
            </w:pPr>
            <w:r>
              <w:rPr>
                <w:b/>
                <w:bCs/>
                <w:szCs w:val="21"/>
                <w:u w:val="single"/>
              </w:rPr>
              <w:t>3</w:t>
            </w:r>
            <w:r>
              <w:rPr>
                <w:rFonts w:hint="eastAsia"/>
                <w:b/>
                <w:bCs/>
                <w:szCs w:val="21"/>
                <w:u w:val="single"/>
              </w:rPr>
              <w:t>39</w:t>
            </w:r>
            <w:r>
              <w:rPr>
                <w:b/>
                <w:bCs/>
                <w:szCs w:val="21"/>
                <w:u w:val="single"/>
              </w:rPr>
              <w:t>-</w:t>
            </w:r>
            <w:r>
              <w:rPr>
                <w:rFonts w:hint="eastAsia"/>
                <w:b/>
                <w:bCs/>
                <w:szCs w:val="21"/>
                <w:u w:val="single"/>
              </w:rPr>
              <w:t>341</w:t>
            </w:r>
          </w:p>
        </w:tc>
        <w:tc>
          <w:tcPr>
            <w:tcW w:w="1462" w:type="dxa"/>
            <w:noWrap/>
            <w:vAlign w:val="center"/>
          </w:tcPr>
          <w:p>
            <w:pPr>
              <w:jc w:val="center"/>
              <w:rPr>
                <w:b/>
                <w:bCs/>
                <w:szCs w:val="21"/>
                <w:u w:val="single"/>
              </w:rPr>
            </w:pPr>
            <w:r>
              <w:rPr>
                <w:b/>
                <w:bCs/>
                <w:szCs w:val="21"/>
                <w:u w:val="single"/>
              </w:rPr>
              <w:t>0.</w:t>
            </w:r>
            <w:r>
              <w:rPr>
                <w:rFonts w:hint="eastAsia"/>
                <w:b/>
                <w:bCs/>
                <w:szCs w:val="21"/>
                <w:u w:val="single"/>
              </w:rPr>
              <w:t>753</w:t>
            </w:r>
            <w:r>
              <w:rPr>
                <w:b/>
                <w:bCs/>
                <w:szCs w:val="21"/>
                <w:u w:val="single"/>
              </w:rPr>
              <w:t>-0.</w:t>
            </w:r>
            <w:r>
              <w:rPr>
                <w:rFonts w:hint="eastAsia"/>
                <w:b/>
                <w:bCs/>
                <w:szCs w:val="21"/>
                <w:u w:val="single"/>
              </w:rPr>
              <w:t>758</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≤450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氟化物</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rFonts w:hint="eastAsia"/>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铅</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镉</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铁</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溶解性总固体</w:t>
            </w:r>
          </w:p>
        </w:tc>
        <w:tc>
          <w:tcPr>
            <w:tcW w:w="1500" w:type="dxa"/>
            <w:noWrap/>
            <w:vAlign w:val="center"/>
          </w:tcPr>
          <w:p>
            <w:pPr>
              <w:jc w:val="center"/>
              <w:rPr>
                <w:b/>
                <w:bCs/>
                <w:szCs w:val="21"/>
                <w:u w:val="single"/>
              </w:rPr>
            </w:pPr>
            <w:r>
              <w:rPr>
                <w:rFonts w:hint="eastAsia"/>
                <w:b/>
                <w:bCs/>
                <w:szCs w:val="21"/>
                <w:u w:val="single"/>
              </w:rPr>
              <w:t>426</w:t>
            </w:r>
            <w:r>
              <w:rPr>
                <w:b/>
                <w:bCs/>
                <w:szCs w:val="21"/>
                <w:u w:val="single"/>
              </w:rPr>
              <w:t>-</w:t>
            </w:r>
            <w:r>
              <w:rPr>
                <w:rFonts w:hint="eastAsia"/>
                <w:b/>
                <w:bCs/>
                <w:szCs w:val="21"/>
                <w:u w:val="single"/>
              </w:rPr>
              <w:t>440</w:t>
            </w:r>
          </w:p>
        </w:tc>
        <w:tc>
          <w:tcPr>
            <w:tcW w:w="1462" w:type="dxa"/>
            <w:noWrap/>
            <w:vAlign w:val="center"/>
          </w:tcPr>
          <w:p>
            <w:pPr>
              <w:jc w:val="center"/>
              <w:rPr>
                <w:b/>
                <w:bCs/>
                <w:szCs w:val="21"/>
                <w:u w:val="single"/>
              </w:rPr>
            </w:pPr>
            <w:r>
              <w:rPr>
                <w:rFonts w:hint="eastAsia"/>
                <w:b/>
                <w:bCs/>
                <w:szCs w:val="21"/>
                <w:u w:val="single"/>
              </w:rPr>
              <w:t>0.426</w:t>
            </w:r>
            <w:r>
              <w:rPr>
                <w:b/>
                <w:bCs/>
                <w:szCs w:val="21"/>
                <w:u w:val="single"/>
              </w:rPr>
              <w:t>-</w:t>
            </w:r>
            <w:r>
              <w:rPr>
                <w:rFonts w:hint="eastAsia"/>
                <w:b/>
                <w:bCs/>
                <w:szCs w:val="21"/>
                <w:u w:val="single"/>
              </w:rPr>
              <w:t>0.440</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≤1000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耗氧量</w:t>
            </w:r>
          </w:p>
        </w:tc>
        <w:tc>
          <w:tcPr>
            <w:tcW w:w="1500" w:type="dxa"/>
            <w:noWrap/>
            <w:vAlign w:val="center"/>
          </w:tcPr>
          <w:p>
            <w:pPr>
              <w:jc w:val="center"/>
              <w:rPr>
                <w:b/>
                <w:bCs/>
                <w:szCs w:val="21"/>
                <w:u w:val="single"/>
              </w:rPr>
            </w:pPr>
            <w:r>
              <w:rPr>
                <w:b/>
                <w:bCs/>
                <w:szCs w:val="21"/>
                <w:u w:val="single"/>
              </w:rPr>
              <w:t>1.</w:t>
            </w:r>
            <w:r>
              <w:rPr>
                <w:rFonts w:hint="eastAsia"/>
                <w:b/>
                <w:bCs/>
                <w:szCs w:val="21"/>
                <w:u w:val="single"/>
              </w:rPr>
              <w:t>5</w:t>
            </w:r>
            <w:r>
              <w:rPr>
                <w:b/>
                <w:bCs/>
                <w:szCs w:val="21"/>
                <w:u w:val="single"/>
              </w:rPr>
              <w:t>-1.</w:t>
            </w:r>
            <w:r>
              <w:rPr>
                <w:rFonts w:hint="eastAsia"/>
                <w:b/>
                <w:bCs/>
                <w:szCs w:val="21"/>
                <w:u w:val="single"/>
              </w:rPr>
              <w:t>6</w:t>
            </w:r>
          </w:p>
        </w:tc>
        <w:tc>
          <w:tcPr>
            <w:tcW w:w="1462" w:type="dxa"/>
            <w:noWrap/>
            <w:vAlign w:val="center"/>
          </w:tcPr>
          <w:p>
            <w:pPr>
              <w:jc w:val="center"/>
              <w:rPr>
                <w:b/>
                <w:bCs/>
                <w:szCs w:val="21"/>
                <w:u w:val="single"/>
              </w:rPr>
            </w:pPr>
            <w:r>
              <w:rPr>
                <w:rFonts w:hint="eastAsia"/>
                <w:b/>
                <w:bCs/>
                <w:szCs w:val="21"/>
                <w:u w:val="single"/>
              </w:rPr>
              <w:t>0.5</w:t>
            </w:r>
            <w:r>
              <w:rPr>
                <w:b/>
                <w:bCs/>
                <w:szCs w:val="21"/>
                <w:u w:val="single"/>
              </w:rPr>
              <w:t>-0.</w:t>
            </w:r>
            <w:r>
              <w:rPr>
                <w:rFonts w:hint="eastAsia"/>
                <w:b/>
                <w:bCs/>
                <w:szCs w:val="21"/>
                <w:u w:val="single"/>
              </w:rPr>
              <w:t>533</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硫酸盐</w:t>
            </w:r>
          </w:p>
        </w:tc>
        <w:tc>
          <w:tcPr>
            <w:tcW w:w="1500" w:type="dxa"/>
            <w:noWrap/>
            <w:vAlign w:val="center"/>
          </w:tcPr>
          <w:p>
            <w:pPr>
              <w:jc w:val="center"/>
              <w:rPr>
                <w:b/>
                <w:bCs/>
                <w:szCs w:val="21"/>
                <w:u w:val="single"/>
              </w:rPr>
            </w:pPr>
            <w:r>
              <w:rPr>
                <w:rFonts w:hint="eastAsia"/>
                <w:b/>
                <w:bCs/>
                <w:szCs w:val="21"/>
                <w:u w:val="single"/>
              </w:rPr>
              <w:t>14.2</w:t>
            </w:r>
            <w:r>
              <w:rPr>
                <w:b/>
                <w:bCs/>
                <w:szCs w:val="21"/>
                <w:u w:val="single"/>
              </w:rPr>
              <w:t>-1</w:t>
            </w:r>
            <w:r>
              <w:rPr>
                <w:rFonts w:hint="eastAsia"/>
                <w:b/>
                <w:bCs/>
                <w:szCs w:val="21"/>
                <w:u w:val="single"/>
              </w:rPr>
              <w:t>4.5</w:t>
            </w:r>
          </w:p>
        </w:tc>
        <w:tc>
          <w:tcPr>
            <w:tcW w:w="1462" w:type="dxa"/>
            <w:noWrap/>
            <w:vAlign w:val="center"/>
          </w:tcPr>
          <w:p>
            <w:pPr>
              <w:jc w:val="center"/>
              <w:rPr>
                <w:b/>
                <w:bCs/>
                <w:szCs w:val="21"/>
                <w:u w:val="single"/>
              </w:rPr>
            </w:pPr>
            <w:r>
              <w:rPr>
                <w:b/>
                <w:bCs/>
                <w:szCs w:val="21"/>
                <w:u w:val="single"/>
              </w:rPr>
              <w:t>0.0</w:t>
            </w:r>
            <w:r>
              <w:rPr>
                <w:rFonts w:hint="eastAsia"/>
                <w:b/>
                <w:bCs/>
                <w:szCs w:val="21"/>
                <w:u w:val="single"/>
              </w:rPr>
              <w:t>568</w:t>
            </w:r>
            <w:r>
              <w:rPr>
                <w:b/>
                <w:bCs/>
                <w:szCs w:val="21"/>
                <w:u w:val="single"/>
              </w:rPr>
              <w:t>-0.0</w:t>
            </w:r>
            <w:r>
              <w:rPr>
                <w:rFonts w:hint="eastAsia"/>
                <w:b/>
                <w:bCs/>
                <w:szCs w:val="21"/>
                <w:u w:val="single"/>
              </w:rPr>
              <w:t>58</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≤250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总大肠菌群</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≤3.0（个/L）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钾</w:t>
            </w:r>
          </w:p>
        </w:tc>
        <w:tc>
          <w:tcPr>
            <w:tcW w:w="1500" w:type="dxa"/>
            <w:noWrap/>
            <w:vAlign w:val="center"/>
          </w:tcPr>
          <w:p>
            <w:pPr>
              <w:jc w:val="center"/>
              <w:rPr>
                <w:b/>
                <w:bCs/>
                <w:szCs w:val="21"/>
                <w:u w:val="single"/>
              </w:rPr>
            </w:pPr>
            <w:r>
              <w:rPr>
                <w:rFonts w:hint="eastAsia"/>
                <w:b/>
                <w:bCs/>
                <w:szCs w:val="21"/>
                <w:u w:val="single"/>
              </w:rPr>
              <w:t>2.08</w:t>
            </w:r>
            <w:r>
              <w:rPr>
                <w:b/>
                <w:bCs/>
                <w:szCs w:val="21"/>
                <w:u w:val="single"/>
              </w:rPr>
              <w:t>-</w:t>
            </w:r>
            <w:r>
              <w:rPr>
                <w:rFonts w:hint="eastAsia"/>
                <w:b/>
                <w:bCs/>
                <w:szCs w:val="21"/>
                <w:u w:val="single"/>
              </w:rPr>
              <w:t>2.23</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钠</w:t>
            </w:r>
          </w:p>
        </w:tc>
        <w:tc>
          <w:tcPr>
            <w:tcW w:w="1500" w:type="dxa"/>
            <w:noWrap/>
            <w:vAlign w:val="center"/>
          </w:tcPr>
          <w:p>
            <w:pPr>
              <w:jc w:val="center"/>
              <w:rPr>
                <w:b/>
                <w:bCs/>
                <w:szCs w:val="21"/>
                <w:u w:val="single"/>
              </w:rPr>
            </w:pPr>
            <w:r>
              <w:rPr>
                <w:rFonts w:hint="eastAsia"/>
                <w:b/>
                <w:bCs/>
                <w:szCs w:val="21"/>
                <w:u w:val="single"/>
              </w:rPr>
              <w:t>73.4</w:t>
            </w:r>
            <w:r>
              <w:rPr>
                <w:b/>
                <w:bCs/>
                <w:szCs w:val="21"/>
                <w:u w:val="single"/>
              </w:rPr>
              <w:t>-</w:t>
            </w:r>
            <w:r>
              <w:rPr>
                <w:rFonts w:hint="eastAsia"/>
                <w:b/>
                <w:bCs/>
                <w:szCs w:val="21"/>
                <w:u w:val="single"/>
              </w:rPr>
              <w:t>75.0</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widowControl/>
              <w:jc w:val="center"/>
              <w:rPr>
                <w:b/>
                <w:bCs/>
                <w:szCs w:val="21"/>
                <w:u w:val="single"/>
              </w:rPr>
            </w:pPr>
            <w:r>
              <w:rPr>
                <w:b/>
                <w:bCs/>
                <w:szCs w:val="21"/>
                <w:u w:val="single"/>
              </w:rPr>
              <w:t>CO</w:t>
            </w:r>
            <w:r>
              <w:rPr>
                <w:b/>
                <w:bCs/>
                <w:szCs w:val="21"/>
                <w:u w:val="single"/>
                <w:vertAlign w:val="subscript"/>
              </w:rPr>
              <w:t>3</w:t>
            </w:r>
            <w:r>
              <w:rPr>
                <w:b/>
                <w:bCs/>
                <w:szCs w:val="21"/>
                <w:u w:val="single"/>
                <w:vertAlign w:val="superscript"/>
              </w:rPr>
              <w:t>2-</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HCO</w:t>
            </w:r>
            <w:r>
              <w:rPr>
                <w:b/>
                <w:bCs/>
                <w:szCs w:val="21"/>
                <w:u w:val="single"/>
                <w:vertAlign w:val="subscript"/>
              </w:rPr>
              <w:t>3</w:t>
            </w:r>
            <w:r>
              <w:rPr>
                <w:b/>
                <w:bCs/>
                <w:szCs w:val="21"/>
                <w:u w:val="single"/>
                <w:vertAlign w:val="superscript"/>
              </w:rPr>
              <w:t>-</w:t>
            </w:r>
          </w:p>
        </w:tc>
        <w:tc>
          <w:tcPr>
            <w:tcW w:w="1500" w:type="dxa"/>
            <w:noWrap/>
            <w:vAlign w:val="center"/>
          </w:tcPr>
          <w:p>
            <w:pPr>
              <w:jc w:val="center"/>
              <w:rPr>
                <w:b/>
                <w:bCs/>
                <w:szCs w:val="21"/>
                <w:u w:val="single"/>
              </w:rPr>
            </w:pPr>
            <w:r>
              <w:rPr>
                <w:rFonts w:hint="eastAsia"/>
                <w:b/>
                <w:bCs/>
                <w:szCs w:val="21"/>
                <w:u w:val="single"/>
              </w:rPr>
              <w:t>9.5</w:t>
            </w:r>
            <w:r>
              <w:rPr>
                <w:b/>
                <w:bCs/>
                <w:szCs w:val="21"/>
                <w:u w:val="single"/>
              </w:rPr>
              <w:t>-</w:t>
            </w:r>
            <w:r>
              <w:rPr>
                <w:rFonts w:hint="eastAsia"/>
                <w:b/>
                <w:bCs/>
                <w:szCs w:val="21"/>
                <w:u w:val="single"/>
              </w:rPr>
              <w:t>10.2</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Mg</w:t>
            </w:r>
            <w:r>
              <w:rPr>
                <w:b/>
                <w:bCs/>
                <w:szCs w:val="21"/>
                <w:u w:val="single"/>
                <w:vertAlign w:val="superscript"/>
              </w:rPr>
              <w:t>2+</w:t>
            </w:r>
          </w:p>
        </w:tc>
        <w:tc>
          <w:tcPr>
            <w:tcW w:w="1500" w:type="dxa"/>
            <w:noWrap/>
            <w:vAlign w:val="center"/>
          </w:tcPr>
          <w:p>
            <w:pPr>
              <w:jc w:val="center"/>
              <w:rPr>
                <w:b/>
                <w:bCs/>
                <w:szCs w:val="21"/>
                <w:u w:val="single"/>
              </w:rPr>
            </w:pPr>
            <w:r>
              <w:rPr>
                <w:rFonts w:hint="eastAsia"/>
                <w:b/>
                <w:bCs/>
                <w:szCs w:val="21"/>
                <w:u w:val="single"/>
              </w:rPr>
              <w:t>25</w:t>
            </w:r>
            <w:r>
              <w:rPr>
                <w:b/>
                <w:bCs/>
                <w:szCs w:val="21"/>
                <w:u w:val="single"/>
              </w:rPr>
              <w:t>-</w:t>
            </w:r>
            <w:r>
              <w:rPr>
                <w:rFonts w:hint="eastAsia"/>
                <w:b/>
                <w:bCs/>
                <w:szCs w:val="21"/>
                <w:u w:val="single"/>
              </w:rPr>
              <w:t>26</w:t>
            </w:r>
            <w:r>
              <w:rPr>
                <w:b/>
                <w:bCs/>
                <w:szCs w:val="21"/>
                <w:u w:val="single"/>
              </w:rPr>
              <w:t>2</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Ca</w:t>
            </w:r>
            <w:r>
              <w:rPr>
                <w:b/>
                <w:bCs/>
                <w:szCs w:val="21"/>
                <w:u w:val="single"/>
                <w:vertAlign w:val="superscript"/>
              </w:rPr>
              <w:t>2+</w:t>
            </w:r>
          </w:p>
        </w:tc>
        <w:tc>
          <w:tcPr>
            <w:tcW w:w="1500" w:type="dxa"/>
            <w:noWrap/>
            <w:vAlign w:val="center"/>
          </w:tcPr>
          <w:p>
            <w:pPr>
              <w:jc w:val="center"/>
              <w:rPr>
                <w:b/>
                <w:bCs/>
                <w:szCs w:val="21"/>
                <w:u w:val="single"/>
              </w:rPr>
            </w:pPr>
            <w:r>
              <w:rPr>
                <w:rFonts w:hint="eastAsia"/>
                <w:b/>
                <w:bCs/>
                <w:szCs w:val="21"/>
                <w:u w:val="single"/>
              </w:rPr>
              <w:t>31</w:t>
            </w:r>
            <w:r>
              <w:rPr>
                <w:b/>
                <w:bCs/>
                <w:szCs w:val="21"/>
                <w:u w:val="single"/>
              </w:rPr>
              <w:t>-</w:t>
            </w:r>
            <w:r>
              <w:rPr>
                <w:rFonts w:hint="eastAsia"/>
                <w:b/>
                <w:bCs/>
                <w:szCs w:val="21"/>
                <w:u w:val="single"/>
              </w:rPr>
              <w:t>32</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铜</w:t>
            </w:r>
          </w:p>
        </w:tc>
        <w:tc>
          <w:tcPr>
            <w:tcW w:w="1500" w:type="dxa"/>
            <w:noWrap/>
            <w:vAlign w:val="center"/>
          </w:tcPr>
          <w:p>
            <w:pPr>
              <w:jc w:val="center"/>
              <w:rPr>
                <w:b/>
                <w:bCs/>
                <w:szCs w:val="21"/>
                <w:u w:val="single"/>
              </w:rPr>
            </w:pPr>
            <w:r>
              <w:rPr>
                <w:rFonts w:hint="eastAsia"/>
                <w:b/>
                <w:bCs/>
                <w:szCs w:val="21"/>
                <w:u w:val="single"/>
              </w:rPr>
              <w:t>0.023-0.027</w:t>
            </w:r>
          </w:p>
        </w:tc>
        <w:tc>
          <w:tcPr>
            <w:tcW w:w="1462" w:type="dxa"/>
            <w:noWrap/>
            <w:vAlign w:val="center"/>
          </w:tcPr>
          <w:p>
            <w:pPr>
              <w:jc w:val="center"/>
              <w:rPr>
                <w:b/>
                <w:bCs/>
                <w:szCs w:val="21"/>
                <w:u w:val="single"/>
              </w:rPr>
            </w:pPr>
            <w:r>
              <w:rPr>
                <w:rFonts w:hint="eastAsia"/>
                <w:b/>
                <w:bCs/>
                <w:szCs w:val="21"/>
                <w:u w:val="single"/>
              </w:rPr>
              <w:t>0.023-0.027</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菌落总数</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rFonts w:hint="eastAsia"/>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restart"/>
            <w:noWrap/>
            <w:vAlign w:val="center"/>
          </w:tcPr>
          <w:p>
            <w:pPr>
              <w:pStyle w:val="190"/>
              <w:rPr>
                <w:rFonts w:cs="Times New Roman"/>
                <w:b/>
                <w:bCs/>
                <w:szCs w:val="21"/>
                <w:u w:val="single"/>
              </w:rPr>
            </w:pPr>
            <w:r>
              <w:rPr>
                <w:rFonts w:hint="eastAsia" w:ascii="宋体" w:hAnsi="宋体" w:cs="Times New Roman"/>
                <w:b/>
                <w:bCs/>
                <w:szCs w:val="21"/>
                <w:u w:val="single"/>
              </w:rPr>
              <w:t>邢寨</w:t>
            </w:r>
          </w:p>
        </w:tc>
        <w:tc>
          <w:tcPr>
            <w:tcW w:w="1119" w:type="dxa"/>
            <w:noWrap/>
            <w:vAlign w:val="center"/>
          </w:tcPr>
          <w:p>
            <w:pPr>
              <w:jc w:val="center"/>
              <w:rPr>
                <w:b/>
                <w:bCs/>
                <w:szCs w:val="21"/>
                <w:u w:val="single"/>
              </w:rPr>
            </w:pPr>
            <w:r>
              <w:rPr>
                <w:b/>
                <w:bCs/>
                <w:szCs w:val="21"/>
                <w:u w:val="single"/>
              </w:rPr>
              <w:t>pH</w:t>
            </w:r>
          </w:p>
        </w:tc>
        <w:tc>
          <w:tcPr>
            <w:tcW w:w="1500" w:type="dxa"/>
            <w:noWrap/>
            <w:vAlign w:val="center"/>
          </w:tcPr>
          <w:p>
            <w:pPr>
              <w:jc w:val="center"/>
              <w:rPr>
                <w:b/>
                <w:bCs/>
                <w:szCs w:val="21"/>
                <w:u w:val="single"/>
              </w:rPr>
            </w:pPr>
            <w:r>
              <w:rPr>
                <w:b/>
                <w:bCs/>
                <w:szCs w:val="21"/>
                <w:u w:val="single"/>
              </w:rPr>
              <w:t>7.1</w:t>
            </w:r>
            <w:r>
              <w:rPr>
                <w:rFonts w:hint="eastAsia"/>
                <w:b/>
                <w:bCs/>
                <w:szCs w:val="21"/>
                <w:u w:val="single"/>
              </w:rPr>
              <w:t>-7.3</w:t>
            </w:r>
          </w:p>
        </w:tc>
        <w:tc>
          <w:tcPr>
            <w:tcW w:w="1462" w:type="dxa"/>
            <w:noWrap/>
            <w:vAlign w:val="center"/>
          </w:tcPr>
          <w:p>
            <w:pPr>
              <w:jc w:val="center"/>
              <w:rPr>
                <w:b/>
                <w:bCs/>
                <w:szCs w:val="21"/>
                <w:u w:val="single"/>
              </w:rPr>
            </w:pPr>
            <w:r>
              <w:rPr>
                <w:b/>
                <w:bCs/>
                <w:szCs w:val="21"/>
                <w:u w:val="single"/>
              </w:rPr>
              <w:t>0.05</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6.5~8.5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氨氮</w:t>
            </w:r>
          </w:p>
        </w:tc>
        <w:tc>
          <w:tcPr>
            <w:tcW w:w="1500" w:type="dxa"/>
            <w:noWrap/>
            <w:vAlign w:val="center"/>
          </w:tcPr>
          <w:p>
            <w:pPr>
              <w:jc w:val="center"/>
              <w:rPr>
                <w:b/>
                <w:bCs/>
                <w:szCs w:val="21"/>
                <w:u w:val="single"/>
              </w:rPr>
            </w:pPr>
            <w:r>
              <w:rPr>
                <w:rFonts w:hint="eastAsia"/>
                <w:b/>
                <w:bCs/>
                <w:szCs w:val="21"/>
                <w:u w:val="single"/>
              </w:rPr>
              <w:t>0.15-0.19</w:t>
            </w:r>
          </w:p>
        </w:tc>
        <w:tc>
          <w:tcPr>
            <w:tcW w:w="1462" w:type="dxa"/>
            <w:noWrap/>
            <w:vAlign w:val="center"/>
          </w:tcPr>
          <w:p>
            <w:pPr>
              <w:jc w:val="center"/>
              <w:rPr>
                <w:b/>
                <w:bCs/>
                <w:szCs w:val="21"/>
                <w:u w:val="single"/>
              </w:rPr>
            </w:pPr>
            <w:r>
              <w:rPr>
                <w:rFonts w:hint="eastAsia"/>
                <w:b/>
                <w:bCs/>
                <w:szCs w:val="21"/>
                <w:u w:val="single"/>
              </w:rPr>
              <w:t>0.3-0.38</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硝酸盐</w:t>
            </w:r>
          </w:p>
        </w:tc>
        <w:tc>
          <w:tcPr>
            <w:tcW w:w="1500" w:type="dxa"/>
            <w:noWrap/>
            <w:vAlign w:val="center"/>
          </w:tcPr>
          <w:p>
            <w:pPr>
              <w:jc w:val="center"/>
              <w:rPr>
                <w:b/>
                <w:bCs/>
                <w:szCs w:val="21"/>
                <w:u w:val="single"/>
              </w:rPr>
            </w:pPr>
            <w:r>
              <w:rPr>
                <w:rFonts w:hint="eastAsia"/>
                <w:b/>
                <w:bCs/>
                <w:szCs w:val="21"/>
                <w:u w:val="single"/>
              </w:rPr>
              <w:t>2.05</w:t>
            </w:r>
            <w:r>
              <w:rPr>
                <w:b/>
                <w:bCs/>
                <w:szCs w:val="21"/>
                <w:u w:val="single"/>
              </w:rPr>
              <w:t>-</w:t>
            </w:r>
            <w:r>
              <w:rPr>
                <w:rFonts w:hint="eastAsia"/>
                <w:b/>
                <w:bCs/>
                <w:szCs w:val="21"/>
                <w:u w:val="single"/>
              </w:rPr>
              <w:t>2.11</w:t>
            </w:r>
          </w:p>
        </w:tc>
        <w:tc>
          <w:tcPr>
            <w:tcW w:w="1462" w:type="dxa"/>
            <w:noWrap/>
            <w:vAlign w:val="center"/>
          </w:tcPr>
          <w:p>
            <w:pPr>
              <w:jc w:val="center"/>
              <w:rPr>
                <w:b/>
                <w:bCs/>
                <w:szCs w:val="21"/>
                <w:u w:val="single"/>
              </w:rPr>
            </w:pPr>
            <w:r>
              <w:rPr>
                <w:rFonts w:hint="eastAsia"/>
                <w:b/>
                <w:bCs/>
                <w:szCs w:val="21"/>
                <w:u w:val="single"/>
              </w:rPr>
              <w:t>0.1025-0.1055</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亚硝酸盐</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≤1.00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挥发酚</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氰化物</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汞</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铬（六价）</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rFonts w:hint="eastAsia"/>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总硬度</w:t>
            </w:r>
          </w:p>
        </w:tc>
        <w:tc>
          <w:tcPr>
            <w:tcW w:w="1500" w:type="dxa"/>
            <w:noWrap/>
            <w:vAlign w:val="center"/>
          </w:tcPr>
          <w:p>
            <w:pPr>
              <w:jc w:val="center"/>
              <w:rPr>
                <w:b/>
                <w:bCs/>
                <w:szCs w:val="21"/>
                <w:u w:val="single"/>
              </w:rPr>
            </w:pPr>
            <w:r>
              <w:rPr>
                <w:rFonts w:hint="eastAsia"/>
                <w:b/>
                <w:bCs/>
                <w:szCs w:val="21"/>
                <w:u w:val="single"/>
              </w:rPr>
              <w:t>330</w:t>
            </w:r>
            <w:r>
              <w:rPr>
                <w:b/>
                <w:bCs/>
                <w:szCs w:val="21"/>
                <w:u w:val="single"/>
              </w:rPr>
              <w:t>-3</w:t>
            </w:r>
            <w:r>
              <w:rPr>
                <w:rFonts w:hint="eastAsia"/>
                <w:b/>
                <w:bCs/>
                <w:szCs w:val="21"/>
                <w:u w:val="single"/>
              </w:rPr>
              <w:t>56</w:t>
            </w:r>
          </w:p>
        </w:tc>
        <w:tc>
          <w:tcPr>
            <w:tcW w:w="1462" w:type="dxa"/>
            <w:noWrap/>
            <w:vAlign w:val="center"/>
          </w:tcPr>
          <w:p>
            <w:pPr>
              <w:jc w:val="center"/>
              <w:rPr>
                <w:b/>
                <w:bCs/>
                <w:szCs w:val="21"/>
                <w:u w:val="single"/>
              </w:rPr>
            </w:pPr>
            <w:r>
              <w:rPr>
                <w:b/>
                <w:bCs/>
                <w:szCs w:val="21"/>
                <w:u w:val="single"/>
              </w:rPr>
              <w:t>0.</w:t>
            </w:r>
            <w:r>
              <w:rPr>
                <w:rFonts w:hint="eastAsia"/>
                <w:b/>
                <w:bCs/>
                <w:szCs w:val="21"/>
                <w:u w:val="single"/>
              </w:rPr>
              <w:t>733</w:t>
            </w:r>
            <w:r>
              <w:rPr>
                <w:b/>
                <w:bCs/>
                <w:szCs w:val="21"/>
                <w:u w:val="single"/>
              </w:rPr>
              <w:t>-0.</w:t>
            </w:r>
            <w:r>
              <w:rPr>
                <w:rFonts w:hint="eastAsia"/>
                <w:b/>
                <w:bCs/>
                <w:szCs w:val="21"/>
                <w:u w:val="single"/>
              </w:rPr>
              <w:t>791</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≤450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氟化物</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rFonts w:hint="eastAsia"/>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铅</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镉</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铁</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≤0.3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溶解性总固体</w:t>
            </w:r>
          </w:p>
        </w:tc>
        <w:tc>
          <w:tcPr>
            <w:tcW w:w="1500" w:type="dxa"/>
            <w:noWrap/>
            <w:vAlign w:val="center"/>
          </w:tcPr>
          <w:p>
            <w:pPr>
              <w:jc w:val="center"/>
              <w:rPr>
                <w:b/>
                <w:bCs/>
                <w:szCs w:val="21"/>
                <w:u w:val="single"/>
              </w:rPr>
            </w:pPr>
            <w:r>
              <w:rPr>
                <w:rFonts w:hint="eastAsia"/>
                <w:b/>
                <w:bCs/>
                <w:szCs w:val="21"/>
                <w:u w:val="single"/>
              </w:rPr>
              <w:t>431-435</w:t>
            </w:r>
          </w:p>
        </w:tc>
        <w:tc>
          <w:tcPr>
            <w:tcW w:w="1462" w:type="dxa"/>
            <w:noWrap/>
            <w:vAlign w:val="center"/>
          </w:tcPr>
          <w:p>
            <w:pPr>
              <w:jc w:val="center"/>
              <w:rPr>
                <w:b/>
                <w:bCs/>
                <w:szCs w:val="21"/>
                <w:u w:val="single"/>
              </w:rPr>
            </w:pPr>
            <w:r>
              <w:rPr>
                <w:rFonts w:hint="eastAsia"/>
                <w:b/>
                <w:bCs/>
                <w:szCs w:val="21"/>
                <w:u w:val="single"/>
              </w:rPr>
              <w:t>0.431-0.435</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≤1000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耗氧量</w:t>
            </w:r>
          </w:p>
        </w:tc>
        <w:tc>
          <w:tcPr>
            <w:tcW w:w="1500" w:type="dxa"/>
            <w:noWrap/>
            <w:vAlign w:val="center"/>
          </w:tcPr>
          <w:p>
            <w:pPr>
              <w:jc w:val="center"/>
              <w:rPr>
                <w:b/>
                <w:bCs/>
                <w:szCs w:val="21"/>
                <w:u w:val="single"/>
              </w:rPr>
            </w:pPr>
            <w:r>
              <w:rPr>
                <w:rFonts w:hint="eastAsia"/>
                <w:b/>
                <w:bCs/>
                <w:szCs w:val="21"/>
                <w:u w:val="single"/>
              </w:rPr>
              <w:t>1.6</w:t>
            </w:r>
            <w:r>
              <w:rPr>
                <w:b/>
                <w:bCs/>
                <w:szCs w:val="21"/>
                <w:u w:val="single"/>
              </w:rPr>
              <w:t>-1.</w:t>
            </w:r>
            <w:r>
              <w:rPr>
                <w:rFonts w:hint="eastAsia"/>
                <w:b/>
                <w:bCs/>
                <w:szCs w:val="21"/>
                <w:u w:val="single"/>
              </w:rPr>
              <w:t>9</w:t>
            </w:r>
          </w:p>
        </w:tc>
        <w:tc>
          <w:tcPr>
            <w:tcW w:w="1462" w:type="dxa"/>
            <w:noWrap/>
            <w:vAlign w:val="center"/>
          </w:tcPr>
          <w:p>
            <w:pPr>
              <w:jc w:val="center"/>
              <w:rPr>
                <w:b/>
                <w:bCs/>
                <w:szCs w:val="21"/>
                <w:u w:val="single"/>
              </w:rPr>
            </w:pPr>
            <w:r>
              <w:rPr>
                <w:b/>
                <w:bCs/>
                <w:szCs w:val="21"/>
                <w:u w:val="single"/>
              </w:rPr>
              <w:t>0.</w:t>
            </w:r>
            <w:r>
              <w:rPr>
                <w:rFonts w:hint="eastAsia"/>
                <w:b/>
                <w:bCs/>
                <w:szCs w:val="21"/>
                <w:u w:val="single"/>
              </w:rPr>
              <w:t>5</w:t>
            </w:r>
            <w:r>
              <w:rPr>
                <w:b/>
                <w:bCs/>
                <w:szCs w:val="21"/>
                <w:u w:val="single"/>
              </w:rPr>
              <w:t>33-0.</w:t>
            </w:r>
            <w:r>
              <w:rPr>
                <w:rFonts w:hint="eastAsia"/>
                <w:b/>
                <w:bCs/>
                <w:szCs w:val="21"/>
                <w:u w:val="single"/>
              </w:rPr>
              <w:t>633</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≤3.0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硫酸盐</w:t>
            </w:r>
          </w:p>
        </w:tc>
        <w:tc>
          <w:tcPr>
            <w:tcW w:w="1500" w:type="dxa"/>
            <w:noWrap/>
            <w:vAlign w:val="center"/>
          </w:tcPr>
          <w:p>
            <w:pPr>
              <w:jc w:val="center"/>
              <w:rPr>
                <w:b/>
                <w:bCs/>
                <w:szCs w:val="21"/>
                <w:u w:val="single"/>
              </w:rPr>
            </w:pPr>
            <w:r>
              <w:rPr>
                <w:rFonts w:hint="eastAsia"/>
                <w:b/>
                <w:bCs/>
                <w:szCs w:val="21"/>
                <w:u w:val="single"/>
              </w:rPr>
              <w:t>14.2</w:t>
            </w:r>
            <w:r>
              <w:rPr>
                <w:b/>
                <w:bCs/>
                <w:szCs w:val="21"/>
                <w:u w:val="single"/>
              </w:rPr>
              <w:t>-</w:t>
            </w:r>
            <w:r>
              <w:rPr>
                <w:rFonts w:hint="eastAsia"/>
                <w:b/>
                <w:bCs/>
                <w:szCs w:val="21"/>
                <w:u w:val="single"/>
              </w:rPr>
              <w:t>14.6</w:t>
            </w:r>
          </w:p>
        </w:tc>
        <w:tc>
          <w:tcPr>
            <w:tcW w:w="1462" w:type="dxa"/>
            <w:noWrap/>
            <w:vAlign w:val="center"/>
          </w:tcPr>
          <w:p>
            <w:pPr>
              <w:jc w:val="center"/>
              <w:rPr>
                <w:b/>
                <w:bCs/>
                <w:szCs w:val="21"/>
                <w:u w:val="single"/>
              </w:rPr>
            </w:pPr>
            <w:r>
              <w:rPr>
                <w:b/>
                <w:bCs/>
                <w:szCs w:val="21"/>
                <w:u w:val="single"/>
              </w:rPr>
              <w:t>0.0</w:t>
            </w:r>
            <w:r>
              <w:rPr>
                <w:rFonts w:hint="eastAsia"/>
                <w:b/>
                <w:bCs/>
                <w:szCs w:val="21"/>
                <w:u w:val="single"/>
              </w:rPr>
              <w:t>568</w:t>
            </w:r>
            <w:r>
              <w:rPr>
                <w:b/>
                <w:bCs/>
                <w:szCs w:val="21"/>
                <w:u w:val="single"/>
              </w:rPr>
              <w:t>-0.0</w:t>
            </w:r>
            <w:r>
              <w:rPr>
                <w:rFonts w:hint="eastAsia"/>
                <w:b/>
                <w:bCs/>
                <w:szCs w:val="21"/>
                <w:u w:val="single"/>
              </w:rPr>
              <w:t>417</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≤250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总大肠菌群</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≤3.0（个/L）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钾</w:t>
            </w:r>
          </w:p>
        </w:tc>
        <w:tc>
          <w:tcPr>
            <w:tcW w:w="1500" w:type="dxa"/>
            <w:noWrap/>
            <w:vAlign w:val="center"/>
          </w:tcPr>
          <w:p>
            <w:pPr>
              <w:jc w:val="center"/>
              <w:rPr>
                <w:b/>
                <w:bCs/>
                <w:szCs w:val="21"/>
                <w:u w:val="single"/>
              </w:rPr>
            </w:pPr>
            <w:r>
              <w:rPr>
                <w:rFonts w:hint="eastAsia"/>
                <w:b/>
                <w:bCs/>
                <w:szCs w:val="21"/>
                <w:u w:val="single"/>
              </w:rPr>
              <w:t>2.16</w:t>
            </w:r>
            <w:r>
              <w:rPr>
                <w:b/>
                <w:bCs/>
                <w:szCs w:val="21"/>
                <w:u w:val="single"/>
              </w:rPr>
              <w:t>-</w:t>
            </w:r>
            <w:r>
              <w:rPr>
                <w:rFonts w:hint="eastAsia"/>
                <w:b/>
                <w:bCs/>
                <w:szCs w:val="21"/>
                <w:u w:val="single"/>
              </w:rPr>
              <w:t>2.18</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钠</w:t>
            </w:r>
          </w:p>
        </w:tc>
        <w:tc>
          <w:tcPr>
            <w:tcW w:w="1500" w:type="dxa"/>
            <w:noWrap/>
            <w:vAlign w:val="center"/>
          </w:tcPr>
          <w:p>
            <w:pPr>
              <w:jc w:val="center"/>
              <w:rPr>
                <w:b/>
                <w:bCs/>
                <w:szCs w:val="21"/>
                <w:u w:val="single"/>
              </w:rPr>
            </w:pPr>
            <w:r>
              <w:rPr>
                <w:rFonts w:hint="eastAsia"/>
                <w:b/>
                <w:bCs/>
                <w:szCs w:val="21"/>
                <w:u w:val="single"/>
              </w:rPr>
              <w:t>78.3</w:t>
            </w:r>
            <w:r>
              <w:rPr>
                <w:b/>
                <w:bCs/>
                <w:szCs w:val="21"/>
                <w:u w:val="single"/>
              </w:rPr>
              <w:t>-</w:t>
            </w:r>
            <w:r>
              <w:rPr>
                <w:rFonts w:hint="eastAsia"/>
                <w:b/>
                <w:bCs/>
                <w:szCs w:val="21"/>
                <w:u w:val="single"/>
              </w:rPr>
              <w:t>79.5</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widowControl/>
              <w:jc w:val="center"/>
              <w:rPr>
                <w:b/>
                <w:bCs/>
                <w:szCs w:val="21"/>
                <w:u w:val="single"/>
              </w:rPr>
            </w:pPr>
            <w:r>
              <w:rPr>
                <w:b/>
                <w:bCs/>
                <w:szCs w:val="21"/>
                <w:u w:val="single"/>
              </w:rPr>
              <w:t>CO</w:t>
            </w:r>
            <w:r>
              <w:rPr>
                <w:b/>
                <w:bCs/>
                <w:szCs w:val="21"/>
                <w:u w:val="single"/>
                <w:vertAlign w:val="subscript"/>
              </w:rPr>
              <w:t>3</w:t>
            </w:r>
            <w:r>
              <w:rPr>
                <w:b/>
                <w:bCs/>
                <w:szCs w:val="21"/>
                <w:u w:val="single"/>
                <w:vertAlign w:val="superscript"/>
              </w:rPr>
              <w:t>2-</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HCO</w:t>
            </w:r>
            <w:r>
              <w:rPr>
                <w:b/>
                <w:bCs/>
                <w:szCs w:val="21"/>
                <w:u w:val="single"/>
                <w:vertAlign w:val="subscript"/>
              </w:rPr>
              <w:t>3</w:t>
            </w:r>
            <w:r>
              <w:rPr>
                <w:b/>
                <w:bCs/>
                <w:szCs w:val="21"/>
                <w:u w:val="single"/>
                <w:vertAlign w:val="superscript"/>
              </w:rPr>
              <w:t>-</w:t>
            </w:r>
          </w:p>
        </w:tc>
        <w:tc>
          <w:tcPr>
            <w:tcW w:w="1500" w:type="dxa"/>
            <w:noWrap/>
            <w:vAlign w:val="center"/>
          </w:tcPr>
          <w:p>
            <w:pPr>
              <w:jc w:val="center"/>
              <w:rPr>
                <w:b/>
                <w:bCs/>
                <w:szCs w:val="21"/>
                <w:u w:val="single"/>
              </w:rPr>
            </w:pPr>
            <w:r>
              <w:rPr>
                <w:rFonts w:hint="eastAsia"/>
                <w:b/>
                <w:bCs/>
                <w:szCs w:val="21"/>
                <w:u w:val="single"/>
              </w:rPr>
              <w:t>10.8</w:t>
            </w:r>
            <w:r>
              <w:rPr>
                <w:b/>
                <w:bCs/>
                <w:szCs w:val="21"/>
                <w:u w:val="single"/>
              </w:rPr>
              <w:t>-</w:t>
            </w:r>
            <w:r>
              <w:rPr>
                <w:rFonts w:hint="eastAsia"/>
                <w:b/>
                <w:bCs/>
                <w:szCs w:val="21"/>
                <w:u w:val="single"/>
              </w:rPr>
              <w:t>11</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Mg</w:t>
            </w:r>
            <w:r>
              <w:rPr>
                <w:b/>
                <w:bCs/>
                <w:szCs w:val="21"/>
                <w:u w:val="single"/>
                <w:vertAlign w:val="superscript"/>
              </w:rPr>
              <w:t>2+</w:t>
            </w:r>
          </w:p>
        </w:tc>
        <w:tc>
          <w:tcPr>
            <w:tcW w:w="1500" w:type="dxa"/>
            <w:noWrap/>
            <w:vAlign w:val="center"/>
          </w:tcPr>
          <w:p>
            <w:pPr>
              <w:jc w:val="center"/>
              <w:rPr>
                <w:b/>
                <w:bCs/>
                <w:szCs w:val="21"/>
                <w:u w:val="single"/>
              </w:rPr>
            </w:pPr>
            <w:r>
              <w:rPr>
                <w:rFonts w:hint="eastAsia"/>
                <w:b/>
                <w:bCs/>
                <w:szCs w:val="21"/>
                <w:u w:val="single"/>
              </w:rPr>
              <w:t>24</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Ca</w:t>
            </w:r>
            <w:r>
              <w:rPr>
                <w:b/>
                <w:bCs/>
                <w:szCs w:val="21"/>
                <w:u w:val="single"/>
                <w:vertAlign w:val="superscript"/>
              </w:rPr>
              <w:t>2+</w:t>
            </w:r>
          </w:p>
        </w:tc>
        <w:tc>
          <w:tcPr>
            <w:tcW w:w="1500" w:type="dxa"/>
            <w:noWrap/>
            <w:vAlign w:val="center"/>
          </w:tcPr>
          <w:p>
            <w:pPr>
              <w:jc w:val="center"/>
              <w:rPr>
                <w:b/>
                <w:bCs/>
                <w:szCs w:val="21"/>
                <w:u w:val="single"/>
              </w:rPr>
            </w:pPr>
            <w:r>
              <w:rPr>
                <w:rFonts w:hint="eastAsia"/>
                <w:b/>
                <w:bCs/>
                <w:szCs w:val="21"/>
                <w:u w:val="single"/>
              </w:rPr>
              <w:t>27</w:t>
            </w:r>
            <w:r>
              <w:rPr>
                <w:b/>
                <w:bCs/>
                <w:szCs w:val="21"/>
                <w:u w:val="single"/>
              </w:rPr>
              <w:t>-</w:t>
            </w:r>
            <w:r>
              <w:rPr>
                <w:rFonts w:hint="eastAsia"/>
                <w:b/>
                <w:bCs/>
                <w:szCs w:val="21"/>
                <w:u w:val="single"/>
              </w:rPr>
              <w:t>28</w:t>
            </w:r>
          </w:p>
        </w:tc>
        <w:tc>
          <w:tcPr>
            <w:tcW w:w="1462" w:type="dxa"/>
            <w:noWrap/>
            <w:vAlign w:val="center"/>
          </w:tcPr>
          <w:p>
            <w:pPr>
              <w:jc w:val="center"/>
              <w:rPr>
                <w:b/>
                <w:bCs/>
                <w:szCs w:val="21"/>
                <w:u w:val="single"/>
              </w:rPr>
            </w:pPr>
            <w:r>
              <w:rPr>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铜</w:t>
            </w:r>
          </w:p>
        </w:tc>
        <w:tc>
          <w:tcPr>
            <w:tcW w:w="1500" w:type="dxa"/>
            <w:noWrap/>
            <w:vAlign w:val="center"/>
          </w:tcPr>
          <w:p>
            <w:pPr>
              <w:jc w:val="center"/>
              <w:rPr>
                <w:b/>
                <w:bCs/>
                <w:szCs w:val="21"/>
                <w:u w:val="single"/>
              </w:rPr>
            </w:pPr>
            <w:r>
              <w:rPr>
                <w:rFonts w:hint="eastAsia"/>
                <w:b/>
                <w:bCs/>
                <w:szCs w:val="21"/>
                <w:u w:val="single"/>
              </w:rPr>
              <w:t>0.026-0.033</w:t>
            </w:r>
          </w:p>
        </w:tc>
        <w:tc>
          <w:tcPr>
            <w:tcW w:w="1462" w:type="dxa"/>
            <w:noWrap/>
            <w:vAlign w:val="center"/>
          </w:tcPr>
          <w:p>
            <w:pPr>
              <w:jc w:val="center"/>
              <w:rPr>
                <w:b/>
                <w:bCs/>
                <w:szCs w:val="21"/>
                <w:u w:val="single"/>
              </w:rPr>
            </w:pPr>
            <w:r>
              <w:rPr>
                <w:rFonts w:hint="eastAsia"/>
                <w:b/>
                <w:bCs/>
                <w:szCs w:val="21"/>
                <w:u w:val="single"/>
              </w:rPr>
              <w:t>0.026-0.033</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6" w:hRule="atLeast"/>
        </w:trPr>
        <w:tc>
          <w:tcPr>
            <w:tcW w:w="1158" w:type="dxa"/>
            <w:vMerge w:val="continue"/>
            <w:noWrap/>
            <w:vAlign w:val="center"/>
          </w:tcPr>
          <w:p>
            <w:pPr>
              <w:pStyle w:val="190"/>
              <w:rPr>
                <w:rFonts w:cs="Times New Roman"/>
                <w:b/>
                <w:bCs/>
                <w:szCs w:val="21"/>
                <w:u w:val="single"/>
              </w:rPr>
            </w:pPr>
          </w:p>
        </w:tc>
        <w:tc>
          <w:tcPr>
            <w:tcW w:w="1119" w:type="dxa"/>
            <w:noWrap/>
            <w:vAlign w:val="center"/>
          </w:tcPr>
          <w:p>
            <w:pPr>
              <w:jc w:val="center"/>
              <w:rPr>
                <w:b/>
                <w:bCs/>
                <w:szCs w:val="21"/>
                <w:u w:val="single"/>
              </w:rPr>
            </w:pPr>
            <w:r>
              <w:rPr>
                <w:b/>
                <w:bCs/>
                <w:szCs w:val="21"/>
                <w:u w:val="single"/>
              </w:rPr>
              <w:t>菌落总数</w:t>
            </w:r>
          </w:p>
        </w:tc>
        <w:tc>
          <w:tcPr>
            <w:tcW w:w="1500" w:type="dxa"/>
            <w:noWrap/>
            <w:vAlign w:val="center"/>
          </w:tcPr>
          <w:p>
            <w:pPr>
              <w:jc w:val="center"/>
              <w:rPr>
                <w:b/>
                <w:bCs/>
                <w:szCs w:val="21"/>
                <w:u w:val="single"/>
              </w:rPr>
            </w:pPr>
            <w:r>
              <w:rPr>
                <w:b/>
                <w:bCs/>
                <w:szCs w:val="21"/>
                <w:u w:val="single"/>
              </w:rPr>
              <w:t>未检出</w:t>
            </w:r>
          </w:p>
        </w:tc>
        <w:tc>
          <w:tcPr>
            <w:tcW w:w="1462" w:type="dxa"/>
            <w:noWrap/>
            <w:vAlign w:val="center"/>
          </w:tcPr>
          <w:p>
            <w:pPr>
              <w:jc w:val="center"/>
              <w:rPr>
                <w:b/>
                <w:bCs/>
                <w:szCs w:val="21"/>
                <w:u w:val="single"/>
              </w:rPr>
            </w:pPr>
            <w:r>
              <w:rPr>
                <w:rFonts w:hint="eastAsia"/>
                <w:b/>
                <w:bCs/>
                <w:szCs w:val="21"/>
                <w:u w:val="single"/>
              </w:rPr>
              <w:t>/</w:t>
            </w:r>
          </w:p>
        </w:tc>
        <w:tc>
          <w:tcPr>
            <w:tcW w:w="1240" w:type="dxa"/>
            <w:noWrap/>
            <w:vAlign w:val="center"/>
          </w:tcPr>
          <w:p>
            <w:pPr>
              <w:jc w:val="center"/>
              <w:rPr>
                <w:b/>
                <w:bCs/>
                <w:szCs w:val="21"/>
                <w:u w:val="single"/>
              </w:rPr>
            </w:pPr>
            <w:r>
              <w:rPr>
                <w:b/>
                <w:bCs/>
                <w:szCs w:val="21"/>
                <w:u w:val="single"/>
              </w:rPr>
              <w:t>/</w:t>
            </w:r>
          </w:p>
        </w:tc>
        <w:tc>
          <w:tcPr>
            <w:tcW w:w="871" w:type="dxa"/>
            <w:noWrap/>
            <w:vAlign w:val="center"/>
          </w:tcPr>
          <w:p>
            <w:pPr>
              <w:jc w:val="center"/>
              <w:rPr>
                <w:b/>
                <w:bCs/>
                <w:szCs w:val="21"/>
                <w:u w:val="single"/>
              </w:rPr>
            </w:pPr>
            <w:r>
              <w:rPr>
                <w:b/>
                <w:bCs/>
                <w:szCs w:val="21"/>
                <w:u w:val="single"/>
              </w:rPr>
              <w:t>/</w:t>
            </w:r>
          </w:p>
        </w:tc>
        <w:tc>
          <w:tcPr>
            <w:tcW w:w="1596" w:type="dxa"/>
            <w:noWrap/>
            <w:vAlign w:val="center"/>
          </w:tcPr>
          <w:p>
            <w:pPr>
              <w:jc w:val="center"/>
              <w:rPr>
                <w:b/>
                <w:bCs/>
                <w:color w:val="000000"/>
                <w:szCs w:val="21"/>
                <w:u w:val="single"/>
              </w:rPr>
            </w:pPr>
            <w:r>
              <w:rPr>
                <w:b/>
                <w:bCs/>
                <w:color w:val="000000"/>
                <w:szCs w:val="21"/>
                <w:u w:val="single"/>
              </w:rPr>
              <w:t>≤100</w:t>
            </w:r>
          </w:p>
        </w:tc>
      </w:tr>
    </w:tbl>
    <w:p>
      <w:pPr>
        <w:tabs>
          <w:tab w:val="right" w:leader="dot" w:pos="8647"/>
        </w:tabs>
        <w:autoSpaceDE w:val="0"/>
        <w:autoSpaceDN w:val="0"/>
        <w:adjustRightInd w:val="0"/>
        <w:spacing w:line="500" w:lineRule="exact"/>
        <w:ind w:firstLine="723" w:firstLineChars="300"/>
        <w:jc w:val="left"/>
        <w:rPr>
          <w:bCs/>
          <w:color w:val="000000" w:themeColor="text1"/>
          <w:sz w:val="24"/>
        </w:rPr>
      </w:pPr>
      <w:r>
        <w:rPr>
          <w:b/>
          <w:bCs/>
          <w:color w:val="000000" w:themeColor="text1"/>
          <w:sz w:val="24"/>
          <w:u w:val="single"/>
        </w:rPr>
        <w:t>由监测结果可知，各监测点位监测项目均符合《地下水质量标准》（GB/T 14848-2017）中的</w:t>
      </w:r>
      <w:r>
        <w:rPr>
          <w:b/>
          <w:bCs/>
          <w:color w:val="000000" w:themeColor="text1"/>
          <w:sz w:val="24"/>
          <w:u w:val="single"/>
        </w:rPr>
        <w:fldChar w:fldCharType="begin"/>
      </w:r>
      <w:r>
        <w:rPr>
          <w:b/>
          <w:bCs/>
          <w:color w:val="000000" w:themeColor="text1"/>
          <w:sz w:val="24"/>
          <w:u w:val="single"/>
        </w:rPr>
        <w:instrText xml:space="preserve"> = 3 \* ROMAN </w:instrText>
      </w:r>
      <w:r>
        <w:rPr>
          <w:b/>
          <w:bCs/>
          <w:color w:val="000000" w:themeColor="text1"/>
          <w:sz w:val="24"/>
          <w:u w:val="single"/>
        </w:rPr>
        <w:fldChar w:fldCharType="separate"/>
      </w:r>
      <w:r>
        <w:rPr>
          <w:b/>
          <w:bCs/>
          <w:color w:val="000000" w:themeColor="text1"/>
          <w:sz w:val="24"/>
          <w:u w:val="single"/>
        </w:rPr>
        <w:t>III</w:t>
      </w:r>
      <w:r>
        <w:rPr>
          <w:b/>
          <w:bCs/>
          <w:color w:val="000000" w:themeColor="text1"/>
          <w:sz w:val="24"/>
          <w:u w:val="single"/>
        </w:rPr>
        <w:fldChar w:fldCharType="end"/>
      </w:r>
      <w:r>
        <w:rPr>
          <w:b/>
          <w:bCs/>
          <w:color w:val="000000" w:themeColor="text1"/>
          <w:sz w:val="24"/>
          <w:u w:val="single"/>
        </w:rPr>
        <w:t>类标准。</w:t>
      </w:r>
    </w:p>
    <w:p>
      <w:pPr>
        <w:pStyle w:val="5"/>
        <w:spacing w:before="0" w:after="0" w:line="520" w:lineRule="exact"/>
        <w:rPr>
          <w:rFonts w:eastAsia="黑体"/>
          <w:bCs w:val="0"/>
          <w:color w:val="000000" w:themeColor="text1"/>
          <w:sz w:val="24"/>
          <w:szCs w:val="24"/>
        </w:rPr>
      </w:pPr>
      <w:bookmarkStart w:id="229" w:name="_Toc413829644"/>
      <w:bookmarkStart w:id="230" w:name="_Toc468366615"/>
      <w:bookmarkStart w:id="231" w:name="_Toc406663011"/>
      <w:r>
        <w:rPr>
          <w:rFonts w:eastAsia="黑体"/>
          <w:bCs w:val="0"/>
          <w:color w:val="000000" w:themeColor="text1"/>
          <w:sz w:val="24"/>
          <w:szCs w:val="24"/>
        </w:rPr>
        <w:t>3.3.4声环境质量现状监测与评价</w:t>
      </w:r>
      <w:bookmarkEnd w:id="229"/>
      <w:bookmarkEnd w:id="230"/>
      <w:bookmarkEnd w:id="231"/>
    </w:p>
    <w:p>
      <w:pPr>
        <w:spacing w:line="500" w:lineRule="exact"/>
        <w:rPr>
          <w:b/>
          <w:color w:val="000000" w:themeColor="text1"/>
          <w:sz w:val="24"/>
        </w:rPr>
      </w:pPr>
      <w:bookmarkStart w:id="232" w:name="_Toc406663012"/>
      <w:bookmarkStart w:id="233" w:name="_Toc413829645"/>
      <w:r>
        <w:rPr>
          <w:b/>
          <w:color w:val="000000" w:themeColor="text1"/>
          <w:sz w:val="24"/>
        </w:rPr>
        <w:t>3.3.4.1监测布点、频率及时间</w:t>
      </w:r>
      <w:bookmarkEnd w:id="232"/>
      <w:bookmarkEnd w:id="233"/>
    </w:p>
    <w:p>
      <w:pPr>
        <w:autoSpaceDE w:val="0"/>
        <w:autoSpaceDN w:val="0"/>
        <w:adjustRightInd w:val="0"/>
        <w:spacing w:line="480" w:lineRule="exact"/>
        <w:ind w:firstLine="424" w:firstLineChars="177"/>
        <w:jc w:val="left"/>
        <w:rPr>
          <w:color w:val="000000" w:themeColor="text1"/>
          <w:sz w:val="24"/>
        </w:rPr>
      </w:pPr>
      <w:r>
        <w:rPr>
          <w:color w:val="000000" w:themeColor="text1"/>
          <w:sz w:val="24"/>
        </w:rPr>
        <w:t>根据场址周围环境特点及敏感点分布情况，本次评价共设4个声环境监测点，布点位置见表3-15。</w:t>
      </w:r>
    </w:p>
    <w:p>
      <w:pPr>
        <w:topLinePunct/>
        <w:autoSpaceDE w:val="0"/>
        <w:adjustRightInd w:val="0"/>
        <w:spacing w:beforeLines="50"/>
        <w:ind w:firstLine="484" w:firstLineChars="201"/>
        <w:jc w:val="center"/>
        <w:rPr>
          <w:b/>
          <w:kern w:val="0"/>
          <w:szCs w:val="21"/>
        </w:rPr>
      </w:pPr>
      <w:r>
        <w:rPr>
          <w:b/>
          <w:color w:val="000000" w:themeColor="text1"/>
          <w:sz w:val="24"/>
        </w:rPr>
        <w:t>表</w:t>
      </w:r>
      <w:r>
        <w:rPr>
          <w:rFonts w:hint="eastAsia"/>
          <w:b/>
          <w:color w:val="000000" w:themeColor="text1"/>
          <w:sz w:val="24"/>
        </w:rPr>
        <w:t>3.3-14</w:t>
      </w:r>
      <w:r>
        <w:rPr>
          <w:b/>
          <w:kern w:val="0"/>
          <w:szCs w:val="21"/>
        </w:rPr>
        <w:t xml:space="preserve"> 声环境现状监测情况</w:t>
      </w:r>
    </w:p>
    <w:tbl>
      <w:tblPr>
        <w:tblStyle w:val="44"/>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034"/>
        <w:gridCol w:w="1276"/>
        <w:gridCol w:w="851"/>
        <w:gridCol w:w="1134"/>
        <w:gridCol w:w="1186"/>
        <w:gridCol w:w="1223"/>
        <w:gridCol w:w="13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62" w:type="dxa"/>
            <w:noWrap/>
            <w:vAlign w:val="center"/>
          </w:tcPr>
          <w:p>
            <w:pPr>
              <w:topLinePunct/>
              <w:autoSpaceDE w:val="0"/>
              <w:adjustRightInd w:val="0"/>
              <w:spacing w:line="400" w:lineRule="exact"/>
              <w:jc w:val="center"/>
              <w:rPr>
                <w:b/>
                <w:kern w:val="0"/>
              </w:rPr>
            </w:pPr>
            <w:r>
              <w:rPr>
                <w:b/>
                <w:kern w:val="0"/>
              </w:rPr>
              <w:t>序号</w:t>
            </w:r>
          </w:p>
        </w:tc>
        <w:tc>
          <w:tcPr>
            <w:tcW w:w="1034" w:type="dxa"/>
            <w:noWrap/>
            <w:vAlign w:val="center"/>
          </w:tcPr>
          <w:p>
            <w:pPr>
              <w:topLinePunct/>
              <w:autoSpaceDE w:val="0"/>
              <w:adjustRightInd w:val="0"/>
              <w:spacing w:line="400" w:lineRule="exact"/>
              <w:jc w:val="center"/>
              <w:rPr>
                <w:b/>
                <w:kern w:val="0"/>
              </w:rPr>
            </w:pPr>
            <w:r>
              <w:rPr>
                <w:b/>
                <w:kern w:val="0"/>
              </w:rPr>
              <w:t>监测点</w:t>
            </w:r>
          </w:p>
        </w:tc>
        <w:tc>
          <w:tcPr>
            <w:tcW w:w="1276" w:type="dxa"/>
            <w:noWrap/>
            <w:vAlign w:val="center"/>
          </w:tcPr>
          <w:p>
            <w:pPr>
              <w:topLinePunct/>
              <w:autoSpaceDE w:val="0"/>
              <w:adjustRightInd w:val="0"/>
              <w:spacing w:line="400" w:lineRule="exact"/>
              <w:jc w:val="center"/>
              <w:rPr>
                <w:b/>
                <w:kern w:val="0"/>
              </w:rPr>
            </w:pPr>
            <w:r>
              <w:rPr>
                <w:b/>
                <w:kern w:val="0"/>
              </w:rPr>
              <w:t>监测点位置</w:t>
            </w:r>
          </w:p>
        </w:tc>
        <w:tc>
          <w:tcPr>
            <w:tcW w:w="851" w:type="dxa"/>
            <w:noWrap/>
            <w:vAlign w:val="center"/>
          </w:tcPr>
          <w:p>
            <w:pPr>
              <w:topLinePunct/>
              <w:autoSpaceDE w:val="0"/>
              <w:adjustRightInd w:val="0"/>
              <w:spacing w:line="400" w:lineRule="exact"/>
              <w:jc w:val="center"/>
              <w:rPr>
                <w:b/>
                <w:kern w:val="0"/>
              </w:rPr>
            </w:pPr>
            <w:r>
              <w:rPr>
                <w:b/>
                <w:kern w:val="0"/>
              </w:rPr>
              <w:t>功能</w:t>
            </w:r>
          </w:p>
        </w:tc>
        <w:tc>
          <w:tcPr>
            <w:tcW w:w="1134" w:type="dxa"/>
            <w:noWrap/>
            <w:vAlign w:val="center"/>
          </w:tcPr>
          <w:p>
            <w:pPr>
              <w:topLinePunct/>
              <w:autoSpaceDE w:val="0"/>
              <w:adjustRightInd w:val="0"/>
              <w:spacing w:line="400" w:lineRule="exact"/>
              <w:jc w:val="center"/>
              <w:rPr>
                <w:b/>
                <w:kern w:val="0"/>
              </w:rPr>
            </w:pPr>
            <w:r>
              <w:rPr>
                <w:b/>
                <w:kern w:val="0"/>
              </w:rPr>
              <w:t>监测因子</w:t>
            </w:r>
          </w:p>
        </w:tc>
        <w:tc>
          <w:tcPr>
            <w:tcW w:w="1186" w:type="dxa"/>
            <w:noWrap/>
            <w:vAlign w:val="center"/>
          </w:tcPr>
          <w:p>
            <w:pPr>
              <w:topLinePunct/>
              <w:autoSpaceDE w:val="0"/>
              <w:adjustRightInd w:val="0"/>
              <w:spacing w:line="400" w:lineRule="exact"/>
              <w:jc w:val="center"/>
              <w:rPr>
                <w:b/>
                <w:kern w:val="0"/>
              </w:rPr>
            </w:pPr>
            <w:r>
              <w:rPr>
                <w:b/>
                <w:kern w:val="0"/>
              </w:rPr>
              <w:t>监测频率</w:t>
            </w:r>
          </w:p>
        </w:tc>
        <w:tc>
          <w:tcPr>
            <w:tcW w:w="1223" w:type="dxa"/>
            <w:noWrap/>
            <w:vAlign w:val="center"/>
          </w:tcPr>
          <w:p>
            <w:pPr>
              <w:topLinePunct/>
              <w:autoSpaceDE w:val="0"/>
              <w:adjustRightInd w:val="0"/>
              <w:spacing w:line="400" w:lineRule="exact"/>
              <w:jc w:val="center"/>
              <w:rPr>
                <w:b/>
                <w:kern w:val="0"/>
              </w:rPr>
            </w:pPr>
            <w:r>
              <w:rPr>
                <w:b/>
                <w:kern w:val="0"/>
              </w:rPr>
              <w:t>监测方法</w:t>
            </w:r>
          </w:p>
        </w:tc>
        <w:tc>
          <w:tcPr>
            <w:tcW w:w="1354" w:type="dxa"/>
            <w:noWrap/>
            <w:vAlign w:val="center"/>
          </w:tcPr>
          <w:p>
            <w:pPr>
              <w:topLinePunct/>
              <w:autoSpaceDE w:val="0"/>
              <w:adjustRightInd w:val="0"/>
              <w:spacing w:line="400" w:lineRule="exact"/>
              <w:jc w:val="center"/>
              <w:rPr>
                <w:b/>
                <w:kern w:val="0"/>
              </w:rPr>
            </w:pPr>
            <w:r>
              <w:rPr>
                <w:b/>
                <w:kern w:val="0"/>
              </w:rPr>
              <w:t>监测时间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62" w:type="dxa"/>
            <w:noWrap/>
            <w:vAlign w:val="center"/>
          </w:tcPr>
          <w:p>
            <w:pPr>
              <w:topLinePunct/>
              <w:autoSpaceDE w:val="0"/>
              <w:adjustRightInd w:val="0"/>
              <w:spacing w:line="400" w:lineRule="exact"/>
              <w:jc w:val="center"/>
              <w:rPr>
                <w:kern w:val="0"/>
              </w:rPr>
            </w:pPr>
            <w:r>
              <w:rPr>
                <w:kern w:val="0"/>
              </w:rPr>
              <w:t>1</w:t>
            </w:r>
          </w:p>
        </w:tc>
        <w:tc>
          <w:tcPr>
            <w:tcW w:w="1034" w:type="dxa"/>
            <w:noWrap/>
            <w:vAlign w:val="center"/>
          </w:tcPr>
          <w:p>
            <w:pPr>
              <w:jc w:val="center"/>
              <w:rPr>
                <w:szCs w:val="21"/>
              </w:rPr>
            </w:pPr>
            <w:r>
              <w:rPr>
                <w:szCs w:val="21"/>
              </w:rPr>
              <w:t>东厂界</w:t>
            </w:r>
          </w:p>
        </w:tc>
        <w:tc>
          <w:tcPr>
            <w:tcW w:w="1276" w:type="dxa"/>
            <w:vMerge w:val="restart"/>
            <w:noWrap/>
            <w:vAlign w:val="center"/>
          </w:tcPr>
          <w:p>
            <w:pPr>
              <w:topLinePunct/>
              <w:autoSpaceDE w:val="0"/>
              <w:adjustRightInd w:val="0"/>
              <w:spacing w:line="400" w:lineRule="exact"/>
              <w:jc w:val="center"/>
              <w:rPr>
                <w:kern w:val="0"/>
              </w:rPr>
            </w:pPr>
            <w:r>
              <w:rPr>
                <w:kern w:val="0"/>
              </w:rPr>
              <w:t>厂界</w:t>
            </w:r>
          </w:p>
        </w:tc>
        <w:tc>
          <w:tcPr>
            <w:tcW w:w="851" w:type="dxa"/>
            <w:vMerge w:val="restart"/>
            <w:noWrap/>
            <w:vAlign w:val="center"/>
          </w:tcPr>
          <w:p>
            <w:pPr>
              <w:topLinePunct/>
              <w:autoSpaceDE w:val="0"/>
              <w:adjustRightInd w:val="0"/>
              <w:spacing w:line="400" w:lineRule="exact"/>
              <w:jc w:val="center"/>
              <w:rPr>
                <w:kern w:val="0"/>
              </w:rPr>
            </w:pPr>
            <w:r>
              <w:rPr>
                <w:kern w:val="0"/>
              </w:rPr>
              <w:t>场界噪声值</w:t>
            </w:r>
          </w:p>
        </w:tc>
        <w:tc>
          <w:tcPr>
            <w:tcW w:w="1134" w:type="dxa"/>
            <w:vMerge w:val="restart"/>
            <w:noWrap/>
            <w:vAlign w:val="center"/>
          </w:tcPr>
          <w:p>
            <w:pPr>
              <w:topLinePunct/>
              <w:autoSpaceDE w:val="0"/>
              <w:adjustRightInd w:val="0"/>
              <w:spacing w:line="400" w:lineRule="exact"/>
              <w:jc w:val="center"/>
              <w:rPr>
                <w:kern w:val="0"/>
              </w:rPr>
            </w:pPr>
            <w:r>
              <w:rPr>
                <w:kern w:val="0"/>
              </w:rPr>
              <w:t>连续等效A声级</w:t>
            </w:r>
            <w:r>
              <w:rPr>
                <w:sz w:val="24"/>
              </w:rPr>
              <w:t>LAeq</w:t>
            </w:r>
          </w:p>
        </w:tc>
        <w:tc>
          <w:tcPr>
            <w:tcW w:w="1186" w:type="dxa"/>
            <w:vMerge w:val="restart"/>
            <w:noWrap/>
            <w:vAlign w:val="center"/>
          </w:tcPr>
          <w:p>
            <w:pPr>
              <w:topLinePunct/>
              <w:autoSpaceDE w:val="0"/>
              <w:adjustRightInd w:val="0"/>
              <w:spacing w:line="400" w:lineRule="exact"/>
              <w:jc w:val="center"/>
              <w:rPr>
                <w:kern w:val="0"/>
              </w:rPr>
            </w:pPr>
            <w:r>
              <w:rPr>
                <w:kern w:val="0"/>
              </w:rPr>
              <w:t>连续监测两天，每天昼夜各1次</w:t>
            </w:r>
          </w:p>
        </w:tc>
        <w:tc>
          <w:tcPr>
            <w:tcW w:w="1223" w:type="dxa"/>
            <w:vMerge w:val="restart"/>
            <w:noWrap/>
            <w:vAlign w:val="center"/>
          </w:tcPr>
          <w:p>
            <w:pPr>
              <w:topLinePunct/>
              <w:autoSpaceDE w:val="0"/>
              <w:adjustRightInd w:val="0"/>
              <w:spacing w:line="400" w:lineRule="exact"/>
              <w:jc w:val="center"/>
              <w:rPr>
                <w:kern w:val="0"/>
              </w:rPr>
            </w:pPr>
            <w:r>
              <w:rPr>
                <w:kern w:val="0"/>
              </w:rPr>
              <w:t>按GB12348-</w:t>
            </w:r>
          </w:p>
          <w:p>
            <w:pPr>
              <w:topLinePunct/>
              <w:autoSpaceDE w:val="0"/>
              <w:adjustRightInd w:val="0"/>
              <w:spacing w:line="400" w:lineRule="exact"/>
              <w:jc w:val="center"/>
              <w:rPr>
                <w:kern w:val="0"/>
              </w:rPr>
            </w:pPr>
            <w:r>
              <w:rPr>
                <w:kern w:val="0"/>
              </w:rPr>
              <w:t>2008执行</w:t>
            </w:r>
          </w:p>
        </w:tc>
        <w:tc>
          <w:tcPr>
            <w:tcW w:w="1354" w:type="dxa"/>
            <w:vMerge w:val="restart"/>
            <w:noWrap/>
            <w:vAlign w:val="center"/>
          </w:tcPr>
          <w:p>
            <w:pPr>
              <w:topLinePunct/>
              <w:autoSpaceDE w:val="0"/>
              <w:adjustRightInd w:val="0"/>
              <w:spacing w:line="400" w:lineRule="exact"/>
              <w:jc w:val="center"/>
              <w:rPr>
                <w:kern w:val="0"/>
              </w:rPr>
            </w:pPr>
            <w:r>
              <w:rPr>
                <w:szCs w:val="21"/>
              </w:rPr>
              <w:t>河南政检检测研究院有限公司</w:t>
            </w:r>
            <w:r>
              <w:rPr>
                <w:kern w:val="0"/>
              </w:rPr>
              <w:t>，2019年</w:t>
            </w:r>
            <w:r>
              <w:rPr>
                <w:rFonts w:hint="eastAsia"/>
                <w:kern w:val="0"/>
              </w:rPr>
              <w:t>10</w:t>
            </w:r>
            <w:r>
              <w:rPr>
                <w:kern w:val="0"/>
              </w:rPr>
              <w:t>月</w:t>
            </w:r>
            <w:r>
              <w:rPr>
                <w:rFonts w:hint="eastAsia"/>
                <w:kern w:val="0"/>
              </w:rPr>
              <w:t>24</w:t>
            </w:r>
            <w:r>
              <w:rPr>
                <w:kern w:val="0"/>
              </w:rPr>
              <w:t>日至</w:t>
            </w:r>
            <w:r>
              <w:rPr>
                <w:rFonts w:hint="eastAsia"/>
                <w:kern w:val="0"/>
              </w:rPr>
              <w:t>25</w:t>
            </w:r>
            <w:r>
              <w:rPr>
                <w:kern w:val="0"/>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62" w:type="dxa"/>
            <w:noWrap/>
            <w:vAlign w:val="center"/>
          </w:tcPr>
          <w:p>
            <w:pPr>
              <w:topLinePunct/>
              <w:autoSpaceDE w:val="0"/>
              <w:adjustRightInd w:val="0"/>
              <w:spacing w:line="400" w:lineRule="exact"/>
              <w:jc w:val="center"/>
              <w:rPr>
                <w:kern w:val="0"/>
              </w:rPr>
            </w:pPr>
            <w:r>
              <w:rPr>
                <w:kern w:val="0"/>
              </w:rPr>
              <w:t>2</w:t>
            </w:r>
          </w:p>
        </w:tc>
        <w:tc>
          <w:tcPr>
            <w:tcW w:w="1034" w:type="dxa"/>
            <w:noWrap/>
            <w:vAlign w:val="center"/>
          </w:tcPr>
          <w:p>
            <w:pPr>
              <w:jc w:val="center"/>
              <w:rPr>
                <w:szCs w:val="21"/>
              </w:rPr>
            </w:pPr>
            <w:r>
              <w:rPr>
                <w:szCs w:val="21"/>
              </w:rPr>
              <w:t>西厂界</w:t>
            </w:r>
          </w:p>
        </w:tc>
        <w:tc>
          <w:tcPr>
            <w:tcW w:w="1276" w:type="dxa"/>
            <w:vMerge w:val="continue"/>
            <w:noWrap/>
            <w:vAlign w:val="center"/>
          </w:tcPr>
          <w:p>
            <w:pPr>
              <w:topLinePunct/>
              <w:autoSpaceDE w:val="0"/>
              <w:adjustRightInd w:val="0"/>
              <w:spacing w:line="400" w:lineRule="exact"/>
              <w:jc w:val="center"/>
              <w:rPr>
                <w:kern w:val="0"/>
              </w:rPr>
            </w:pPr>
          </w:p>
        </w:tc>
        <w:tc>
          <w:tcPr>
            <w:tcW w:w="851" w:type="dxa"/>
            <w:vMerge w:val="continue"/>
            <w:noWrap/>
            <w:vAlign w:val="center"/>
          </w:tcPr>
          <w:p>
            <w:pPr>
              <w:topLinePunct/>
              <w:autoSpaceDE w:val="0"/>
              <w:adjustRightInd w:val="0"/>
              <w:spacing w:line="400" w:lineRule="exact"/>
              <w:jc w:val="center"/>
              <w:rPr>
                <w:kern w:val="0"/>
              </w:rPr>
            </w:pPr>
          </w:p>
        </w:tc>
        <w:tc>
          <w:tcPr>
            <w:tcW w:w="1134" w:type="dxa"/>
            <w:vMerge w:val="continue"/>
            <w:noWrap/>
            <w:vAlign w:val="center"/>
          </w:tcPr>
          <w:p>
            <w:pPr>
              <w:topLinePunct/>
              <w:autoSpaceDE w:val="0"/>
              <w:adjustRightInd w:val="0"/>
              <w:spacing w:line="400" w:lineRule="exact"/>
              <w:jc w:val="center"/>
              <w:rPr>
                <w:kern w:val="0"/>
              </w:rPr>
            </w:pPr>
          </w:p>
        </w:tc>
        <w:tc>
          <w:tcPr>
            <w:tcW w:w="1186" w:type="dxa"/>
            <w:vMerge w:val="continue"/>
            <w:noWrap/>
            <w:vAlign w:val="center"/>
          </w:tcPr>
          <w:p>
            <w:pPr>
              <w:topLinePunct/>
              <w:autoSpaceDE w:val="0"/>
              <w:adjustRightInd w:val="0"/>
              <w:spacing w:line="400" w:lineRule="exact"/>
              <w:jc w:val="center"/>
              <w:rPr>
                <w:kern w:val="0"/>
              </w:rPr>
            </w:pPr>
          </w:p>
        </w:tc>
        <w:tc>
          <w:tcPr>
            <w:tcW w:w="1223" w:type="dxa"/>
            <w:vMerge w:val="continue"/>
            <w:noWrap/>
            <w:vAlign w:val="center"/>
          </w:tcPr>
          <w:p>
            <w:pPr>
              <w:topLinePunct/>
              <w:autoSpaceDE w:val="0"/>
              <w:adjustRightInd w:val="0"/>
              <w:spacing w:line="400" w:lineRule="exact"/>
              <w:jc w:val="center"/>
              <w:rPr>
                <w:kern w:val="0"/>
              </w:rPr>
            </w:pPr>
          </w:p>
        </w:tc>
        <w:tc>
          <w:tcPr>
            <w:tcW w:w="1354" w:type="dxa"/>
            <w:vMerge w:val="continue"/>
            <w:noWrap/>
            <w:vAlign w:val="center"/>
          </w:tcPr>
          <w:p>
            <w:pPr>
              <w:topLinePunct/>
              <w:autoSpaceDE w:val="0"/>
              <w:adjustRightInd w:val="0"/>
              <w:spacing w:line="400" w:lineRule="exact"/>
              <w:jc w:val="center"/>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62" w:type="dxa"/>
            <w:noWrap/>
            <w:vAlign w:val="center"/>
          </w:tcPr>
          <w:p>
            <w:pPr>
              <w:topLinePunct/>
              <w:autoSpaceDE w:val="0"/>
              <w:adjustRightInd w:val="0"/>
              <w:spacing w:line="400" w:lineRule="exact"/>
              <w:jc w:val="center"/>
              <w:rPr>
                <w:kern w:val="0"/>
              </w:rPr>
            </w:pPr>
            <w:r>
              <w:rPr>
                <w:kern w:val="0"/>
              </w:rPr>
              <w:t>3</w:t>
            </w:r>
          </w:p>
        </w:tc>
        <w:tc>
          <w:tcPr>
            <w:tcW w:w="1034" w:type="dxa"/>
            <w:noWrap/>
            <w:vAlign w:val="center"/>
          </w:tcPr>
          <w:p>
            <w:pPr>
              <w:jc w:val="center"/>
              <w:rPr>
                <w:szCs w:val="21"/>
              </w:rPr>
            </w:pPr>
            <w:r>
              <w:rPr>
                <w:szCs w:val="21"/>
              </w:rPr>
              <w:t>南厂界</w:t>
            </w:r>
          </w:p>
        </w:tc>
        <w:tc>
          <w:tcPr>
            <w:tcW w:w="1276" w:type="dxa"/>
            <w:vMerge w:val="continue"/>
            <w:noWrap/>
            <w:vAlign w:val="center"/>
          </w:tcPr>
          <w:p>
            <w:pPr>
              <w:topLinePunct/>
              <w:autoSpaceDE w:val="0"/>
              <w:adjustRightInd w:val="0"/>
              <w:spacing w:line="400" w:lineRule="exact"/>
              <w:jc w:val="center"/>
              <w:rPr>
                <w:kern w:val="0"/>
              </w:rPr>
            </w:pPr>
          </w:p>
        </w:tc>
        <w:tc>
          <w:tcPr>
            <w:tcW w:w="851" w:type="dxa"/>
            <w:vMerge w:val="continue"/>
            <w:noWrap/>
            <w:vAlign w:val="center"/>
          </w:tcPr>
          <w:p>
            <w:pPr>
              <w:topLinePunct/>
              <w:autoSpaceDE w:val="0"/>
              <w:adjustRightInd w:val="0"/>
              <w:spacing w:line="400" w:lineRule="exact"/>
              <w:jc w:val="center"/>
              <w:rPr>
                <w:kern w:val="0"/>
              </w:rPr>
            </w:pPr>
          </w:p>
        </w:tc>
        <w:tc>
          <w:tcPr>
            <w:tcW w:w="1134" w:type="dxa"/>
            <w:vMerge w:val="continue"/>
            <w:noWrap/>
            <w:vAlign w:val="center"/>
          </w:tcPr>
          <w:p>
            <w:pPr>
              <w:topLinePunct/>
              <w:autoSpaceDE w:val="0"/>
              <w:adjustRightInd w:val="0"/>
              <w:spacing w:line="400" w:lineRule="exact"/>
              <w:jc w:val="center"/>
              <w:rPr>
                <w:kern w:val="0"/>
              </w:rPr>
            </w:pPr>
          </w:p>
        </w:tc>
        <w:tc>
          <w:tcPr>
            <w:tcW w:w="1186" w:type="dxa"/>
            <w:vMerge w:val="continue"/>
            <w:noWrap/>
            <w:vAlign w:val="center"/>
          </w:tcPr>
          <w:p>
            <w:pPr>
              <w:topLinePunct/>
              <w:autoSpaceDE w:val="0"/>
              <w:adjustRightInd w:val="0"/>
              <w:spacing w:line="400" w:lineRule="exact"/>
              <w:jc w:val="center"/>
              <w:rPr>
                <w:kern w:val="0"/>
              </w:rPr>
            </w:pPr>
          </w:p>
        </w:tc>
        <w:tc>
          <w:tcPr>
            <w:tcW w:w="1223" w:type="dxa"/>
            <w:vMerge w:val="continue"/>
            <w:noWrap/>
            <w:vAlign w:val="center"/>
          </w:tcPr>
          <w:p>
            <w:pPr>
              <w:topLinePunct/>
              <w:autoSpaceDE w:val="0"/>
              <w:adjustRightInd w:val="0"/>
              <w:spacing w:line="400" w:lineRule="exact"/>
              <w:jc w:val="center"/>
              <w:rPr>
                <w:kern w:val="0"/>
              </w:rPr>
            </w:pPr>
          </w:p>
        </w:tc>
        <w:tc>
          <w:tcPr>
            <w:tcW w:w="1354" w:type="dxa"/>
            <w:vMerge w:val="continue"/>
            <w:noWrap/>
            <w:vAlign w:val="center"/>
          </w:tcPr>
          <w:p>
            <w:pPr>
              <w:topLinePunct/>
              <w:autoSpaceDE w:val="0"/>
              <w:adjustRightInd w:val="0"/>
              <w:spacing w:line="400" w:lineRule="exact"/>
              <w:jc w:val="center"/>
              <w:rPr>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2" w:type="dxa"/>
            <w:noWrap/>
            <w:vAlign w:val="center"/>
          </w:tcPr>
          <w:p>
            <w:pPr>
              <w:topLinePunct/>
              <w:autoSpaceDE w:val="0"/>
              <w:adjustRightInd w:val="0"/>
              <w:spacing w:line="400" w:lineRule="exact"/>
              <w:jc w:val="center"/>
              <w:rPr>
                <w:kern w:val="0"/>
              </w:rPr>
            </w:pPr>
            <w:r>
              <w:rPr>
                <w:kern w:val="0"/>
              </w:rPr>
              <w:t>4</w:t>
            </w:r>
          </w:p>
        </w:tc>
        <w:tc>
          <w:tcPr>
            <w:tcW w:w="1034" w:type="dxa"/>
            <w:noWrap/>
            <w:vAlign w:val="center"/>
          </w:tcPr>
          <w:p>
            <w:pPr>
              <w:jc w:val="center"/>
              <w:rPr>
                <w:szCs w:val="21"/>
              </w:rPr>
            </w:pPr>
            <w:r>
              <w:rPr>
                <w:szCs w:val="21"/>
              </w:rPr>
              <w:t>北厂界</w:t>
            </w:r>
          </w:p>
        </w:tc>
        <w:tc>
          <w:tcPr>
            <w:tcW w:w="1276" w:type="dxa"/>
            <w:vMerge w:val="continue"/>
            <w:noWrap/>
            <w:vAlign w:val="center"/>
          </w:tcPr>
          <w:p>
            <w:pPr>
              <w:topLinePunct/>
              <w:autoSpaceDE w:val="0"/>
              <w:adjustRightInd w:val="0"/>
              <w:spacing w:line="400" w:lineRule="exact"/>
              <w:jc w:val="center"/>
              <w:rPr>
                <w:kern w:val="0"/>
              </w:rPr>
            </w:pPr>
          </w:p>
        </w:tc>
        <w:tc>
          <w:tcPr>
            <w:tcW w:w="851" w:type="dxa"/>
            <w:vMerge w:val="continue"/>
            <w:noWrap/>
            <w:vAlign w:val="center"/>
          </w:tcPr>
          <w:p>
            <w:pPr>
              <w:topLinePunct/>
              <w:autoSpaceDE w:val="0"/>
              <w:adjustRightInd w:val="0"/>
              <w:spacing w:line="400" w:lineRule="exact"/>
              <w:jc w:val="center"/>
              <w:rPr>
                <w:kern w:val="0"/>
              </w:rPr>
            </w:pPr>
          </w:p>
        </w:tc>
        <w:tc>
          <w:tcPr>
            <w:tcW w:w="1134" w:type="dxa"/>
            <w:vMerge w:val="continue"/>
            <w:noWrap/>
            <w:vAlign w:val="center"/>
          </w:tcPr>
          <w:p>
            <w:pPr>
              <w:topLinePunct/>
              <w:autoSpaceDE w:val="0"/>
              <w:adjustRightInd w:val="0"/>
              <w:spacing w:line="400" w:lineRule="exact"/>
              <w:jc w:val="center"/>
              <w:rPr>
                <w:kern w:val="0"/>
              </w:rPr>
            </w:pPr>
          </w:p>
        </w:tc>
        <w:tc>
          <w:tcPr>
            <w:tcW w:w="1186" w:type="dxa"/>
            <w:vMerge w:val="continue"/>
            <w:noWrap/>
            <w:vAlign w:val="center"/>
          </w:tcPr>
          <w:p>
            <w:pPr>
              <w:topLinePunct/>
              <w:autoSpaceDE w:val="0"/>
              <w:adjustRightInd w:val="0"/>
              <w:spacing w:line="400" w:lineRule="exact"/>
              <w:jc w:val="center"/>
              <w:rPr>
                <w:kern w:val="0"/>
              </w:rPr>
            </w:pPr>
          </w:p>
        </w:tc>
        <w:tc>
          <w:tcPr>
            <w:tcW w:w="1223" w:type="dxa"/>
            <w:vMerge w:val="continue"/>
            <w:noWrap/>
            <w:vAlign w:val="center"/>
          </w:tcPr>
          <w:p>
            <w:pPr>
              <w:topLinePunct/>
              <w:autoSpaceDE w:val="0"/>
              <w:adjustRightInd w:val="0"/>
              <w:spacing w:line="400" w:lineRule="exact"/>
              <w:jc w:val="center"/>
              <w:rPr>
                <w:kern w:val="0"/>
              </w:rPr>
            </w:pPr>
          </w:p>
        </w:tc>
        <w:tc>
          <w:tcPr>
            <w:tcW w:w="1354" w:type="dxa"/>
            <w:vMerge w:val="continue"/>
            <w:noWrap/>
            <w:vAlign w:val="center"/>
          </w:tcPr>
          <w:p>
            <w:pPr>
              <w:topLinePunct/>
              <w:autoSpaceDE w:val="0"/>
              <w:adjustRightInd w:val="0"/>
              <w:spacing w:line="400" w:lineRule="exact"/>
              <w:jc w:val="center"/>
              <w:rPr>
                <w:kern w:val="0"/>
              </w:rPr>
            </w:pPr>
          </w:p>
        </w:tc>
      </w:tr>
    </w:tbl>
    <w:p>
      <w:pPr>
        <w:spacing w:line="500" w:lineRule="exact"/>
        <w:rPr>
          <w:b/>
          <w:color w:val="000000" w:themeColor="text1"/>
          <w:sz w:val="24"/>
        </w:rPr>
      </w:pPr>
      <w:bookmarkStart w:id="234" w:name="_Toc413829646"/>
      <w:bookmarkStart w:id="235" w:name="_Toc406663013"/>
      <w:r>
        <w:rPr>
          <w:b/>
          <w:color w:val="000000" w:themeColor="text1"/>
          <w:sz w:val="24"/>
        </w:rPr>
        <w:t>3.3.4.2评价标准</w:t>
      </w:r>
      <w:bookmarkEnd w:id="234"/>
      <w:bookmarkEnd w:id="235"/>
    </w:p>
    <w:p>
      <w:pPr>
        <w:adjustRightInd w:val="0"/>
        <w:snapToGrid w:val="0"/>
        <w:spacing w:line="500" w:lineRule="exact"/>
        <w:ind w:firstLine="480" w:firstLineChars="200"/>
        <w:rPr>
          <w:b/>
          <w:bCs/>
          <w:color w:val="000000" w:themeColor="text1"/>
          <w:kern w:val="0"/>
          <w:szCs w:val="21"/>
        </w:rPr>
      </w:pPr>
      <w:bookmarkStart w:id="236" w:name="_Toc413829647"/>
      <w:bookmarkStart w:id="237" w:name="_Toc406663014"/>
      <w:r>
        <w:rPr>
          <w:bCs/>
          <w:color w:val="000000" w:themeColor="text1"/>
          <w:sz w:val="24"/>
        </w:rPr>
        <w:t>本次声环境质量现状评价执行《声环境质量标准》（GB3096-2008）中2类标准，具体见表</w:t>
      </w:r>
      <w:r>
        <w:rPr>
          <w:rFonts w:hint="eastAsia"/>
          <w:bCs/>
          <w:color w:val="000000" w:themeColor="text1"/>
          <w:sz w:val="24"/>
        </w:rPr>
        <w:t>3.3-15</w:t>
      </w:r>
      <w:r>
        <w:rPr>
          <w:bCs/>
          <w:color w:val="000000" w:themeColor="text1"/>
          <w:sz w:val="24"/>
        </w:rPr>
        <w:t>。</w:t>
      </w:r>
    </w:p>
    <w:p>
      <w:pPr>
        <w:widowControl/>
        <w:snapToGrid w:val="0"/>
        <w:spacing w:beforeLines="50" w:afterLines="50"/>
        <w:ind w:firstLine="422" w:firstLineChars="200"/>
        <w:jc w:val="center"/>
        <w:rPr>
          <w:b/>
          <w:bCs/>
          <w:color w:val="000000" w:themeColor="text1"/>
          <w:kern w:val="0"/>
          <w:szCs w:val="21"/>
        </w:rPr>
      </w:pPr>
      <w:r>
        <w:rPr>
          <w:b/>
          <w:bCs/>
          <w:color w:val="000000" w:themeColor="text1"/>
          <w:kern w:val="0"/>
          <w:szCs w:val="21"/>
        </w:rPr>
        <w:t>表</w:t>
      </w:r>
      <w:r>
        <w:rPr>
          <w:rFonts w:hint="eastAsia"/>
          <w:b/>
          <w:bCs/>
          <w:color w:val="000000" w:themeColor="text1"/>
          <w:kern w:val="0"/>
          <w:szCs w:val="21"/>
        </w:rPr>
        <w:t>3.3-15</w:t>
      </w:r>
      <w:r>
        <w:rPr>
          <w:b/>
          <w:bCs/>
          <w:color w:val="000000" w:themeColor="text1"/>
          <w:kern w:val="0"/>
          <w:szCs w:val="21"/>
        </w:rPr>
        <w:t xml:space="preserve">  声环境质量现状评价标准单位：dB(A)</w:t>
      </w:r>
    </w:p>
    <w:tbl>
      <w:tblPr>
        <w:tblStyle w:val="44"/>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2906"/>
        <w:gridCol w:w="29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2907"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spacing w:line="320" w:lineRule="exact"/>
              <w:jc w:val="center"/>
              <w:rPr>
                <w:b/>
                <w:color w:val="000000" w:themeColor="text1"/>
                <w:kern w:val="0"/>
              </w:rPr>
            </w:pPr>
            <w:r>
              <w:rPr>
                <w:b/>
                <w:color w:val="000000" w:themeColor="text1"/>
                <w:kern w:val="0"/>
              </w:rPr>
              <w:t>项目</w:t>
            </w:r>
          </w:p>
        </w:tc>
        <w:tc>
          <w:tcPr>
            <w:tcW w:w="290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pacing w:line="320" w:lineRule="exact"/>
              <w:jc w:val="center"/>
              <w:rPr>
                <w:b/>
                <w:color w:val="000000" w:themeColor="text1"/>
                <w:kern w:val="0"/>
              </w:rPr>
            </w:pPr>
            <w:r>
              <w:rPr>
                <w:b/>
                <w:color w:val="000000" w:themeColor="text1"/>
                <w:kern w:val="0"/>
              </w:rPr>
              <w:t>昼间</w:t>
            </w:r>
          </w:p>
        </w:tc>
        <w:tc>
          <w:tcPr>
            <w:tcW w:w="2907"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spacing w:line="320" w:lineRule="exact"/>
              <w:jc w:val="center"/>
              <w:rPr>
                <w:b/>
                <w:color w:val="000000" w:themeColor="text1"/>
                <w:kern w:val="0"/>
              </w:rPr>
            </w:pPr>
            <w:r>
              <w:rPr>
                <w:b/>
                <w:color w:val="000000" w:themeColor="text1"/>
                <w:kern w:val="0"/>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2907" w:type="dxa"/>
            <w:tcBorders>
              <w:top w:val="single" w:color="auto" w:sz="4" w:space="0"/>
              <w:left w:val="single" w:color="auto" w:sz="12" w:space="0"/>
              <w:bottom w:val="single" w:color="auto" w:sz="12" w:space="0"/>
              <w:right w:val="single" w:color="auto" w:sz="4" w:space="0"/>
            </w:tcBorders>
            <w:vAlign w:val="center"/>
          </w:tcPr>
          <w:p>
            <w:pPr>
              <w:spacing w:line="320" w:lineRule="exact"/>
              <w:jc w:val="center"/>
              <w:rPr>
                <w:color w:val="000000" w:themeColor="text1"/>
              </w:rPr>
            </w:pPr>
            <w:r>
              <w:rPr>
                <w:color w:val="000000" w:themeColor="text1"/>
              </w:rPr>
              <w:t>2类标准限值</w:t>
            </w:r>
          </w:p>
        </w:tc>
        <w:tc>
          <w:tcPr>
            <w:tcW w:w="2906" w:type="dxa"/>
            <w:tcBorders>
              <w:top w:val="single" w:color="auto" w:sz="4" w:space="0"/>
              <w:left w:val="single" w:color="auto" w:sz="4" w:space="0"/>
              <w:bottom w:val="single" w:color="auto" w:sz="12" w:space="0"/>
              <w:right w:val="single" w:color="auto" w:sz="4" w:space="0"/>
            </w:tcBorders>
            <w:vAlign w:val="center"/>
          </w:tcPr>
          <w:p>
            <w:pPr>
              <w:spacing w:line="320" w:lineRule="exact"/>
              <w:jc w:val="center"/>
              <w:rPr>
                <w:color w:val="000000" w:themeColor="text1"/>
              </w:rPr>
            </w:pPr>
            <w:r>
              <w:rPr>
                <w:color w:val="000000" w:themeColor="text1"/>
              </w:rPr>
              <w:t>60</w:t>
            </w:r>
          </w:p>
        </w:tc>
        <w:tc>
          <w:tcPr>
            <w:tcW w:w="2907" w:type="dxa"/>
            <w:tcBorders>
              <w:top w:val="single" w:color="auto" w:sz="4" w:space="0"/>
              <w:left w:val="single" w:color="auto" w:sz="4" w:space="0"/>
              <w:bottom w:val="single" w:color="auto" w:sz="12" w:space="0"/>
              <w:right w:val="single" w:color="auto" w:sz="12" w:space="0"/>
            </w:tcBorders>
            <w:vAlign w:val="center"/>
          </w:tcPr>
          <w:p>
            <w:pPr>
              <w:spacing w:line="320" w:lineRule="exact"/>
              <w:jc w:val="center"/>
              <w:rPr>
                <w:color w:val="000000" w:themeColor="text1"/>
              </w:rPr>
            </w:pPr>
            <w:r>
              <w:rPr>
                <w:color w:val="000000" w:themeColor="text1"/>
              </w:rPr>
              <w:t>50</w:t>
            </w:r>
          </w:p>
        </w:tc>
      </w:tr>
    </w:tbl>
    <w:p>
      <w:pPr>
        <w:spacing w:line="500" w:lineRule="exact"/>
        <w:rPr>
          <w:b/>
          <w:color w:val="000000" w:themeColor="text1"/>
          <w:sz w:val="24"/>
        </w:rPr>
      </w:pPr>
      <w:r>
        <w:rPr>
          <w:b/>
          <w:color w:val="000000" w:themeColor="text1"/>
          <w:sz w:val="24"/>
        </w:rPr>
        <w:t>3.3.4.3监测结果</w:t>
      </w:r>
      <w:bookmarkEnd w:id="236"/>
      <w:bookmarkEnd w:id="237"/>
    </w:p>
    <w:p>
      <w:pPr>
        <w:autoSpaceDE w:val="0"/>
        <w:autoSpaceDN w:val="0"/>
        <w:adjustRightInd w:val="0"/>
        <w:spacing w:line="520" w:lineRule="exact"/>
        <w:ind w:firstLine="424" w:firstLineChars="177"/>
        <w:jc w:val="left"/>
        <w:rPr>
          <w:b/>
          <w:color w:val="000000" w:themeColor="text1"/>
          <w:sz w:val="24"/>
        </w:rPr>
      </w:pPr>
      <w:r>
        <w:rPr>
          <w:color w:val="000000" w:themeColor="text1"/>
          <w:sz w:val="24"/>
        </w:rPr>
        <w:t>监测结果见表</w:t>
      </w:r>
      <w:r>
        <w:rPr>
          <w:rFonts w:hint="eastAsia"/>
          <w:color w:val="000000" w:themeColor="text1"/>
          <w:sz w:val="24"/>
        </w:rPr>
        <w:t>3.3-16</w:t>
      </w:r>
      <w:r>
        <w:rPr>
          <w:color w:val="000000" w:themeColor="text1"/>
          <w:sz w:val="24"/>
        </w:rPr>
        <w:t>。</w:t>
      </w:r>
    </w:p>
    <w:p>
      <w:pPr>
        <w:topLinePunct/>
        <w:autoSpaceDE w:val="0"/>
        <w:spacing w:beforeLines="30"/>
        <w:ind w:firstLine="484" w:firstLineChars="201"/>
        <w:jc w:val="center"/>
        <w:rPr>
          <w:b/>
          <w:kern w:val="0"/>
          <w:szCs w:val="21"/>
        </w:rPr>
      </w:pPr>
      <w:r>
        <w:rPr>
          <w:b/>
          <w:color w:val="000000" w:themeColor="text1"/>
          <w:sz w:val="24"/>
        </w:rPr>
        <w:t>表</w:t>
      </w:r>
      <w:r>
        <w:rPr>
          <w:rFonts w:hint="eastAsia"/>
          <w:b/>
          <w:color w:val="000000" w:themeColor="text1"/>
          <w:sz w:val="24"/>
        </w:rPr>
        <w:t>3.3-16</w:t>
      </w:r>
      <w:r>
        <w:rPr>
          <w:b/>
          <w:kern w:val="0"/>
          <w:szCs w:val="21"/>
        </w:rPr>
        <w:t xml:space="preserve">  声环境现状监测结果统计表单位：dB(A)</w:t>
      </w:r>
    </w:p>
    <w:tbl>
      <w:tblPr>
        <w:tblStyle w:val="44"/>
        <w:tblW w:w="0" w:type="auto"/>
        <w:jc w:val="center"/>
        <w:tblBorders>
          <w:top w:val="double" w:color="auto" w:sz="4" w:space="0"/>
          <w:left w:val="none" w:color="auto" w:sz="6" w:space="0"/>
          <w:bottom w:val="double" w:color="auto" w:sz="4"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2711"/>
        <w:gridCol w:w="2594"/>
        <w:gridCol w:w="2596"/>
      </w:tblGrid>
      <w:tr>
        <w:tblPrEx>
          <w:tblBorders>
            <w:top w:val="double" w:color="auto" w:sz="4" w:space="0"/>
            <w:left w:val="none" w:color="auto" w:sz="6" w:space="0"/>
            <w:bottom w:val="doub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38" w:hRule="exact"/>
          <w:jc w:val="center"/>
        </w:trPr>
        <w:tc>
          <w:tcPr>
            <w:tcW w:w="1479" w:type="dxa"/>
            <w:tcBorders>
              <w:top w:val="double" w:color="auto" w:sz="4" w:space="0"/>
              <w:left w:val="nil"/>
              <w:bottom w:val="single" w:color="auto" w:sz="4" w:space="0"/>
              <w:right w:val="single" w:color="auto" w:sz="4" w:space="0"/>
            </w:tcBorders>
            <w:shd w:val="clear" w:color="auto" w:fill="auto"/>
            <w:vAlign w:val="center"/>
          </w:tcPr>
          <w:p>
            <w:pPr>
              <w:pStyle w:val="38"/>
              <w:widowControl w:val="0"/>
              <w:adjustRightInd w:val="0"/>
              <w:snapToGrid w:val="0"/>
              <w:spacing w:before="0" w:beforeAutospacing="0" w:after="0" w:afterAutospacing="0"/>
              <w:jc w:val="center"/>
              <w:outlineLvl w:val="0"/>
              <w:rPr>
                <w:rFonts w:ascii="宋体" w:hAnsi="宋体" w:eastAsia="宋体" w:cs="宋体"/>
                <w:sz w:val="21"/>
                <w:szCs w:val="21"/>
              </w:rPr>
            </w:pPr>
            <w:r>
              <w:rPr>
                <w:rFonts w:hint="eastAsia" w:ascii="宋体" w:hAnsi="宋体" w:eastAsia="宋体" w:cs="宋体"/>
                <w:bCs/>
                <w:kern w:val="2"/>
                <w:sz w:val="21"/>
                <w:szCs w:val="21"/>
              </w:rPr>
              <w:t>检测点位</w:t>
            </w:r>
          </w:p>
        </w:tc>
        <w:tc>
          <w:tcPr>
            <w:tcW w:w="2711" w:type="dxa"/>
            <w:tcBorders>
              <w:top w:val="double" w:color="auto" w:sz="4" w:space="0"/>
              <w:left w:val="single" w:color="auto" w:sz="4" w:space="0"/>
              <w:bottom w:val="single" w:color="auto" w:sz="4" w:space="0"/>
              <w:right w:val="single" w:color="auto" w:sz="4" w:space="0"/>
            </w:tcBorders>
            <w:shd w:val="clear" w:color="auto" w:fill="auto"/>
            <w:vAlign w:val="center"/>
          </w:tcPr>
          <w:p>
            <w:pPr>
              <w:pStyle w:val="38"/>
              <w:widowControl w:val="0"/>
              <w:adjustRightInd w:val="0"/>
              <w:snapToGrid w:val="0"/>
              <w:spacing w:before="0" w:beforeAutospacing="0" w:after="0" w:afterAutospacing="0"/>
              <w:jc w:val="center"/>
              <w:outlineLvl w:val="0"/>
              <w:rPr>
                <w:rFonts w:ascii="宋体" w:hAnsi="宋体" w:eastAsia="宋体" w:cs="宋体"/>
                <w:bCs/>
                <w:sz w:val="21"/>
                <w:szCs w:val="21"/>
              </w:rPr>
            </w:pPr>
            <w:r>
              <w:rPr>
                <w:rFonts w:hint="eastAsia" w:ascii="宋体" w:hAnsi="宋体" w:eastAsia="宋体" w:cs="宋体"/>
                <w:bCs/>
                <w:kern w:val="2"/>
                <w:sz w:val="21"/>
                <w:szCs w:val="21"/>
              </w:rPr>
              <w:t>检测时间</w:t>
            </w:r>
          </w:p>
        </w:tc>
        <w:tc>
          <w:tcPr>
            <w:tcW w:w="2594" w:type="dxa"/>
            <w:tcBorders>
              <w:top w:val="double" w:color="auto" w:sz="4" w:space="0"/>
              <w:left w:val="single" w:color="auto" w:sz="4" w:space="0"/>
              <w:bottom w:val="single" w:color="auto" w:sz="4" w:space="0"/>
              <w:right w:val="single" w:color="auto" w:sz="4" w:space="0"/>
            </w:tcBorders>
            <w:shd w:val="clear" w:color="auto" w:fill="auto"/>
            <w:vAlign w:val="center"/>
          </w:tcPr>
          <w:p>
            <w:pPr>
              <w:pStyle w:val="38"/>
              <w:widowControl w:val="0"/>
              <w:adjustRightInd w:val="0"/>
              <w:snapToGrid w:val="0"/>
              <w:spacing w:before="0" w:beforeAutospacing="0" w:after="0" w:afterAutospacing="0"/>
              <w:jc w:val="center"/>
              <w:outlineLvl w:val="0"/>
              <w:rPr>
                <w:rFonts w:ascii="宋体" w:hAnsi="宋体" w:eastAsia="宋体" w:cs="宋体"/>
                <w:bCs/>
                <w:sz w:val="21"/>
                <w:szCs w:val="21"/>
              </w:rPr>
            </w:pPr>
            <w:r>
              <w:rPr>
                <w:rFonts w:hint="eastAsia" w:ascii="宋体" w:hAnsi="宋体" w:eastAsia="宋体" w:cs="宋体"/>
                <w:bCs/>
                <w:kern w:val="2"/>
                <w:sz w:val="21"/>
                <w:szCs w:val="21"/>
              </w:rPr>
              <w:t>昼间等效声级</w:t>
            </w:r>
          </w:p>
        </w:tc>
        <w:tc>
          <w:tcPr>
            <w:tcW w:w="2596" w:type="dxa"/>
            <w:tcBorders>
              <w:top w:val="double" w:color="auto" w:sz="4" w:space="0"/>
              <w:left w:val="single" w:color="auto" w:sz="4" w:space="0"/>
              <w:bottom w:val="single" w:color="auto" w:sz="4" w:space="0"/>
              <w:right w:val="nil"/>
            </w:tcBorders>
            <w:shd w:val="clear" w:color="auto" w:fill="auto"/>
            <w:vAlign w:val="center"/>
          </w:tcPr>
          <w:p>
            <w:pPr>
              <w:pStyle w:val="38"/>
              <w:widowControl w:val="0"/>
              <w:adjustRightInd w:val="0"/>
              <w:snapToGrid w:val="0"/>
              <w:spacing w:before="0" w:beforeAutospacing="0" w:after="0" w:afterAutospacing="0"/>
              <w:jc w:val="center"/>
              <w:outlineLvl w:val="0"/>
              <w:rPr>
                <w:rFonts w:ascii="宋体" w:hAnsi="宋体" w:eastAsia="宋体" w:cs="宋体"/>
                <w:bCs/>
                <w:sz w:val="21"/>
                <w:szCs w:val="21"/>
              </w:rPr>
            </w:pPr>
            <w:r>
              <w:rPr>
                <w:rFonts w:hint="eastAsia" w:ascii="宋体" w:hAnsi="宋体" w:eastAsia="宋体" w:cs="宋体"/>
                <w:bCs/>
                <w:kern w:val="2"/>
                <w:sz w:val="21"/>
                <w:szCs w:val="21"/>
              </w:rPr>
              <w:t>夜间等效声级</w:t>
            </w:r>
          </w:p>
        </w:tc>
      </w:tr>
      <w:tr>
        <w:tblPrEx>
          <w:tblBorders>
            <w:top w:val="double" w:color="auto" w:sz="4" w:space="0"/>
            <w:left w:val="none" w:color="auto" w:sz="6" w:space="0"/>
            <w:bottom w:val="doub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479" w:type="dxa"/>
            <w:vMerge w:val="restart"/>
            <w:tcBorders>
              <w:top w:val="single" w:color="auto" w:sz="4" w:space="0"/>
              <w:left w:val="nil"/>
              <w:bottom w:val="single" w:color="auto" w:sz="4" w:space="0"/>
              <w:right w:val="single" w:color="auto" w:sz="4" w:space="0"/>
            </w:tcBorders>
            <w:shd w:val="clear" w:color="auto" w:fill="auto"/>
            <w:vAlign w:val="center"/>
          </w:tcPr>
          <w:p>
            <w:pPr>
              <w:pStyle w:val="38"/>
              <w:widowControl w:val="0"/>
              <w:adjustRightInd w:val="0"/>
              <w:snapToGrid w:val="0"/>
              <w:spacing w:before="0" w:beforeAutospacing="0" w:after="0" w:afterAutospacing="0"/>
              <w:jc w:val="center"/>
              <w:outlineLvl w:val="0"/>
              <w:rPr>
                <w:rFonts w:ascii="宋体" w:hAnsi="宋体" w:eastAsia="宋体" w:cs="宋体"/>
                <w:sz w:val="21"/>
                <w:szCs w:val="21"/>
              </w:rPr>
            </w:pPr>
            <w:r>
              <w:rPr>
                <w:rFonts w:hint="eastAsia" w:ascii="宋体" w:hAnsi="宋体" w:eastAsia="宋体" w:cs="宋体"/>
                <w:kern w:val="2"/>
                <w:sz w:val="21"/>
                <w:szCs w:val="21"/>
              </w:rPr>
              <w:t>项目区</w:t>
            </w:r>
            <w:r>
              <w:rPr>
                <w:rFonts w:hint="eastAsia" w:ascii="宋体" w:hAnsi="宋体" w:eastAsia="宋体" w:cs="宋体"/>
                <w:bCs/>
                <w:kern w:val="2"/>
                <w:sz w:val="21"/>
                <w:szCs w:val="21"/>
              </w:rPr>
              <w:t>东厂界</w:t>
            </w:r>
          </w:p>
        </w:tc>
        <w:tc>
          <w:tcPr>
            <w:tcW w:w="27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color w:val="000000"/>
                <w:szCs w:val="21"/>
              </w:rPr>
            </w:pPr>
            <w:r>
              <w:rPr>
                <w:rFonts w:hint="eastAsia" w:ascii="宋体" w:hAnsi="宋体" w:cs="宋体"/>
                <w:color w:val="000000"/>
                <w:szCs w:val="21"/>
              </w:rPr>
              <w:t>2019.10.24</w:t>
            </w:r>
          </w:p>
        </w:tc>
        <w:tc>
          <w:tcPr>
            <w:tcW w:w="25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51.6</w:t>
            </w:r>
          </w:p>
        </w:tc>
        <w:tc>
          <w:tcPr>
            <w:tcW w:w="2596" w:type="dxa"/>
            <w:tcBorders>
              <w:top w:val="single" w:color="auto" w:sz="4" w:space="0"/>
              <w:left w:val="single" w:color="auto" w:sz="4" w:space="0"/>
              <w:bottom w:val="single" w:color="auto" w:sz="4" w:space="0"/>
              <w:right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45.8</w:t>
            </w:r>
          </w:p>
        </w:tc>
      </w:tr>
      <w:tr>
        <w:tblPrEx>
          <w:tblBorders>
            <w:top w:val="double" w:color="auto" w:sz="4" w:space="0"/>
            <w:left w:val="none" w:color="auto" w:sz="6" w:space="0"/>
            <w:bottom w:val="doub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479" w:type="dxa"/>
            <w:vMerge w:val="continue"/>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p>
        </w:tc>
        <w:tc>
          <w:tcPr>
            <w:tcW w:w="27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color w:val="000000"/>
                <w:szCs w:val="21"/>
              </w:rPr>
            </w:pPr>
            <w:r>
              <w:rPr>
                <w:rFonts w:hint="eastAsia" w:ascii="宋体" w:hAnsi="宋体" w:cs="宋体"/>
                <w:color w:val="000000"/>
                <w:szCs w:val="21"/>
              </w:rPr>
              <w:t>2019.10.25</w:t>
            </w:r>
          </w:p>
        </w:tc>
        <w:tc>
          <w:tcPr>
            <w:tcW w:w="25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51.9</w:t>
            </w:r>
          </w:p>
        </w:tc>
        <w:tc>
          <w:tcPr>
            <w:tcW w:w="2596" w:type="dxa"/>
            <w:tcBorders>
              <w:top w:val="single" w:color="auto" w:sz="4" w:space="0"/>
              <w:left w:val="single" w:color="auto" w:sz="4" w:space="0"/>
              <w:bottom w:val="single" w:color="auto" w:sz="4" w:space="0"/>
              <w:right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45.0</w:t>
            </w:r>
          </w:p>
        </w:tc>
      </w:tr>
      <w:tr>
        <w:tblPrEx>
          <w:tblBorders>
            <w:top w:val="double" w:color="auto" w:sz="4" w:space="0"/>
            <w:left w:val="none" w:color="auto" w:sz="6" w:space="0"/>
            <w:bottom w:val="doub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479" w:type="dxa"/>
            <w:vMerge w:val="restart"/>
            <w:tcBorders>
              <w:top w:val="single" w:color="auto" w:sz="4" w:space="0"/>
              <w:left w:val="nil"/>
              <w:bottom w:val="single" w:color="auto" w:sz="4" w:space="0"/>
              <w:right w:val="single" w:color="auto" w:sz="4" w:space="0"/>
            </w:tcBorders>
            <w:shd w:val="clear" w:color="auto" w:fill="auto"/>
            <w:vAlign w:val="center"/>
          </w:tcPr>
          <w:p>
            <w:pPr>
              <w:pStyle w:val="38"/>
              <w:widowControl w:val="0"/>
              <w:adjustRightInd w:val="0"/>
              <w:snapToGrid w:val="0"/>
              <w:spacing w:before="0" w:beforeAutospacing="0" w:after="0" w:afterAutospacing="0"/>
              <w:jc w:val="center"/>
              <w:outlineLvl w:val="0"/>
              <w:rPr>
                <w:rFonts w:ascii="宋体" w:hAnsi="宋体" w:eastAsia="宋体" w:cs="宋体"/>
                <w:sz w:val="21"/>
                <w:szCs w:val="21"/>
              </w:rPr>
            </w:pPr>
            <w:r>
              <w:rPr>
                <w:rFonts w:hint="eastAsia" w:ascii="宋体" w:hAnsi="宋体" w:eastAsia="宋体" w:cs="宋体"/>
                <w:kern w:val="2"/>
                <w:sz w:val="21"/>
                <w:szCs w:val="21"/>
              </w:rPr>
              <w:t>项目区</w:t>
            </w:r>
            <w:r>
              <w:rPr>
                <w:rFonts w:hint="eastAsia" w:ascii="宋体" w:hAnsi="宋体" w:eastAsia="宋体" w:cs="宋体"/>
                <w:bCs/>
                <w:kern w:val="2"/>
                <w:sz w:val="21"/>
                <w:szCs w:val="21"/>
              </w:rPr>
              <w:t>南厂界</w:t>
            </w:r>
          </w:p>
        </w:tc>
        <w:tc>
          <w:tcPr>
            <w:tcW w:w="27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color w:val="000000"/>
                <w:szCs w:val="21"/>
              </w:rPr>
            </w:pPr>
            <w:r>
              <w:rPr>
                <w:rFonts w:hint="eastAsia" w:ascii="宋体" w:hAnsi="宋体" w:cs="宋体"/>
                <w:color w:val="000000"/>
                <w:szCs w:val="21"/>
              </w:rPr>
              <w:t>2019.10.24</w:t>
            </w:r>
          </w:p>
        </w:tc>
        <w:tc>
          <w:tcPr>
            <w:tcW w:w="25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52.8</w:t>
            </w:r>
          </w:p>
        </w:tc>
        <w:tc>
          <w:tcPr>
            <w:tcW w:w="2596" w:type="dxa"/>
            <w:tcBorders>
              <w:top w:val="single" w:color="auto" w:sz="4" w:space="0"/>
              <w:left w:val="single" w:color="auto" w:sz="4" w:space="0"/>
              <w:bottom w:val="single" w:color="auto" w:sz="4" w:space="0"/>
              <w:right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42.7</w:t>
            </w:r>
          </w:p>
        </w:tc>
      </w:tr>
      <w:tr>
        <w:tblPrEx>
          <w:tblBorders>
            <w:top w:val="double" w:color="auto" w:sz="4" w:space="0"/>
            <w:left w:val="none" w:color="auto" w:sz="6" w:space="0"/>
            <w:bottom w:val="doub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479" w:type="dxa"/>
            <w:vMerge w:val="continue"/>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p>
        </w:tc>
        <w:tc>
          <w:tcPr>
            <w:tcW w:w="27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color w:val="000000"/>
                <w:szCs w:val="21"/>
              </w:rPr>
            </w:pPr>
            <w:r>
              <w:rPr>
                <w:rFonts w:hint="eastAsia" w:ascii="宋体" w:hAnsi="宋体" w:cs="宋体"/>
                <w:color w:val="000000"/>
                <w:szCs w:val="21"/>
              </w:rPr>
              <w:t>2019.10.25</w:t>
            </w:r>
          </w:p>
        </w:tc>
        <w:tc>
          <w:tcPr>
            <w:tcW w:w="25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50.6</w:t>
            </w:r>
          </w:p>
        </w:tc>
        <w:tc>
          <w:tcPr>
            <w:tcW w:w="2596" w:type="dxa"/>
            <w:tcBorders>
              <w:top w:val="single" w:color="auto" w:sz="4" w:space="0"/>
              <w:left w:val="single" w:color="auto" w:sz="4" w:space="0"/>
              <w:bottom w:val="single" w:color="auto" w:sz="4" w:space="0"/>
              <w:right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42.3</w:t>
            </w:r>
          </w:p>
        </w:tc>
      </w:tr>
      <w:tr>
        <w:tblPrEx>
          <w:tblBorders>
            <w:top w:val="double" w:color="auto" w:sz="4" w:space="0"/>
            <w:left w:val="none" w:color="auto" w:sz="6" w:space="0"/>
            <w:bottom w:val="doub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479" w:type="dxa"/>
            <w:vMerge w:val="restart"/>
            <w:tcBorders>
              <w:top w:val="single" w:color="auto" w:sz="4" w:space="0"/>
              <w:left w:val="nil"/>
              <w:bottom w:val="single" w:color="auto" w:sz="4" w:space="0"/>
              <w:right w:val="single" w:color="auto" w:sz="4" w:space="0"/>
            </w:tcBorders>
            <w:shd w:val="clear" w:color="auto" w:fill="auto"/>
            <w:vAlign w:val="center"/>
          </w:tcPr>
          <w:p>
            <w:pPr>
              <w:pStyle w:val="38"/>
              <w:widowControl w:val="0"/>
              <w:adjustRightInd w:val="0"/>
              <w:snapToGrid w:val="0"/>
              <w:spacing w:before="0" w:beforeAutospacing="0" w:after="0" w:afterAutospacing="0"/>
              <w:jc w:val="center"/>
              <w:outlineLvl w:val="0"/>
              <w:rPr>
                <w:rFonts w:ascii="宋体" w:hAnsi="宋体" w:eastAsia="宋体" w:cs="宋体"/>
                <w:sz w:val="21"/>
                <w:szCs w:val="21"/>
              </w:rPr>
            </w:pPr>
            <w:r>
              <w:rPr>
                <w:rFonts w:hint="eastAsia" w:ascii="宋体" w:hAnsi="宋体" w:eastAsia="宋体" w:cs="宋体"/>
                <w:kern w:val="2"/>
                <w:sz w:val="21"/>
                <w:szCs w:val="21"/>
              </w:rPr>
              <w:t>项目区</w:t>
            </w:r>
            <w:r>
              <w:rPr>
                <w:rFonts w:hint="eastAsia" w:ascii="宋体" w:hAnsi="宋体" w:eastAsia="宋体" w:cs="宋体"/>
                <w:bCs/>
                <w:kern w:val="2"/>
                <w:sz w:val="21"/>
                <w:szCs w:val="21"/>
              </w:rPr>
              <w:t>西厂界</w:t>
            </w:r>
          </w:p>
        </w:tc>
        <w:tc>
          <w:tcPr>
            <w:tcW w:w="27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color w:val="000000"/>
                <w:szCs w:val="21"/>
              </w:rPr>
            </w:pPr>
            <w:r>
              <w:rPr>
                <w:rFonts w:hint="eastAsia" w:ascii="宋体" w:hAnsi="宋体" w:cs="宋体"/>
                <w:color w:val="000000"/>
                <w:szCs w:val="21"/>
              </w:rPr>
              <w:t>2019.10.24</w:t>
            </w:r>
          </w:p>
        </w:tc>
        <w:tc>
          <w:tcPr>
            <w:tcW w:w="25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55.2</w:t>
            </w:r>
          </w:p>
        </w:tc>
        <w:tc>
          <w:tcPr>
            <w:tcW w:w="2596" w:type="dxa"/>
            <w:tcBorders>
              <w:top w:val="single" w:color="auto" w:sz="4" w:space="0"/>
              <w:left w:val="single" w:color="auto" w:sz="4" w:space="0"/>
              <w:bottom w:val="single" w:color="auto" w:sz="4" w:space="0"/>
              <w:right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47.6</w:t>
            </w:r>
          </w:p>
        </w:tc>
      </w:tr>
      <w:tr>
        <w:tblPrEx>
          <w:tblBorders>
            <w:top w:val="double" w:color="auto" w:sz="4" w:space="0"/>
            <w:left w:val="none" w:color="auto" w:sz="6" w:space="0"/>
            <w:bottom w:val="doub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479" w:type="dxa"/>
            <w:vMerge w:val="continue"/>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szCs w:val="21"/>
              </w:rPr>
            </w:pPr>
          </w:p>
        </w:tc>
        <w:tc>
          <w:tcPr>
            <w:tcW w:w="27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color w:val="000000"/>
                <w:szCs w:val="21"/>
              </w:rPr>
            </w:pPr>
            <w:r>
              <w:rPr>
                <w:rFonts w:hint="eastAsia" w:ascii="宋体" w:hAnsi="宋体" w:cs="宋体"/>
                <w:color w:val="000000"/>
                <w:szCs w:val="21"/>
              </w:rPr>
              <w:t>2019.10.25</w:t>
            </w:r>
          </w:p>
        </w:tc>
        <w:tc>
          <w:tcPr>
            <w:tcW w:w="25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56.3</w:t>
            </w:r>
          </w:p>
        </w:tc>
        <w:tc>
          <w:tcPr>
            <w:tcW w:w="2596" w:type="dxa"/>
            <w:tcBorders>
              <w:top w:val="single" w:color="auto" w:sz="4" w:space="0"/>
              <w:left w:val="single" w:color="auto" w:sz="4" w:space="0"/>
              <w:bottom w:val="single" w:color="auto" w:sz="4" w:space="0"/>
              <w:right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48.0</w:t>
            </w:r>
          </w:p>
        </w:tc>
      </w:tr>
      <w:tr>
        <w:tblPrEx>
          <w:tblBorders>
            <w:top w:val="double" w:color="auto" w:sz="4" w:space="0"/>
            <w:left w:val="none" w:color="auto" w:sz="6" w:space="0"/>
            <w:bottom w:val="doub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479" w:type="dxa"/>
            <w:vMerge w:val="restart"/>
            <w:tcBorders>
              <w:top w:val="single" w:color="auto" w:sz="4" w:space="0"/>
              <w:left w:val="nil"/>
              <w:bottom w:val="double" w:color="auto" w:sz="4" w:space="0"/>
              <w:right w:val="single" w:color="auto" w:sz="4" w:space="0"/>
            </w:tcBorders>
            <w:shd w:val="clear" w:color="auto" w:fill="auto"/>
            <w:vAlign w:val="center"/>
          </w:tcPr>
          <w:p>
            <w:pPr>
              <w:pStyle w:val="38"/>
              <w:widowControl w:val="0"/>
              <w:adjustRightInd w:val="0"/>
              <w:snapToGrid w:val="0"/>
              <w:spacing w:before="0" w:beforeAutospacing="0" w:after="0" w:afterAutospacing="0"/>
              <w:jc w:val="center"/>
              <w:outlineLvl w:val="0"/>
              <w:rPr>
                <w:rFonts w:ascii="宋体" w:hAnsi="宋体" w:eastAsia="宋体" w:cs="宋体"/>
                <w:sz w:val="21"/>
                <w:szCs w:val="21"/>
              </w:rPr>
            </w:pPr>
            <w:r>
              <w:rPr>
                <w:rFonts w:hint="eastAsia" w:ascii="宋体" w:hAnsi="宋体" w:eastAsia="宋体" w:cs="宋体"/>
                <w:kern w:val="2"/>
                <w:sz w:val="21"/>
                <w:szCs w:val="21"/>
              </w:rPr>
              <w:t>项目区</w:t>
            </w:r>
            <w:r>
              <w:rPr>
                <w:rFonts w:hint="eastAsia" w:ascii="宋体" w:hAnsi="宋体" w:eastAsia="宋体" w:cs="宋体"/>
                <w:bCs/>
                <w:kern w:val="2"/>
                <w:sz w:val="21"/>
                <w:szCs w:val="21"/>
              </w:rPr>
              <w:t>北厂界</w:t>
            </w:r>
          </w:p>
        </w:tc>
        <w:tc>
          <w:tcPr>
            <w:tcW w:w="27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color w:val="000000"/>
                <w:szCs w:val="21"/>
              </w:rPr>
            </w:pPr>
            <w:r>
              <w:rPr>
                <w:rFonts w:hint="eastAsia" w:ascii="宋体" w:hAnsi="宋体" w:cs="宋体"/>
                <w:color w:val="000000"/>
                <w:szCs w:val="21"/>
              </w:rPr>
              <w:t>2019.10.24</w:t>
            </w:r>
          </w:p>
        </w:tc>
        <w:tc>
          <w:tcPr>
            <w:tcW w:w="259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51.3</w:t>
            </w:r>
          </w:p>
        </w:tc>
        <w:tc>
          <w:tcPr>
            <w:tcW w:w="2596" w:type="dxa"/>
            <w:tcBorders>
              <w:top w:val="single" w:color="auto" w:sz="4" w:space="0"/>
              <w:left w:val="single" w:color="auto" w:sz="4" w:space="0"/>
              <w:bottom w:val="single" w:color="auto" w:sz="4" w:space="0"/>
              <w:right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44.6</w:t>
            </w:r>
          </w:p>
        </w:tc>
      </w:tr>
      <w:tr>
        <w:tblPrEx>
          <w:tblBorders>
            <w:top w:val="double" w:color="auto" w:sz="4" w:space="0"/>
            <w:left w:val="none" w:color="auto" w:sz="6" w:space="0"/>
            <w:bottom w:val="doub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08" w:hRule="exact"/>
          <w:jc w:val="center"/>
        </w:trPr>
        <w:tc>
          <w:tcPr>
            <w:tcW w:w="1479" w:type="dxa"/>
            <w:vMerge w:val="continue"/>
            <w:tcBorders>
              <w:top w:val="single" w:color="auto" w:sz="4" w:space="0"/>
              <w:left w:val="nil"/>
              <w:bottom w:val="double" w:color="auto" w:sz="4" w:space="0"/>
              <w:right w:val="single" w:color="auto" w:sz="4" w:space="0"/>
            </w:tcBorders>
            <w:shd w:val="clear" w:color="auto" w:fill="auto"/>
            <w:vAlign w:val="center"/>
          </w:tcPr>
          <w:p>
            <w:pPr>
              <w:rPr>
                <w:rFonts w:ascii="宋体" w:hAnsi="宋体" w:cs="宋体"/>
                <w:szCs w:val="21"/>
              </w:rPr>
            </w:pPr>
          </w:p>
        </w:tc>
        <w:tc>
          <w:tcPr>
            <w:tcW w:w="2711" w:type="dxa"/>
            <w:tcBorders>
              <w:top w:val="single" w:color="auto" w:sz="4" w:space="0"/>
              <w:left w:val="single" w:color="auto" w:sz="4" w:space="0"/>
              <w:bottom w:val="double" w:color="auto" w:sz="4" w:space="0"/>
              <w:right w:val="single" w:color="auto" w:sz="4" w:space="0"/>
            </w:tcBorders>
            <w:shd w:val="clear" w:color="auto" w:fill="auto"/>
            <w:vAlign w:val="center"/>
          </w:tcPr>
          <w:p>
            <w:pPr>
              <w:widowControl/>
              <w:jc w:val="center"/>
              <w:rPr>
                <w:rFonts w:ascii="宋体" w:hAnsi="宋体" w:cs="宋体"/>
                <w:bCs/>
                <w:color w:val="000000"/>
                <w:szCs w:val="21"/>
              </w:rPr>
            </w:pPr>
            <w:r>
              <w:rPr>
                <w:rFonts w:hint="eastAsia" w:ascii="宋体" w:hAnsi="宋体" w:cs="宋体"/>
                <w:color w:val="000000"/>
                <w:szCs w:val="21"/>
              </w:rPr>
              <w:t>2019.10.25</w:t>
            </w:r>
          </w:p>
        </w:tc>
        <w:tc>
          <w:tcPr>
            <w:tcW w:w="2594" w:type="dxa"/>
            <w:tcBorders>
              <w:top w:val="single" w:color="auto" w:sz="4" w:space="0"/>
              <w:left w:val="single" w:color="auto" w:sz="4" w:space="0"/>
              <w:bottom w:val="double" w:color="auto" w:sz="4" w:space="0"/>
              <w:right w:val="single" w:color="auto"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51.6</w:t>
            </w:r>
          </w:p>
        </w:tc>
        <w:tc>
          <w:tcPr>
            <w:tcW w:w="2596" w:type="dxa"/>
            <w:tcBorders>
              <w:top w:val="single" w:color="auto" w:sz="4" w:space="0"/>
              <w:left w:val="single" w:color="auto" w:sz="4" w:space="0"/>
              <w:bottom w:val="double" w:color="auto" w:sz="4" w:space="0"/>
              <w:right w:val="nil"/>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45.8</w:t>
            </w:r>
          </w:p>
        </w:tc>
      </w:tr>
    </w:tbl>
    <w:p>
      <w:pPr>
        <w:autoSpaceDE w:val="0"/>
        <w:autoSpaceDN w:val="0"/>
        <w:adjustRightInd w:val="0"/>
        <w:spacing w:line="520" w:lineRule="exact"/>
        <w:ind w:firstLine="960" w:firstLineChars="400"/>
        <w:jc w:val="left"/>
        <w:rPr>
          <w:color w:val="000000" w:themeColor="text1"/>
          <w:sz w:val="24"/>
        </w:rPr>
      </w:pPr>
      <w:r>
        <w:rPr>
          <w:color w:val="000000" w:themeColor="text1"/>
          <w:sz w:val="24"/>
        </w:rPr>
        <w:t>由表3-1</w:t>
      </w:r>
      <w:r>
        <w:rPr>
          <w:rFonts w:hint="eastAsia"/>
          <w:color w:val="000000" w:themeColor="text1"/>
          <w:sz w:val="24"/>
        </w:rPr>
        <w:t>6</w:t>
      </w:r>
      <w:r>
        <w:rPr>
          <w:color w:val="000000" w:themeColor="text1"/>
          <w:sz w:val="24"/>
        </w:rPr>
        <w:t>的监测结果可知，</w:t>
      </w:r>
      <w:r>
        <w:rPr>
          <w:sz w:val="24"/>
        </w:rPr>
        <w:t>场址四周场界昼、夜噪声监测值均可以满足《声环境质量标准》(GB3096-2008)2类标准要求。</w:t>
      </w:r>
    </w:p>
    <w:p>
      <w:pPr>
        <w:pStyle w:val="5"/>
        <w:spacing w:before="0" w:after="0" w:line="520" w:lineRule="exact"/>
        <w:rPr>
          <w:rFonts w:eastAsia="黑体"/>
          <w:bCs w:val="0"/>
          <w:color w:val="000000" w:themeColor="text1"/>
          <w:sz w:val="24"/>
          <w:szCs w:val="24"/>
        </w:rPr>
      </w:pPr>
      <w:bookmarkStart w:id="238" w:name="_Toc468366616"/>
      <w:bookmarkStart w:id="239" w:name="_Toc413829648"/>
      <w:bookmarkStart w:id="240" w:name="_Toc406663015"/>
      <w:r>
        <w:rPr>
          <w:rFonts w:eastAsia="黑体"/>
          <w:bCs w:val="0"/>
          <w:color w:val="000000" w:themeColor="text1"/>
          <w:sz w:val="24"/>
          <w:szCs w:val="24"/>
        </w:rPr>
        <w:t>3.3.5土壤现状监测与评价</w:t>
      </w:r>
      <w:bookmarkEnd w:id="238"/>
      <w:bookmarkEnd w:id="239"/>
      <w:bookmarkEnd w:id="240"/>
    </w:p>
    <w:p>
      <w:pPr>
        <w:spacing w:line="500" w:lineRule="exact"/>
        <w:rPr>
          <w:b/>
          <w:color w:val="000000" w:themeColor="text1"/>
          <w:sz w:val="24"/>
        </w:rPr>
      </w:pPr>
      <w:bookmarkStart w:id="241" w:name="_Toc406663016"/>
      <w:bookmarkStart w:id="242" w:name="_Toc413829649"/>
      <w:r>
        <w:rPr>
          <w:b/>
          <w:color w:val="000000" w:themeColor="text1"/>
          <w:sz w:val="24"/>
        </w:rPr>
        <w:t>3.3.5.1监测布点、因子及监测时间</w:t>
      </w:r>
      <w:bookmarkEnd w:id="241"/>
      <w:bookmarkEnd w:id="242"/>
    </w:p>
    <w:p>
      <w:pPr>
        <w:topLinePunct/>
        <w:autoSpaceDE w:val="0"/>
        <w:spacing w:line="480" w:lineRule="exact"/>
        <w:ind w:firstLine="487" w:firstLineChars="202"/>
        <w:jc w:val="left"/>
        <w:rPr>
          <w:b/>
          <w:bCs/>
          <w:sz w:val="24"/>
          <w:u w:val="single"/>
        </w:rPr>
      </w:pPr>
      <w:bookmarkStart w:id="243" w:name="_Toc406663017"/>
      <w:bookmarkStart w:id="244" w:name="_Toc413829650"/>
      <w:r>
        <w:rPr>
          <w:b/>
          <w:bCs/>
          <w:kern w:val="0"/>
          <w:sz w:val="24"/>
          <w:u w:val="single"/>
        </w:rPr>
        <w:t>监测布点：根据项目工程及排污特点，本次评价设2个土壤监测点，</w:t>
      </w:r>
      <w:r>
        <w:rPr>
          <w:b/>
          <w:bCs/>
          <w:sz w:val="24"/>
          <w:u w:val="single"/>
        </w:rPr>
        <w:t>为项目厂区、沼液消纳区。</w:t>
      </w:r>
    </w:p>
    <w:p>
      <w:pPr>
        <w:topLinePunct/>
        <w:autoSpaceDE w:val="0"/>
        <w:spacing w:line="480" w:lineRule="exact"/>
        <w:ind w:firstLine="487" w:firstLineChars="202"/>
        <w:jc w:val="left"/>
        <w:rPr>
          <w:b/>
          <w:bCs/>
          <w:kern w:val="0"/>
          <w:sz w:val="24"/>
          <w:u w:val="single"/>
        </w:rPr>
      </w:pPr>
      <w:r>
        <w:rPr>
          <w:b/>
          <w:bCs/>
          <w:kern w:val="0"/>
          <w:sz w:val="24"/>
          <w:u w:val="single"/>
        </w:rPr>
        <w:t>监测因子：</w:t>
      </w:r>
      <w:r>
        <w:rPr>
          <w:b/>
          <w:bCs/>
          <w:sz w:val="24"/>
          <w:u w:val="single"/>
        </w:rPr>
        <w:t>pH、汞、砷、铅、铬、铜、锌、镍共8项。</w:t>
      </w:r>
    </w:p>
    <w:p>
      <w:pPr>
        <w:topLinePunct/>
        <w:autoSpaceDE w:val="0"/>
        <w:spacing w:line="480" w:lineRule="exact"/>
        <w:ind w:firstLine="487" w:firstLineChars="202"/>
        <w:jc w:val="left"/>
        <w:rPr>
          <w:b/>
          <w:bCs/>
          <w:kern w:val="0"/>
          <w:sz w:val="24"/>
          <w:u w:val="single"/>
        </w:rPr>
      </w:pPr>
      <w:r>
        <w:rPr>
          <w:b/>
          <w:bCs/>
          <w:kern w:val="0"/>
          <w:sz w:val="24"/>
          <w:u w:val="single"/>
        </w:rPr>
        <w:t>监测时间：由</w:t>
      </w:r>
      <w:r>
        <w:rPr>
          <w:b/>
          <w:bCs/>
          <w:sz w:val="24"/>
          <w:u w:val="single"/>
        </w:rPr>
        <w:t>河南政检检测研究院有限公司</w:t>
      </w:r>
      <w:r>
        <w:rPr>
          <w:b/>
          <w:bCs/>
          <w:kern w:val="0"/>
          <w:sz w:val="24"/>
          <w:u w:val="single"/>
        </w:rPr>
        <w:t>于2019年</w:t>
      </w:r>
      <w:r>
        <w:rPr>
          <w:rFonts w:hint="eastAsia"/>
          <w:b/>
          <w:bCs/>
          <w:kern w:val="0"/>
          <w:sz w:val="24"/>
          <w:u w:val="single"/>
        </w:rPr>
        <w:t>10</w:t>
      </w:r>
      <w:r>
        <w:rPr>
          <w:b/>
          <w:bCs/>
          <w:kern w:val="0"/>
          <w:sz w:val="24"/>
          <w:u w:val="single"/>
        </w:rPr>
        <w:t>月</w:t>
      </w:r>
      <w:r>
        <w:rPr>
          <w:rFonts w:hint="eastAsia"/>
          <w:b/>
          <w:bCs/>
          <w:kern w:val="0"/>
          <w:sz w:val="24"/>
          <w:u w:val="single"/>
        </w:rPr>
        <w:t>22</w:t>
      </w:r>
      <w:r>
        <w:rPr>
          <w:b/>
          <w:bCs/>
          <w:kern w:val="0"/>
          <w:sz w:val="24"/>
          <w:u w:val="single"/>
        </w:rPr>
        <w:t>日进行监测。</w:t>
      </w:r>
    </w:p>
    <w:p>
      <w:pPr>
        <w:spacing w:line="500" w:lineRule="exact"/>
        <w:rPr>
          <w:b/>
          <w:bCs/>
          <w:color w:val="000000" w:themeColor="text1"/>
          <w:sz w:val="24"/>
          <w:u w:val="single"/>
        </w:rPr>
      </w:pPr>
      <w:r>
        <w:rPr>
          <w:b/>
          <w:bCs/>
          <w:color w:val="000000" w:themeColor="text1"/>
          <w:sz w:val="24"/>
          <w:u w:val="single"/>
        </w:rPr>
        <w:t>3.3.5.2评价标准及方法</w:t>
      </w:r>
      <w:bookmarkEnd w:id="243"/>
      <w:bookmarkEnd w:id="244"/>
    </w:p>
    <w:p>
      <w:pPr>
        <w:spacing w:line="500" w:lineRule="exact"/>
        <w:ind w:firstLine="602" w:firstLineChars="250"/>
        <w:rPr>
          <w:b/>
          <w:bCs/>
          <w:sz w:val="24"/>
          <w:u w:val="single"/>
        </w:rPr>
      </w:pPr>
      <w:r>
        <w:rPr>
          <w:b/>
          <w:bCs/>
          <w:sz w:val="24"/>
          <w:u w:val="single"/>
        </w:rPr>
        <w:t>土壤现状中各监测因子执行《土壤环境质量农用地土壤污染风险管控标准》（GB15618-2018）标准。见表</w:t>
      </w:r>
      <w:r>
        <w:rPr>
          <w:rFonts w:hint="eastAsia"/>
          <w:b/>
          <w:bCs/>
          <w:sz w:val="24"/>
          <w:u w:val="single"/>
        </w:rPr>
        <w:t>3.3-17</w:t>
      </w:r>
      <w:r>
        <w:rPr>
          <w:b/>
          <w:bCs/>
          <w:sz w:val="24"/>
          <w:u w:val="single"/>
        </w:rPr>
        <w:t>。</w:t>
      </w:r>
    </w:p>
    <w:p>
      <w:pPr>
        <w:spacing w:afterLines="30" w:line="500" w:lineRule="exact"/>
        <w:jc w:val="center"/>
        <w:rPr>
          <w:b/>
          <w:bCs/>
          <w:sz w:val="24"/>
          <w:u w:val="single"/>
        </w:rPr>
      </w:pPr>
      <w:r>
        <w:rPr>
          <w:b/>
          <w:bCs/>
          <w:sz w:val="24"/>
          <w:u w:val="single"/>
        </w:rPr>
        <w:t>表</w:t>
      </w:r>
      <w:r>
        <w:rPr>
          <w:rFonts w:hint="eastAsia"/>
          <w:b/>
          <w:bCs/>
          <w:sz w:val="24"/>
          <w:u w:val="single"/>
        </w:rPr>
        <w:t>3.3-17</w:t>
      </w:r>
      <w:r>
        <w:rPr>
          <w:b/>
          <w:bCs/>
          <w:sz w:val="24"/>
          <w:u w:val="single"/>
        </w:rPr>
        <w:t xml:space="preserve">  农用地土壤污染风险筛选值（基本项目） </w:t>
      </w:r>
      <w:r>
        <w:rPr>
          <w:b/>
          <w:bCs/>
          <w:szCs w:val="21"/>
          <w:u w:val="single"/>
        </w:rPr>
        <w:t>（单位：mg/kg）</w:t>
      </w:r>
    </w:p>
    <w:tbl>
      <w:tblPr>
        <w:tblStyle w:val="44"/>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53"/>
        <w:gridCol w:w="992"/>
        <w:gridCol w:w="993"/>
        <w:gridCol w:w="992"/>
        <w:gridCol w:w="1559"/>
        <w:gridCol w:w="1856"/>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vMerge w:val="restart"/>
            <w:tcMar>
              <w:top w:w="0" w:type="dxa"/>
              <w:left w:w="108" w:type="dxa"/>
              <w:bottom w:w="0" w:type="dxa"/>
              <w:right w:w="108" w:type="dxa"/>
            </w:tcMar>
            <w:vAlign w:val="center"/>
          </w:tcPr>
          <w:p>
            <w:pPr>
              <w:jc w:val="center"/>
              <w:rPr>
                <w:b/>
                <w:bCs/>
                <w:szCs w:val="21"/>
                <w:u w:val="single"/>
              </w:rPr>
            </w:pPr>
            <w:r>
              <w:rPr>
                <w:b/>
                <w:bCs/>
                <w:szCs w:val="21"/>
                <w:u w:val="single"/>
              </w:rPr>
              <w:t>序号</w:t>
            </w:r>
          </w:p>
        </w:tc>
        <w:tc>
          <w:tcPr>
            <w:tcW w:w="1985" w:type="dxa"/>
            <w:gridSpan w:val="2"/>
            <w:vMerge w:val="restart"/>
            <w:tcMar>
              <w:top w:w="0" w:type="dxa"/>
              <w:left w:w="108" w:type="dxa"/>
              <w:bottom w:w="0" w:type="dxa"/>
              <w:right w:w="108" w:type="dxa"/>
            </w:tcMar>
            <w:vAlign w:val="center"/>
          </w:tcPr>
          <w:p>
            <w:pPr>
              <w:jc w:val="center"/>
              <w:rPr>
                <w:b/>
                <w:bCs/>
                <w:szCs w:val="21"/>
                <w:u w:val="single"/>
              </w:rPr>
            </w:pPr>
            <w:r>
              <w:rPr>
                <w:b/>
                <w:bCs/>
                <w:szCs w:val="21"/>
                <w:u w:val="single"/>
              </w:rPr>
              <w:t>污染物项目</w:t>
            </w:r>
            <w:r>
              <w:rPr>
                <w:b/>
                <w:bCs/>
                <w:szCs w:val="21"/>
                <w:u w:val="single"/>
              </w:rPr>
              <w:fldChar w:fldCharType="begin"/>
            </w:r>
            <w:r>
              <w:rPr>
                <w:b/>
                <w:bCs/>
                <w:szCs w:val="21"/>
                <w:u w:val="single"/>
              </w:rPr>
              <w:instrText xml:space="preserve"> = 1 \* GB3 </w:instrText>
            </w:r>
            <w:r>
              <w:rPr>
                <w:b/>
                <w:bCs/>
                <w:szCs w:val="21"/>
                <w:u w:val="single"/>
              </w:rPr>
              <w:fldChar w:fldCharType="separate"/>
            </w:r>
            <w:r>
              <w:rPr>
                <w:rFonts w:hint="eastAsia" w:ascii="宋体" w:hAnsi="宋体" w:cs="宋体"/>
                <w:b/>
                <w:bCs/>
                <w:szCs w:val="21"/>
                <w:u w:val="single"/>
              </w:rPr>
              <w:t>①</w:t>
            </w:r>
            <w:r>
              <w:rPr>
                <w:b/>
                <w:bCs/>
                <w:szCs w:val="21"/>
                <w:u w:val="single"/>
              </w:rPr>
              <w:fldChar w:fldCharType="end"/>
            </w:r>
            <w:r>
              <w:rPr>
                <w:b/>
                <w:bCs/>
                <w:szCs w:val="21"/>
                <w:u w:val="single"/>
              </w:rPr>
              <w:fldChar w:fldCharType="begin"/>
            </w:r>
            <w:r>
              <w:rPr>
                <w:b/>
                <w:bCs/>
                <w:szCs w:val="21"/>
                <w:u w:val="single"/>
              </w:rPr>
              <w:instrText xml:space="preserve"> = 2 \* GB3 </w:instrText>
            </w:r>
            <w:r>
              <w:rPr>
                <w:b/>
                <w:bCs/>
                <w:szCs w:val="21"/>
                <w:u w:val="single"/>
              </w:rPr>
              <w:fldChar w:fldCharType="separate"/>
            </w:r>
            <w:r>
              <w:rPr>
                <w:rFonts w:hint="eastAsia" w:ascii="宋体" w:hAnsi="宋体" w:cs="宋体"/>
                <w:b/>
                <w:bCs/>
                <w:szCs w:val="21"/>
                <w:u w:val="single"/>
              </w:rPr>
              <w:t>②</w:t>
            </w:r>
            <w:r>
              <w:rPr>
                <w:b/>
                <w:bCs/>
                <w:szCs w:val="21"/>
                <w:u w:val="single"/>
              </w:rPr>
              <w:fldChar w:fldCharType="end"/>
            </w:r>
          </w:p>
        </w:tc>
        <w:tc>
          <w:tcPr>
            <w:tcW w:w="6263" w:type="dxa"/>
            <w:gridSpan w:val="4"/>
            <w:tcMar>
              <w:top w:w="0" w:type="dxa"/>
              <w:left w:w="108" w:type="dxa"/>
              <w:bottom w:w="0" w:type="dxa"/>
              <w:right w:w="108" w:type="dxa"/>
            </w:tcMar>
            <w:vAlign w:val="center"/>
          </w:tcPr>
          <w:p>
            <w:pPr>
              <w:jc w:val="center"/>
              <w:rPr>
                <w:b/>
                <w:bCs/>
                <w:szCs w:val="21"/>
                <w:u w:val="single"/>
              </w:rPr>
            </w:pPr>
            <w:r>
              <w:rPr>
                <w:b/>
                <w:bCs/>
                <w:szCs w:val="21"/>
                <w:u w:val="single"/>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vMerge w:val="continue"/>
            <w:tcMar>
              <w:top w:w="0" w:type="dxa"/>
              <w:left w:w="108" w:type="dxa"/>
              <w:bottom w:w="0" w:type="dxa"/>
              <w:right w:w="108" w:type="dxa"/>
            </w:tcMar>
            <w:vAlign w:val="center"/>
          </w:tcPr>
          <w:p>
            <w:pPr>
              <w:jc w:val="center"/>
              <w:rPr>
                <w:b/>
                <w:bCs/>
                <w:szCs w:val="21"/>
                <w:u w:val="single"/>
              </w:rPr>
            </w:pPr>
          </w:p>
        </w:tc>
        <w:tc>
          <w:tcPr>
            <w:tcW w:w="1985" w:type="dxa"/>
            <w:gridSpan w:val="2"/>
            <w:vMerge w:val="continue"/>
            <w:tcMar>
              <w:top w:w="0" w:type="dxa"/>
              <w:left w:w="108" w:type="dxa"/>
              <w:bottom w:w="0" w:type="dxa"/>
              <w:right w:w="108" w:type="dxa"/>
            </w:tcMar>
            <w:vAlign w:val="center"/>
          </w:tcPr>
          <w:p>
            <w:pPr>
              <w:jc w:val="center"/>
              <w:rPr>
                <w:b/>
                <w:bCs/>
                <w:szCs w:val="21"/>
                <w:u w:val="single"/>
              </w:rPr>
            </w:pPr>
          </w:p>
        </w:tc>
        <w:tc>
          <w:tcPr>
            <w:tcW w:w="992" w:type="dxa"/>
            <w:tcMar>
              <w:top w:w="0" w:type="dxa"/>
              <w:left w:w="108" w:type="dxa"/>
              <w:bottom w:w="0" w:type="dxa"/>
              <w:right w:w="108" w:type="dxa"/>
            </w:tcMar>
            <w:vAlign w:val="center"/>
          </w:tcPr>
          <w:p>
            <w:pPr>
              <w:jc w:val="center"/>
              <w:rPr>
                <w:b/>
                <w:bCs/>
                <w:szCs w:val="21"/>
                <w:u w:val="single"/>
              </w:rPr>
            </w:pPr>
            <w:r>
              <w:rPr>
                <w:b/>
                <w:bCs/>
                <w:szCs w:val="21"/>
                <w:u w:val="single"/>
              </w:rPr>
              <w:t>PH≤5.5</w:t>
            </w:r>
          </w:p>
        </w:tc>
        <w:tc>
          <w:tcPr>
            <w:tcW w:w="1559" w:type="dxa"/>
            <w:vAlign w:val="center"/>
          </w:tcPr>
          <w:p>
            <w:pPr>
              <w:jc w:val="center"/>
              <w:rPr>
                <w:b/>
                <w:bCs/>
                <w:szCs w:val="21"/>
                <w:u w:val="single"/>
              </w:rPr>
            </w:pPr>
            <w:r>
              <w:rPr>
                <w:b/>
                <w:bCs/>
                <w:szCs w:val="21"/>
                <w:u w:val="single"/>
              </w:rPr>
              <w:t>5.5＜PH≤6.5</w:t>
            </w:r>
          </w:p>
        </w:tc>
        <w:tc>
          <w:tcPr>
            <w:tcW w:w="1856" w:type="dxa"/>
            <w:vAlign w:val="center"/>
          </w:tcPr>
          <w:p>
            <w:pPr>
              <w:jc w:val="center"/>
              <w:rPr>
                <w:b/>
                <w:bCs/>
                <w:szCs w:val="21"/>
                <w:u w:val="single"/>
              </w:rPr>
            </w:pPr>
            <w:r>
              <w:rPr>
                <w:b/>
                <w:bCs/>
                <w:szCs w:val="21"/>
                <w:u w:val="single"/>
              </w:rPr>
              <w:t>6.5＜PH≤7.5</w:t>
            </w:r>
          </w:p>
        </w:tc>
        <w:tc>
          <w:tcPr>
            <w:tcW w:w="1856" w:type="dxa"/>
            <w:vAlign w:val="center"/>
          </w:tcPr>
          <w:p>
            <w:pPr>
              <w:jc w:val="center"/>
              <w:rPr>
                <w:b/>
                <w:bCs/>
                <w:szCs w:val="21"/>
                <w:u w:val="single"/>
              </w:rPr>
            </w:pPr>
            <w:r>
              <w:rPr>
                <w:b/>
                <w:bCs/>
                <w:szCs w:val="21"/>
                <w:u w:val="single"/>
              </w:rPr>
              <w:t>PH＞7.5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tcMar>
              <w:top w:w="0" w:type="dxa"/>
              <w:left w:w="108" w:type="dxa"/>
              <w:bottom w:w="0" w:type="dxa"/>
              <w:right w:w="108" w:type="dxa"/>
            </w:tcMar>
            <w:vAlign w:val="center"/>
          </w:tcPr>
          <w:p>
            <w:pPr>
              <w:jc w:val="center"/>
              <w:rPr>
                <w:b/>
                <w:bCs/>
                <w:szCs w:val="21"/>
                <w:u w:val="single"/>
              </w:rPr>
            </w:pPr>
            <w:r>
              <w:rPr>
                <w:b/>
                <w:bCs/>
                <w:szCs w:val="21"/>
                <w:u w:val="single"/>
              </w:rPr>
              <w:t>1</w:t>
            </w:r>
          </w:p>
        </w:tc>
        <w:tc>
          <w:tcPr>
            <w:tcW w:w="992" w:type="dxa"/>
            <w:tcMar>
              <w:top w:w="0" w:type="dxa"/>
              <w:left w:w="108" w:type="dxa"/>
              <w:bottom w:w="0" w:type="dxa"/>
              <w:right w:w="108" w:type="dxa"/>
            </w:tcMar>
            <w:vAlign w:val="center"/>
          </w:tcPr>
          <w:p>
            <w:pPr>
              <w:jc w:val="center"/>
              <w:rPr>
                <w:b/>
                <w:bCs/>
                <w:szCs w:val="21"/>
                <w:u w:val="single"/>
              </w:rPr>
            </w:pPr>
            <w:r>
              <w:rPr>
                <w:b/>
                <w:bCs/>
                <w:szCs w:val="21"/>
                <w:u w:val="single"/>
              </w:rPr>
              <w:t>镉</w:t>
            </w:r>
          </w:p>
        </w:tc>
        <w:tc>
          <w:tcPr>
            <w:tcW w:w="993" w:type="dxa"/>
            <w:tcMar>
              <w:top w:w="0" w:type="dxa"/>
              <w:left w:w="108" w:type="dxa"/>
              <w:bottom w:w="0" w:type="dxa"/>
              <w:right w:w="108" w:type="dxa"/>
            </w:tcMar>
            <w:vAlign w:val="center"/>
          </w:tcPr>
          <w:p>
            <w:pPr>
              <w:jc w:val="center"/>
              <w:rPr>
                <w:b/>
                <w:bCs/>
                <w:szCs w:val="21"/>
                <w:u w:val="single"/>
              </w:rPr>
            </w:pPr>
            <w:r>
              <w:rPr>
                <w:b/>
                <w:bCs/>
                <w:szCs w:val="21"/>
                <w:u w:val="single"/>
              </w:rPr>
              <w:t>其他</w:t>
            </w:r>
          </w:p>
        </w:tc>
        <w:tc>
          <w:tcPr>
            <w:tcW w:w="992" w:type="dxa"/>
            <w:tcMar>
              <w:top w:w="0" w:type="dxa"/>
              <w:left w:w="108" w:type="dxa"/>
              <w:bottom w:w="0" w:type="dxa"/>
              <w:right w:w="108" w:type="dxa"/>
            </w:tcMar>
            <w:vAlign w:val="center"/>
          </w:tcPr>
          <w:p>
            <w:pPr>
              <w:jc w:val="center"/>
              <w:rPr>
                <w:b/>
                <w:bCs/>
                <w:szCs w:val="21"/>
                <w:u w:val="single"/>
              </w:rPr>
            </w:pPr>
            <w:r>
              <w:rPr>
                <w:b/>
                <w:bCs/>
                <w:szCs w:val="21"/>
                <w:u w:val="single"/>
              </w:rPr>
              <w:t>0.3</w:t>
            </w:r>
          </w:p>
        </w:tc>
        <w:tc>
          <w:tcPr>
            <w:tcW w:w="1559" w:type="dxa"/>
            <w:tcMar>
              <w:top w:w="0" w:type="dxa"/>
              <w:left w:w="108" w:type="dxa"/>
              <w:bottom w:w="0" w:type="dxa"/>
              <w:right w:w="108" w:type="dxa"/>
            </w:tcMar>
            <w:vAlign w:val="center"/>
          </w:tcPr>
          <w:p>
            <w:pPr>
              <w:jc w:val="center"/>
              <w:rPr>
                <w:b/>
                <w:bCs/>
                <w:szCs w:val="21"/>
                <w:u w:val="single"/>
              </w:rPr>
            </w:pPr>
            <w:r>
              <w:rPr>
                <w:b/>
                <w:bCs/>
                <w:szCs w:val="21"/>
                <w:u w:val="single"/>
              </w:rPr>
              <w:t>0.3</w:t>
            </w:r>
          </w:p>
        </w:tc>
        <w:tc>
          <w:tcPr>
            <w:tcW w:w="1856" w:type="dxa"/>
            <w:tcMar>
              <w:top w:w="0" w:type="dxa"/>
              <w:left w:w="108" w:type="dxa"/>
              <w:bottom w:w="0" w:type="dxa"/>
              <w:right w:w="108" w:type="dxa"/>
            </w:tcMar>
            <w:vAlign w:val="center"/>
          </w:tcPr>
          <w:p>
            <w:pPr>
              <w:jc w:val="center"/>
              <w:rPr>
                <w:b/>
                <w:bCs/>
                <w:szCs w:val="21"/>
                <w:u w:val="single"/>
              </w:rPr>
            </w:pPr>
            <w:r>
              <w:rPr>
                <w:b/>
                <w:bCs/>
                <w:szCs w:val="21"/>
                <w:u w:val="single"/>
              </w:rPr>
              <w:t>0.3</w:t>
            </w:r>
          </w:p>
        </w:tc>
        <w:tc>
          <w:tcPr>
            <w:tcW w:w="1856" w:type="dxa"/>
            <w:vAlign w:val="center"/>
          </w:tcPr>
          <w:p>
            <w:pPr>
              <w:jc w:val="center"/>
              <w:rPr>
                <w:b/>
                <w:bCs/>
                <w:szCs w:val="21"/>
                <w:u w:val="single"/>
              </w:rPr>
            </w:pPr>
            <w:r>
              <w:rPr>
                <w:b/>
                <w:bCs/>
                <w:szCs w:val="21"/>
                <w:u w:val="single"/>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tcMar>
              <w:top w:w="0" w:type="dxa"/>
              <w:left w:w="108" w:type="dxa"/>
              <w:bottom w:w="0" w:type="dxa"/>
              <w:right w:w="108" w:type="dxa"/>
            </w:tcMar>
            <w:vAlign w:val="center"/>
          </w:tcPr>
          <w:p>
            <w:pPr>
              <w:jc w:val="center"/>
              <w:rPr>
                <w:b/>
                <w:bCs/>
                <w:szCs w:val="21"/>
                <w:u w:val="single"/>
              </w:rPr>
            </w:pPr>
            <w:r>
              <w:rPr>
                <w:b/>
                <w:bCs/>
                <w:szCs w:val="21"/>
                <w:u w:val="single"/>
              </w:rPr>
              <w:t>2</w:t>
            </w:r>
          </w:p>
        </w:tc>
        <w:tc>
          <w:tcPr>
            <w:tcW w:w="992" w:type="dxa"/>
            <w:tcMar>
              <w:top w:w="0" w:type="dxa"/>
              <w:left w:w="108" w:type="dxa"/>
              <w:bottom w:w="0" w:type="dxa"/>
              <w:right w:w="108" w:type="dxa"/>
            </w:tcMar>
            <w:vAlign w:val="center"/>
          </w:tcPr>
          <w:p>
            <w:pPr>
              <w:jc w:val="center"/>
              <w:rPr>
                <w:b/>
                <w:bCs/>
                <w:szCs w:val="21"/>
                <w:u w:val="single"/>
              </w:rPr>
            </w:pPr>
            <w:r>
              <w:rPr>
                <w:b/>
                <w:bCs/>
                <w:szCs w:val="21"/>
                <w:u w:val="single"/>
              </w:rPr>
              <w:t>汞</w:t>
            </w:r>
          </w:p>
        </w:tc>
        <w:tc>
          <w:tcPr>
            <w:tcW w:w="993" w:type="dxa"/>
            <w:tcMar>
              <w:top w:w="0" w:type="dxa"/>
              <w:left w:w="108" w:type="dxa"/>
              <w:bottom w:w="0" w:type="dxa"/>
              <w:right w:w="108" w:type="dxa"/>
            </w:tcMar>
            <w:vAlign w:val="center"/>
          </w:tcPr>
          <w:p>
            <w:pPr>
              <w:jc w:val="center"/>
              <w:rPr>
                <w:b/>
                <w:bCs/>
                <w:szCs w:val="21"/>
                <w:u w:val="single"/>
              </w:rPr>
            </w:pPr>
            <w:r>
              <w:rPr>
                <w:b/>
                <w:bCs/>
                <w:szCs w:val="21"/>
                <w:u w:val="single"/>
              </w:rPr>
              <w:t>其他</w:t>
            </w:r>
          </w:p>
        </w:tc>
        <w:tc>
          <w:tcPr>
            <w:tcW w:w="992" w:type="dxa"/>
            <w:tcMar>
              <w:top w:w="0" w:type="dxa"/>
              <w:left w:w="108" w:type="dxa"/>
              <w:bottom w:w="0" w:type="dxa"/>
              <w:right w:w="108" w:type="dxa"/>
            </w:tcMar>
            <w:vAlign w:val="center"/>
          </w:tcPr>
          <w:p>
            <w:pPr>
              <w:jc w:val="center"/>
              <w:rPr>
                <w:b/>
                <w:bCs/>
                <w:szCs w:val="21"/>
                <w:u w:val="single"/>
              </w:rPr>
            </w:pPr>
            <w:r>
              <w:rPr>
                <w:b/>
                <w:bCs/>
                <w:szCs w:val="21"/>
                <w:u w:val="single"/>
              </w:rPr>
              <w:t>1.3</w:t>
            </w:r>
          </w:p>
        </w:tc>
        <w:tc>
          <w:tcPr>
            <w:tcW w:w="1559" w:type="dxa"/>
            <w:tcMar>
              <w:top w:w="0" w:type="dxa"/>
              <w:left w:w="108" w:type="dxa"/>
              <w:bottom w:w="0" w:type="dxa"/>
              <w:right w:w="108" w:type="dxa"/>
            </w:tcMar>
            <w:vAlign w:val="center"/>
          </w:tcPr>
          <w:p>
            <w:pPr>
              <w:jc w:val="center"/>
              <w:rPr>
                <w:b/>
                <w:bCs/>
                <w:szCs w:val="21"/>
                <w:u w:val="single"/>
              </w:rPr>
            </w:pPr>
            <w:r>
              <w:rPr>
                <w:b/>
                <w:bCs/>
                <w:szCs w:val="21"/>
                <w:u w:val="single"/>
              </w:rPr>
              <w:t>1.8</w:t>
            </w:r>
          </w:p>
        </w:tc>
        <w:tc>
          <w:tcPr>
            <w:tcW w:w="1856" w:type="dxa"/>
            <w:tcMar>
              <w:top w:w="0" w:type="dxa"/>
              <w:left w:w="108" w:type="dxa"/>
              <w:bottom w:w="0" w:type="dxa"/>
              <w:right w:w="108" w:type="dxa"/>
            </w:tcMar>
            <w:vAlign w:val="center"/>
          </w:tcPr>
          <w:p>
            <w:pPr>
              <w:jc w:val="center"/>
              <w:rPr>
                <w:b/>
                <w:bCs/>
                <w:szCs w:val="21"/>
                <w:u w:val="single"/>
              </w:rPr>
            </w:pPr>
            <w:r>
              <w:rPr>
                <w:b/>
                <w:bCs/>
                <w:szCs w:val="21"/>
                <w:u w:val="single"/>
              </w:rPr>
              <w:t>2.4</w:t>
            </w:r>
          </w:p>
        </w:tc>
        <w:tc>
          <w:tcPr>
            <w:tcW w:w="1856" w:type="dxa"/>
            <w:vAlign w:val="center"/>
          </w:tcPr>
          <w:p>
            <w:pPr>
              <w:jc w:val="center"/>
              <w:rPr>
                <w:b/>
                <w:bCs/>
                <w:szCs w:val="21"/>
                <w:u w:val="single"/>
              </w:rPr>
            </w:pPr>
            <w:r>
              <w:rPr>
                <w:b/>
                <w:bCs/>
                <w:szCs w:val="21"/>
                <w:u w:val="single"/>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tcMar>
              <w:top w:w="0" w:type="dxa"/>
              <w:left w:w="108" w:type="dxa"/>
              <w:bottom w:w="0" w:type="dxa"/>
              <w:right w:w="108" w:type="dxa"/>
            </w:tcMar>
            <w:vAlign w:val="center"/>
          </w:tcPr>
          <w:p>
            <w:pPr>
              <w:jc w:val="center"/>
              <w:rPr>
                <w:b/>
                <w:bCs/>
                <w:szCs w:val="21"/>
                <w:u w:val="single"/>
              </w:rPr>
            </w:pPr>
            <w:r>
              <w:rPr>
                <w:b/>
                <w:bCs/>
                <w:szCs w:val="21"/>
                <w:u w:val="single"/>
              </w:rPr>
              <w:t>3</w:t>
            </w:r>
          </w:p>
        </w:tc>
        <w:tc>
          <w:tcPr>
            <w:tcW w:w="992" w:type="dxa"/>
            <w:tcMar>
              <w:top w:w="0" w:type="dxa"/>
              <w:left w:w="108" w:type="dxa"/>
              <w:bottom w:w="0" w:type="dxa"/>
              <w:right w:w="108" w:type="dxa"/>
            </w:tcMar>
            <w:vAlign w:val="center"/>
          </w:tcPr>
          <w:p>
            <w:pPr>
              <w:jc w:val="center"/>
              <w:rPr>
                <w:b/>
                <w:bCs/>
                <w:szCs w:val="21"/>
                <w:u w:val="single"/>
              </w:rPr>
            </w:pPr>
            <w:r>
              <w:rPr>
                <w:b/>
                <w:bCs/>
                <w:szCs w:val="21"/>
                <w:u w:val="single"/>
              </w:rPr>
              <w:t>砷</w:t>
            </w:r>
          </w:p>
        </w:tc>
        <w:tc>
          <w:tcPr>
            <w:tcW w:w="993" w:type="dxa"/>
            <w:tcMar>
              <w:top w:w="0" w:type="dxa"/>
              <w:left w:w="108" w:type="dxa"/>
              <w:bottom w:w="0" w:type="dxa"/>
              <w:right w:w="108" w:type="dxa"/>
            </w:tcMar>
            <w:vAlign w:val="center"/>
          </w:tcPr>
          <w:p>
            <w:pPr>
              <w:jc w:val="center"/>
              <w:rPr>
                <w:b/>
                <w:bCs/>
                <w:szCs w:val="21"/>
                <w:u w:val="single"/>
              </w:rPr>
            </w:pPr>
            <w:r>
              <w:rPr>
                <w:b/>
                <w:bCs/>
                <w:szCs w:val="21"/>
                <w:u w:val="single"/>
              </w:rPr>
              <w:t>其他</w:t>
            </w:r>
          </w:p>
        </w:tc>
        <w:tc>
          <w:tcPr>
            <w:tcW w:w="992" w:type="dxa"/>
            <w:tcMar>
              <w:top w:w="0" w:type="dxa"/>
              <w:left w:w="108" w:type="dxa"/>
              <w:bottom w:w="0" w:type="dxa"/>
              <w:right w:w="108" w:type="dxa"/>
            </w:tcMar>
            <w:vAlign w:val="center"/>
          </w:tcPr>
          <w:p>
            <w:pPr>
              <w:jc w:val="center"/>
              <w:rPr>
                <w:b/>
                <w:bCs/>
                <w:szCs w:val="21"/>
                <w:u w:val="single"/>
              </w:rPr>
            </w:pPr>
            <w:r>
              <w:rPr>
                <w:b/>
                <w:bCs/>
                <w:szCs w:val="21"/>
                <w:u w:val="single"/>
              </w:rPr>
              <w:t>40</w:t>
            </w:r>
          </w:p>
        </w:tc>
        <w:tc>
          <w:tcPr>
            <w:tcW w:w="1559" w:type="dxa"/>
            <w:tcMar>
              <w:top w:w="0" w:type="dxa"/>
              <w:left w:w="108" w:type="dxa"/>
              <w:bottom w:w="0" w:type="dxa"/>
              <w:right w:w="108" w:type="dxa"/>
            </w:tcMar>
            <w:vAlign w:val="center"/>
          </w:tcPr>
          <w:p>
            <w:pPr>
              <w:jc w:val="center"/>
              <w:rPr>
                <w:b/>
                <w:bCs/>
                <w:szCs w:val="21"/>
                <w:u w:val="single"/>
              </w:rPr>
            </w:pPr>
            <w:r>
              <w:rPr>
                <w:b/>
                <w:bCs/>
                <w:szCs w:val="21"/>
                <w:u w:val="single"/>
              </w:rPr>
              <w:t>40</w:t>
            </w:r>
          </w:p>
        </w:tc>
        <w:tc>
          <w:tcPr>
            <w:tcW w:w="1856" w:type="dxa"/>
            <w:tcMar>
              <w:top w:w="0" w:type="dxa"/>
              <w:left w:w="108" w:type="dxa"/>
              <w:bottom w:w="0" w:type="dxa"/>
              <w:right w:w="108" w:type="dxa"/>
            </w:tcMar>
            <w:vAlign w:val="center"/>
          </w:tcPr>
          <w:p>
            <w:pPr>
              <w:jc w:val="center"/>
              <w:rPr>
                <w:b/>
                <w:bCs/>
                <w:szCs w:val="21"/>
                <w:u w:val="single"/>
              </w:rPr>
            </w:pPr>
            <w:r>
              <w:rPr>
                <w:b/>
                <w:bCs/>
                <w:szCs w:val="21"/>
                <w:u w:val="single"/>
              </w:rPr>
              <w:t>30</w:t>
            </w:r>
          </w:p>
        </w:tc>
        <w:tc>
          <w:tcPr>
            <w:tcW w:w="1856" w:type="dxa"/>
            <w:vAlign w:val="center"/>
          </w:tcPr>
          <w:p>
            <w:pPr>
              <w:jc w:val="center"/>
              <w:rPr>
                <w:b/>
                <w:bCs/>
                <w:szCs w:val="21"/>
                <w:u w:val="single"/>
              </w:rPr>
            </w:pPr>
            <w:r>
              <w:rPr>
                <w:b/>
                <w:bCs/>
                <w:szCs w:val="21"/>
                <w:u w:val="singl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tcMar>
              <w:top w:w="0" w:type="dxa"/>
              <w:left w:w="108" w:type="dxa"/>
              <w:bottom w:w="0" w:type="dxa"/>
              <w:right w:w="108" w:type="dxa"/>
            </w:tcMar>
            <w:vAlign w:val="center"/>
          </w:tcPr>
          <w:p>
            <w:pPr>
              <w:jc w:val="center"/>
              <w:rPr>
                <w:b/>
                <w:bCs/>
                <w:szCs w:val="21"/>
                <w:u w:val="single"/>
              </w:rPr>
            </w:pPr>
            <w:r>
              <w:rPr>
                <w:b/>
                <w:bCs/>
                <w:szCs w:val="21"/>
                <w:u w:val="single"/>
              </w:rPr>
              <w:t>4</w:t>
            </w:r>
          </w:p>
        </w:tc>
        <w:tc>
          <w:tcPr>
            <w:tcW w:w="992" w:type="dxa"/>
            <w:tcMar>
              <w:top w:w="0" w:type="dxa"/>
              <w:left w:w="108" w:type="dxa"/>
              <w:bottom w:w="0" w:type="dxa"/>
              <w:right w:w="108" w:type="dxa"/>
            </w:tcMar>
            <w:vAlign w:val="center"/>
          </w:tcPr>
          <w:p>
            <w:pPr>
              <w:jc w:val="center"/>
              <w:rPr>
                <w:b/>
                <w:bCs/>
                <w:szCs w:val="21"/>
                <w:u w:val="single"/>
              </w:rPr>
            </w:pPr>
            <w:r>
              <w:rPr>
                <w:b/>
                <w:bCs/>
                <w:szCs w:val="21"/>
                <w:u w:val="single"/>
              </w:rPr>
              <w:t>铅</w:t>
            </w:r>
          </w:p>
        </w:tc>
        <w:tc>
          <w:tcPr>
            <w:tcW w:w="993" w:type="dxa"/>
            <w:tcMar>
              <w:top w:w="0" w:type="dxa"/>
              <w:left w:w="108" w:type="dxa"/>
              <w:bottom w:w="0" w:type="dxa"/>
              <w:right w:w="108" w:type="dxa"/>
            </w:tcMar>
            <w:vAlign w:val="center"/>
          </w:tcPr>
          <w:p>
            <w:pPr>
              <w:jc w:val="center"/>
              <w:rPr>
                <w:b/>
                <w:bCs/>
                <w:szCs w:val="21"/>
                <w:u w:val="single"/>
              </w:rPr>
            </w:pPr>
            <w:r>
              <w:rPr>
                <w:b/>
                <w:bCs/>
                <w:szCs w:val="21"/>
                <w:u w:val="single"/>
              </w:rPr>
              <w:t>其他</w:t>
            </w:r>
          </w:p>
        </w:tc>
        <w:tc>
          <w:tcPr>
            <w:tcW w:w="992" w:type="dxa"/>
            <w:tcMar>
              <w:top w:w="0" w:type="dxa"/>
              <w:left w:w="108" w:type="dxa"/>
              <w:bottom w:w="0" w:type="dxa"/>
              <w:right w:w="108" w:type="dxa"/>
            </w:tcMar>
            <w:vAlign w:val="center"/>
          </w:tcPr>
          <w:p>
            <w:pPr>
              <w:jc w:val="center"/>
              <w:rPr>
                <w:b/>
                <w:bCs/>
                <w:szCs w:val="21"/>
                <w:u w:val="single"/>
              </w:rPr>
            </w:pPr>
            <w:r>
              <w:rPr>
                <w:b/>
                <w:bCs/>
                <w:szCs w:val="21"/>
                <w:u w:val="single"/>
              </w:rPr>
              <w:t>70</w:t>
            </w:r>
          </w:p>
        </w:tc>
        <w:tc>
          <w:tcPr>
            <w:tcW w:w="1559" w:type="dxa"/>
            <w:tcMar>
              <w:top w:w="0" w:type="dxa"/>
              <w:left w:w="108" w:type="dxa"/>
              <w:bottom w:w="0" w:type="dxa"/>
              <w:right w:w="108" w:type="dxa"/>
            </w:tcMar>
            <w:vAlign w:val="center"/>
          </w:tcPr>
          <w:p>
            <w:pPr>
              <w:jc w:val="center"/>
              <w:rPr>
                <w:b/>
                <w:bCs/>
                <w:szCs w:val="21"/>
                <w:u w:val="single"/>
              </w:rPr>
            </w:pPr>
            <w:r>
              <w:rPr>
                <w:b/>
                <w:bCs/>
                <w:szCs w:val="21"/>
                <w:u w:val="single"/>
              </w:rPr>
              <w:t>90</w:t>
            </w:r>
          </w:p>
        </w:tc>
        <w:tc>
          <w:tcPr>
            <w:tcW w:w="1856" w:type="dxa"/>
            <w:tcMar>
              <w:top w:w="0" w:type="dxa"/>
              <w:left w:w="108" w:type="dxa"/>
              <w:bottom w:w="0" w:type="dxa"/>
              <w:right w:w="108" w:type="dxa"/>
            </w:tcMar>
            <w:vAlign w:val="center"/>
          </w:tcPr>
          <w:p>
            <w:pPr>
              <w:jc w:val="center"/>
              <w:rPr>
                <w:b/>
                <w:bCs/>
                <w:szCs w:val="21"/>
                <w:u w:val="single"/>
              </w:rPr>
            </w:pPr>
            <w:r>
              <w:rPr>
                <w:b/>
                <w:bCs/>
                <w:szCs w:val="21"/>
                <w:u w:val="single"/>
              </w:rPr>
              <w:t>120</w:t>
            </w:r>
          </w:p>
        </w:tc>
        <w:tc>
          <w:tcPr>
            <w:tcW w:w="1856" w:type="dxa"/>
            <w:vAlign w:val="center"/>
          </w:tcPr>
          <w:p>
            <w:pPr>
              <w:jc w:val="center"/>
              <w:rPr>
                <w:b/>
                <w:bCs/>
                <w:szCs w:val="21"/>
                <w:u w:val="single"/>
              </w:rPr>
            </w:pPr>
            <w:r>
              <w:rPr>
                <w:b/>
                <w:bCs/>
                <w:szCs w:val="21"/>
                <w:u w:val="single"/>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tcMar>
              <w:top w:w="0" w:type="dxa"/>
              <w:left w:w="108" w:type="dxa"/>
              <w:bottom w:w="0" w:type="dxa"/>
              <w:right w:w="108" w:type="dxa"/>
            </w:tcMar>
            <w:vAlign w:val="center"/>
          </w:tcPr>
          <w:p>
            <w:pPr>
              <w:jc w:val="center"/>
              <w:rPr>
                <w:b/>
                <w:bCs/>
                <w:szCs w:val="21"/>
                <w:u w:val="single"/>
              </w:rPr>
            </w:pPr>
            <w:r>
              <w:rPr>
                <w:b/>
                <w:bCs/>
                <w:szCs w:val="21"/>
                <w:u w:val="single"/>
              </w:rPr>
              <w:t>5</w:t>
            </w:r>
          </w:p>
        </w:tc>
        <w:tc>
          <w:tcPr>
            <w:tcW w:w="992" w:type="dxa"/>
            <w:tcMar>
              <w:top w:w="0" w:type="dxa"/>
              <w:left w:w="108" w:type="dxa"/>
              <w:bottom w:w="0" w:type="dxa"/>
              <w:right w:w="108" w:type="dxa"/>
            </w:tcMar>
            <w:vAlign w:val="center"/>
          </w:tcPr>
          <w:p>
            <w:pPr>
              <w:jc w:val="center"/>
              <w:rPr>
                <w:b/>
                <w:bCs/>
                <w:szCs w:val="21"/>
                <w:u w:val="single"/>
              </w:rPr>
            </w:pPr>
            <w:r>
              <w:rPr>
                <w:b/>
                <w:bCs/>
                <w:szCs w:val="21"/>
                <w:u w:val="single"/>
              </w:rPr>
              <w:t>铬</w:t>
            </w:r>
          </w:p>
        </w:tc>
        <w:tc>
          <w:tcPr>
            <w:tcW w:w="993" w:type="dxa"/>
            <w:tcMar>
              <w:top w:w="0" w:type="dxa"/>
              <w:left w:w="108" w:type="dxa"/>
              <w:bottom w:w="0" w:type="dxa"/>
              <w:right w:w="108" w:type="dxa"/>
            </w:tcMar>
            <w:vAlign w:val="center"/>
          </w:tcPr>
          <w:p>
            <w:pPr>
              <w:jc w:val="center"/>
              <w:rPr>
                <w:b/>
                <w:bCs/>
                <w:szCs w:val="21"/>
                <w:u w:val="single"/>
              </w:rPr>
            </w:pPr>
            <w:r>
              <w:rPr>
                <w:b/>
                <w:bCs/>
                <w:szCs w:val="21"/>
                <w:u w:val="single"/>
              </w:rPr>
              <w:t>其他</w:t>
            </w:r>
          </w:p>
        </w:tc>
        <w:tc>
          <w:tcPr>
            <w:tcW w:w="992" w:type="dxa"/>
            <w:tcMar>
              <w:top w:w="0" w:type="dxa"/>
              <w:left w:w="108" w:type="dxa"/>
              <w:bottom w:w="0" w:type="dxa"/>
              <w:right w:w="108" w:type="dxa"/>
            </w:tcMar>
            <w:vAlign w:val="center"/>
          </w:tcPr>
          <w:p>
            <w:pPr>
              <w:jc w:val="center"/>
              <w:rPr>
                <w:b/>
                <w:bCs/>
                <w:szCs w:val="21"/>
                <w:u w:val="single"/>
              </w:rPr>
            </w:pPr>
            <w:r>
              <w:rPr>
                <w:b/>
                <w:bCs/>
                <w:szCs w:val="21"/>
                <w:u w:val="single"/>
              </w:rPr>
              <w:t>150</w:t>
            </w:r>
          </w:p>
        </w:tc>
        <w:tc>
          <w:tcPr>
            <w:tcW w:w="1559" w:type="dxa"/>
            <w:tcMar>
              <w:top w:w="0" w:type="dxa"/>
              <w:left w:w="108" w:type="dxa"/>
              <w:bottom w:w="0" w:type="dxa"/>
              <w:right w:w="108" w:type="dxa"/>
            </w:tcMar>
            <w:vAlign w:val="center"/>
          </w:tcPr>
          <w:p>
            <w:pPr>
              <w:jc w:val="center"/>
              <w:rPr>
                <w:b/>
                <w:bCs/>
                <w:szCs w:val="21"/>
                <w:u w:val="single"/>
              </w:rPr>
            </w:pPr>
            <w:r>
              <w:rPr>
                <w:b/>
                <w:bCs/>
                <w:szCs w:val="21"/>
                <w:u w:val="single"/>
              </w:rPr>
              <w:t>150</w:t>
            </w:r>
          </w:p>
        </w:tc>
        <w:tc>
          <w:tcPr>
            <w:tcW w:w="1856" w:type="dxa"/>
            <w:tcMar>
              <w:top w:w="0" w:type="dxa"/>
              <w:left w:w="108" w:type="dxa"/>
              <w:bottom w:w="0" w:type="dxa"/>
              <w:right w:w="108" w:type="dxa"/>
            </w:tcMar>
            <w:vAlign w:val="center"/>
          </w:tcPr>
          <w:p>
            <w:pPr>
              <w:jc w:val="center"/>
              <w:rPr>
                <w:b/>
                <w:bCs/>
                <w:szCs w:val="21"/>
                <w:u w:val="single"/>
              </w:rPr>
            </w:pPr>
            <w:r>
              <w:rPr>
                <w:b/>
                <w:bCs/>
                <w:szCs w:val="21"/>
                <w:u w:val="single"/>
              </w:rPr>
              <w:t>200</w:t>
            </w:r>
          </w:p>
        </w:tc>
        <w:tc>
          <w:tcPr>
            <w:tcW w:w="1856" w:type="dxa"/>
            <w:vAlign w:val="center"/>
          </w:tcPr>
          <w:p>
            <w:pPr>
              <w:jc w:val="center"/>
              <w:rPr>
                <w:b/>
                <w:bCs/>
                <w:szCs w:val="21"/>
                <w:u w:val="single"/>
              </w:rPr>
            </w:pPr>
            <w:r>
              <w:rPr>
                <w:b/>
                <w:bCs/>
                <w:szCs w:val="21"/>
                <w:u w:val="singl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tcMar>
              <w:top w:w="0" w:type="dxa"/>
              <w:left w:w="108" w:type="dxa"/>
              <w:bottom w:w="0" w:type="dxa"/>
              <w:right w:w="108" w:type="dxa"/>
            </w:tcMar>
            <w:vAlign w:val="center"/>
          </w:tcPr>
          <w:p>
            <w:pPr>
              <w:jc w:val="center"/>
              <w:rPr>
                <w:b/>
                <w:bCs/>
                <w:szCs w:val="21"/>
                <w:u w:val="single"/>
              </w:rPr>
            </w:pPr>
            <w:r>
              <w:rPr>
                <w:b/>
                <w:bCs/>
                <w:szCs w:val="21"/>
                <w:u w:val="single"/>
              </w:rPr>
              <w:t>6</w:t>
            </w:r>
          </w:p>
        </w:tc>
        <w:tc>
          <w:tcPr>
            <w:tcW w:w="992" w:type="dxa"/>
            <w:tcMar>
              <w:top w:w="0" w:type="dxa"/>
              <w:left w:w="108" w:type="dxa"/>
              <w:bottom w:w="0" w:type="dxa"/>
              <w:right w:w="108" w:type="dxa"/>
            </w:tcMar>
            <w:vAlign w:val="center"/>
          </w:tcPr>
          <w:p>
            <w:pPr>
              <w:jc w:val="center"/>
              <w:rPr>
                <w:b/>
                <w:bCs/>
                <w:szCs w:val="21"/>
                <w:u w:val="single"/>
              </w:rPr>
            </w:pPr>
            <w:r>
              <w:rPr>
                <w:b/>
                <w:bCs/>
                <w:szCs w:val="21"/>
                <w:u w:val="single"/>
              </w:rPr>
              <w:t>铜</w:t>
            </w:r>
          </w:p>
        </w:tc>
        <w:tc>
          <w:tcPr>
            <w:tcW w:w="993" w:type="dxa"/>
            <w:tcMar>
              <w:top w:w="0" w:type="dxa"/>
              <w:left w:w="108" w:type="dxa"/>
              <w:bottom w:w="0" w:type="dxa"/>
              <w:right w:w="108" w:type="dxa"/>
            </w:tcMar>
            <w:vAlign w:val="center"/>
          </w:tcPr>
          <w:p>
            <w:pPr>
              <w:jc w:val="center"/>
              <w:rPr>
                <w:b/>
                <w:bCs/>
                <w:szCs w:val="21"/>
                <w:u w:val="single"/>
              </w:rPr>
            </w:pPr>
            <w:r>
              <w:rPr>
                <w:b/>
                <w:bCs/>
                <w:szCs w:val="21"/>
                <w:u w:val="single"/>
              </w:rPr>
              <w:t>其他</w:t>
            </w:r>
          </w:p>
        </w:tc>
        <w:tc>
          <w:tcPr>
            <w:tcW w:w="992" w:type="dxa"/>
            <w:tcMar>
              <w:top w:w="0" w:type="dxa"/>
              <w:left w:w="108" w:type="dxa"/>
              <w:bottom w:w="0" w:type="dxa"/>
              <w:right w:w="108" w:type="dxa"/>
            </w:tcMar>
            <w:vAlign w:val="center"/>
          </w:tcPr>
          <w:p>
            <w:pPr>
              <w:jc w:val="center"/>
              <w:rPr>
                <w:b/>
                <w:bCs/>
                <w:szCs w:val="21"/>
                <w:u w:val="single"/>
              </w:rPr>
            </w:pPr>
            <w:r>
              <w:rPr>
                <w:b/>
                <w:bCs/>
                <w:szCs w:val="21"/>
                <w:u w:val="single"/>
              </w:rPr>
              <w:t>50</w:t>
            </w:r>
          </w:p>
        </w:tc>
        <w:tc>
          <w:tcPr>
            <w:tcW w:w="1559" w:type="dxa"/>
            <w:tcMar>
              <w:top w:w="0" w:type="dxa"/>
              <w:left w:w="108" w:type="dxa"/>
              <w:bottom w:w="0" w:type="dxa"/>
              <w:right w:w="108" w:type="dxa"/>
            </w:tcMar>
            <w:vAlign w:val="center"/>
          </w:tcPr>
          <w:p>
            <w:pPr>
              <w:jc w:val="center"/>
              <w:rPr>
                <w:b/>
                <w:bCs/>
                <w:szCs w:val="21"/>
                <w:u w:val="single"/>
              </w:rPr>
            </w:pPr>
            <w:r>
              <w:rPr>
                <w:b/>
                <w:bCs/>
                <w:szCs w:val="21"/>
                <w:u w:val="single"/>
              </w:rPr>
              <w:t>50</w:t>
            </w:r>
          </w:p>
        </w:tc>
        <w:tc>
          <w:tcPr>
            <w:tcW w:w="1856" w:type="dxa"/>
            <w:tcMar>
              <w:top w:w="0" w:type="dxa"/>
              <w:left w:w="108" w:type="dxa"/>
              <w:bottom w:w="0" w:type="dxa"/>
              <w:right w:w="108" w:type="dxa"/>
            </w:tcMar>
            <w:vAlign w:val="center"/>
          </w:tcPr>
          <w:p>
            <w:pPr>
              <w:jc w:val="center"/>
              <w:rPr>
                <w:b/>
                <w:bCs/>
                <w:szCs w:val="21"/>
                <w:u w:val="single"/>
              </w:rPr>
            </w:pPr>
            <w:r>
              <w:rPr>
                <w:b/>
                <w:bCs/>
                <w:szCs w:val="21"/>
                <w:u w:val="single"/>
              </w:rPr>
              <w:t>100</w:t>
            </w:r>
          </w:p>
        </w:tc>
        <w:tc>
          <w:tcPr>
            <w:tcW w:w="1856" w:type="dxa"/>
            <w:vAlign w:val="center"/>
          </w:tcPr>
          <w:p>
            <w:pPr>
              <w:jc w:val="center"/>
              <w:rPr>
                <w:b/>
                <w:bCs/>
                <w:szCs w:val="21"/>
                <w:u w:val="single"/>
              </w:rPr>
            </w:pPr>
            <w:r>
              <w:rPr>
                <w:b/>
                <w:bCs/>
                <w:szCs w:val="21"/>
                <w:u w:val="singl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tcMar>
              <w:top w:w="0" w:type="dxa"/>
              <w:left w:w="108" w:type="dxa"/>
              <w:bottom w:w="0" w:type="dxa"/>
              <w:right w:w="108" w:type="dxa"/>
            </w:tcMar>
            <w:vAlign w:val="center"/>
          </w:tcPr>
          <w:p>
            <w:pPr>
              <w:jc w:val="center"/>
              <w:rPr>
                <w:b/>
                <w:bCs/>
                <w:szCs w:val="21"/>
                <w:u w:val="single"/>
              </w:rPr>
            </w:pPr>
            <w:r>
              <w:rPr>
                <w:b/>
                <w:bCs/>
                <w:szCs w:val="21"/>
                <w:u w:val="single"/>
              </w:rPr>
              <w:t>7</w:t>
            </w:r>
          </w:p>
        </w:tc>
        <w:tc>
          <w:tcPr>
            <w:tcW w:w="1985" w:type="dxa"/>
            <w:gridSpan w:val="2"/>
            <w:tcMar>
              <w:top w:w="0" w:type="dxa"/>
              <w:left w:w="108" w:type="dxa"/>
              <w:bottom w:w="0" w:type="dxa"/>
              <w:right w:w="108" w:type="dxa"/>
            </w:tcMar>
            <w:vAlign w:val="center"/>
          </w:tcPr>
          <w:p>
            <w:pPr>
              <w:jc w:val="center"/>
              <w:rPr>
                <w:b/>
                <w:bCs/>
                <w:szCs w:val="21"/>
                <w:u w:val="single"/>
              </w:rPr>
            </w:pPr>
            <w:r>
              <w:rPr>
                <w:b/>
                <w:bCs/>
                <w:szCs w:val="21"/>
                <w:u w:val="single"/>
              </w:rPr>
              <w:t>镍</w:t>
            </w:r>
          </w:p>
        </w:tc>
        <w:tc>
          <w:tcPr>
            <w:tcW w:w="992" w:type="dxa"/>
            <w:tcMar>
              <w:top w:w="0" w:type="dxa"/>
              <w:left w:w="108" w:type="dxa"/>
              <w:bottom w:w="0" w:type="dxa"/>
              <w:right w:w="108" w:type="dxa"/>
            </w:tcMar>
            <w:vAlign w:val="center"/>
          </w:tcPr>
          <w:p>
            <w:pPr>
              <w:jc w:val="center"/>
              <w:rPr>
                <w:b/>
                <w:bCs/>
                <w:szCs w:val="21"/>
                <w:u w:val="single"/>
              </w:rPr>
            </w:pPr>
            <w:r>
              <w:rPr>
                <w:b/>
                <w:bCs/>
                <w:szCs w:val="21"/>
                <w:u w:val="single"/>
              </w:rPr>
              <w:t>60</w:t>
            </w:r>
          </w:p>
        </w:tc>
        <w:tc>
          <w:tcPr>
            <w:tcW w:w="1559" w:type="dxa"/>
            <w:tcMar>
              <w:top w:w="0" w:type="dxa"/>
              <w:left w:w="108" w:type="dxa"/>
              <w:bottom w:w="0" w:type="dxa"/>
              <w:right w:w="108" w:type="dxa"/>
            </w:tcMar>
            <w:vAlign w:val="center"/>
          </w:tcPr>
          <w:p>
            <w:pPr>
              <w:jc w:val="center"/>
              <w:rPr>
                <w:b/>
                <w:bCs/>
                <w:szCs w:val="21"/>
                <w:u w:val="single"/>
              </w:rPr>
            </w:pPr>
            <w:r>
              <w:rPr>
                <w:b/>
                <w:bCs/>
                <w:szCs w:val="21"/>
                <w:u w:val="single"/>
              </w:rPr>
              <w:t>70</w:t>
            </w:r>
          </w:p>
        </w:tc>
        <w:tc>
          <w:tcPr>
            <w:tcW w:w="1856" w:type="dxa"/>
            <w:tcMar>
              <w:top w:w="0" w:type="dxa"/>
              <w:left w:w="108" w:type="dxa"/>
              <w:bottom w:w="0" w:type="dxa"/>
              <w:right w:w="108" w:type="dxa"/>
            </w:tcMar>
            <w:vAlign w:val="center"/>
          </w:tcPr>
          <w:p>
            <w:pPr>
              <w:jc w:val="center"/>
              <w:rPr>
                <w:b/>
                <w:bCs/>
                <w:szCs w:val="21"/>
                <w:u w:val="single"/>
              </w:rPr>
            </w:pPr>
            <w:r>
              <w:rPr>
                <w:b/>
                <w:bCs/>
                <w:szCs w:val="21"/>
                <w:u w:val="single"/>
              </w:rPr>
              <w:t>100</w:t>
            </w:r>
          </w:p>
        </w:tc>
        <w:tc>
          <w:tcPr>
            <w:tcW w:w="1856" w:type="dxa"/>
            <w:vAlign w:val="center"/>
          </w:tcPr>
          <w:p>
            <w:pPr>
              <w:jc w:val="center"/>
              <w:rPr>
                <w:b/>
                <w:bCs/>
                <w:szCs w:val="21"/>
                <w:u w:val="single"/>
              </w:rPr>
            </w:pPr>
            <w:r>
              <w:rPr>
                <w:b/>
                <w:bCs/>
                <w:szCs w:val="21"/>
                <w:u w:val="single"/>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53" w:type="dxa"/>
            <w:tcMar>
              <w:top w:w="0" w:type="dxa"/>
              <w:left w:w="108" w:type="dxa"/>
              <w:bottom w:w="0" w:type="dxa"/>
              <w:right w:w="108" w:type="dxa"/>
            </w:tcMar>
            <w:vAlign w:val="center"/>
          </w:tcPr>
          <w:p>
            <w:pPr>
              <w:jc w:val="center"/>
              <w:rPr>
                <w:b/>
                <w:bCs/>
                <w:szCs w:val="21"/>
                <w:u w:val="single"/>
              </w:rPr>
            </w:pPr>
            <w:r>
              <w:rPr>
                <w:b/>
                <w:bCs/>
                <w:szCs w:val="21"/>
                <w:u w:val="single"/>
              </w:rPr>
              <w:t>8</w:t>
            </w:r>
          </w:p>
        </w:tc>
        <w:tc>
          <w:tcPr>
            <w:tcW w:w="1985" w:type="dxa"/>
            <w:gridSpan w:val="2"/>
            <w:tcMar>
              <w:top w:w="0" w:type="dxa"/>
              <w:left w:w="108" w:type="dxa"/>
              <w:bottom w:w="0" w:type="dxa"/>
              <w:right w:w="108" w:type="dxa"/>
            </w:tcMar>
            <w:vAlign w:val="center"/>
          </w:tcPr>
          <w:p>
            <w:pPr>
              <w:jc w:val="center"/>
              <w:rPr>
                <w:b/>
                <w:bCs/>
                <w:szCs w:val="21"/>
                <w:u w:val="single"/>
              </w:rPr>
            </w:pPr>
            <w:r>
              <w:rPr>
                <w:b/>
                <w:bCs/>
                <w:szCs w:val="21"/>
                <w:u w:val="single"/>
              </w:rPr>
              <w:t>锌</w:t>
            </w:r>
          </w:p>
        </w:tc>
        <w:tc>
          <w:tcPr>
            <w:tcW w:w="992" w:type="dxa"/>
            <w:tcMar>
              <w:top w:w="0" w:type="dxa"/>
              <w:left w:w="108" w:type="dxa"/>
              <w:bottom w:w="0" w:type="dxa"/>
              <w:right w:w="108" w:type="dxa"/>
            </w:tcMar>
            <w:vAlign w:val="center"/>
          </w:tcPr>
          <w:p>
            <w:pPr>
              <w:jc w:val="center"/>
              <w:rPr>
                <w:b/>
                <w:bCs/>
                <w:szCs w:val="21"/>
                <w:u w:val="single"/>
              </w:rPr>
            </w:pPr>
            <w:r>
              <w:rPr>
                <w:b/>
                <w:bCs/>
                <w:szCs w:val="21"/>
                <w:u w:val="single"/>
              </w:rPr>
              <w:t>200</w:t>
            </w:r>
          </w:p>
        </w:tc>
        <w:tc>
          <w:tcPr>
            <w:tcW w:w="1559" w:type="dxa"/>
            <w:tcMar>
              <w:top w:w="0" w:type="dxa"/>
              <w:left w:w="108" w:type="dxa"/>
              <w:bottom w:w="0" w:type="dxa"/>
              <w:right w:w="108" w:type="dxa"/>
            </w:tcMar>
            <w:vAlign w:val="center"/>
          </w:tcPr>
          <w:p>
            <w:pPr>
              <w:jc w:val="center"/>
              <w:rPr>
                <w:b/>
                <w:bCs/>
                <w:szCs w:val="21"/>
                <w:u w:val="single"/>
              </w:rPr>
            </w:pPr>
            <w:r>
              <w:rPr>
                <w:b/>
                <w:bCs/>
                <w:szCs w:val="21"/>
                <w:u w:val="single"/>
              </w:rPr>
              <w:t>200</w:t>
            </w:r>
          </w:p>
        </w:tc>
        <w:tc>
          <w:tcPr>
            <w:tcW w:w="1856" w:type="dxa"/>
            <w:tcMar>
              <w:top w:w="0" w:type="dxa"/>
              <w:left w:w="108" w:type="dxa"/>
              <w:bottom w:w="0" w:type="dxa"/>
              <w:right w:w="108" w:type="dxa"/>
            </w:tcMar>
            <w:vAlign w:val="center"/>
          </w:tcPr>
          <w:p>
            <w:pPr>
              <w:jc w:val="center"/>
              <w:rPr>
                <w:b/>
                <w:bCs/>
                <w:szCs w:val="21"/>
                <w:u w:val="single"/>
              </w:rPr>
            </w:pPr>
            <w:r>
              <w:rPr>
                <w:b/>
                <w:bCs/>
                <w:szCs w:val="21"/>
                <w:u w:val="single"/>
              </w:rPr>
              <w:t>250</w:t>
            </w:r>
          </w:p>
        </w:tc>
        <w:tc>
          <w:tcPr>
            <w:tcW w:w="1856" w:type="dxa"/>
            <w:vAlign w:val="center"/>
          </w:tcPr>
          <w:p>
            <w:pPr>
              <w:jc w:val="center"/>
              <w:rPr>
                <w:b/>
                <w:bCs/>
                <w:szCs w:val="21"/>
                <w:u w:val="single"/>
              </w:rPr>
            </w:pPr>
            <w:r>
              <w:rPr>
                <w:b/>
                <w:bCs/>
                <w:szCs w:val="21"/>
                <w:u w:val="single"/>
              </w:rPr>
              <w:t>300</w:t>
            </w:r>
          </w:p>
        </w:tc>
      </w:tr>
    </w:tbl>
    <w:p>
      <w:pPr>
        <w:spacing w:line="500" w:lineRule="exact"/>
        <w:rPr>
          <w:b/>
          <w:bCs/>
          <w:color w:val="000000" w:themeColor="text1"/>
          <w:sz w:val="24"/>
          <w:u w:val="single"/>
        </w:rPr>
      </w:pPr>
      <w:bookmarkStart w:id="245" w:name="_Toc413829651"/>
      <w:bookmarkStart w:id="246" w:name="_Toc406663018"/>
      <w:r>
        <w:rPr>
          <w:b/>
          <w:bCs/>
          <w:color w:val="000000" w:themeColor="text1"/>
          <w:sz w:val="24"/>
          <w:u w:val="single"/>
        </w:rPr>
        <w:t>3.3.5.3监测统计及评价结果</w:t>
      </w:r>
      <w:bookmarkEnd w:id="245"/>
      <w:bookmarkEnd w:id="246"/>
    </w:p>
    <w:p>
      <w:pPr>
        <w:autoSpaceDE w:val="0"/>
        <w:autoSpaceDN w:val="0"/>
        <w:adjustRightInd w:val="0"/>
        <w:spacing w:line="500" w:lineRule="exact"/>
        <w:ind w:firstLine="426" w:firstLineChars="177"/>
        <w:jc w:val="left"/>
        <w:rPr>
          <w:b/>
          <w:bCs/>
          <w:color w:val="000000" w:themeColor="text1"/>
          <w:sz w:val="24"/>
          <w:u w:val="single"/>
        </w:rPr>
      </w:pPr>
      <w:r>
        <w:rPr>
          <w:b/>
          <w:bCs/>
          <w:color w:val="000000" w:themeColor="text1"/>
          <w:sz w:val="24"/>
          <w:u w:val="single"/>
        </w:rPr>
        <w:t>土壤环境现状监测统计及评价结果见表</w:t>
      </w:r>
      <w:r>
        <w:rPr>
          <w:rFonts w:hint="eastAsia"/>
          <w:b/>
          <w:bCs/>
          <w:color w:val="000000" w:themeColor="text1"/>
          <w:sz w:val="24"/>
          <w:u w:val="single"/>
        </w:rPr>
        <w:t>3.3-18</w:t>
      </w:r>
      <w:r>
        <w:rPr>
          <w:b/>
          <w:bCs/>
          <w:color w:val="000000" w:themeColor="text1"/>
          <w:sz w:val="24"/>
          <w:u w:val="single"/>
        </w:rPr>
        <w:t>。</w:t>
      </w:r>
    </w:p>
    <w:p>
      <w:pPr>
        <w:spacing w:afterLines="30" w:line="500" w:lineRule="exact"/>
        <w:jc w:val="center"/>
        <w:rPr>
          <w:b/>
          <w:bCs/>
          <w:sz w:val="18"/>
          <w:szCs w:val="18"/>
          <w:u w:val="single"/>
        </w:rPr>
      </w:pPr>
      <w:r>
        <w:rPr>
          <w:b/>
          <w:bCs/>
          <w:color w:val="000000" w:themeColor="text1"/>
          <w:sz w:val="24"/>
          <w:u w:val="single"/>
        </w:rPr>
        <w:t>表</w:t>
      </w:r>
      <w:r>
        <w:rPr>
          <w:rFonts w:hint="eastAsia"/>
          <w:b/>
          <w:bCs/>
          <w:color w:val="000000" w:themeColor="text1"/>
          <w:sz w:val="24"/>
          <w:u w:val="single"/>
        </w:rPr>
        <w:t>3.3-18</w:t>
      </w:r>
      <w:r>
        <w:rPr>
          <w:b/>
          <w:bCs/>
          <w:sz w:val="24"/>
          <w:u w:val="single"/>
        </w:rPr>
        <w:t xml:space="preserve">土壤环境现状监测统计及评价结果表   </w:t>
      </w:r>
      <w:r>
        <w:rPr>
          <w:b/>
          <w:bCs/>
          <w:sz w:val="18"/>
          <w:szCs w:val="18"/>
          <w:u w:val="single"/>
        </w:rPr>
        <w:t>单位：mg/kg,pH除外</w:t>
      </w:r>
    </w:p>
    <w:tbl>
      <w:tblPr>
        <w:tblStyle w:val="44"/>
        <w:tblW w:w="89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8"/>
        <w:gridCol w:w="957"/>
        <w:gridCol w:w="786"/>
        <w:gridCol w:w="907"/>
        <w:gridCol w:w="1024"/>
        <w:gridCol w:w="1030"/>
        <w:gridCol w:w="892"/>
        <w:gridCol w:w="886"/>
        <w:gridCol w:w="923"/>
        <w:gridCol w:w="7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tblHeader/>
          <w:jc w:val="center"/>
        </w:trPr>
        <w:tc>
          <w:tcPr>
            <w:tcW w:w="728" w:type="dxa"/>
            <w:vMerge w:val="restart"/>
            <w:noWrap/>
            <w:vAlign w:val="center"/>
          </w:tcPr>
          <w:p>
            <w:pPr>
              <w:spacing w:line="320" w:lineRule="exact"/>
              <w:jc w:val="center"/>
              <w:rPr>
                <w:b/>
                <w:bCs/>
                <w:szCs w:val="21"/>
                <w:u w:val="single"/>
              </w:rPr>
            </w:pPr>
            <w:r>
              <w:rPr>
                <w:b/>
                <w:bCs/>
                <w:szCs w:val="21"/>
                <w:u w:val="single"/>
              </w:rPr>
              <w:t>监测点</w:t>
            </w:r>
          </w:p>
        </w:tc>
        <w:tc>
          <w:tcPr>
            <w:tcW w:w="957" w:type="dxa"/>
            <w:noWrap/>
            <w:vAlign w:val="center"/>
          </w:tcPr>
          <w:p>
            <w:pPr>
              <w:spacing w:line="320" w:lineRule="exact"/>
              <w:jc w:val="center"/>
              <w:rPr>
                <w:b/>
                <w:bCs/>
                <w:szCs w:val="21"/>
                <w:u w:val="single"/>
              </w:rPr>
            </w:pPr>
            <w:r>
              <w:rPr>
                <w:b/>
                <w:bCs/>
                <w:szCs w:val="21"/>
                <w:u w:val="single"/>
              </w:rPr>
              <w:t>项  目</w:t>
            </w:r>
          </w:p>
        </w:tc>
        <w:tc>
          <w:tcPr>
            <w:tcW w:w="786" w:type="dxa"/>
            <w:noWrap/>
            <w:vAlign w:val="center"/>
          </w:tcPr>
          <w:p>
            <w:pPr>
              <w:spacing w:line="320" w:lineRule="exact"/>
              <w:jc w:val="center"/>
              <w:rPr>
                <w:b/>
                <w:bCs/>
                <w:szCs w:val="21"/>
                <w:u w:val="single"/>
              </w:rPr>
            </w:pPr>
            <w:r>
              <w:rPr>
                <w:b/>
                <w:bCs/>
                <w:szCs w:val="21"/>
                <w:u w:val="single"/>
              </w:rPr>
              <w:t>pH</w:t>
            </w:r>
          </w:p>
        </w:tc>
        <w:tc>
          <w:tcPr>
            <w:tcW w:w="907" w:type="dxa"/>
            <w:noWrap/>
            <w:vAlign w:val="center"/>
          </w:tcPr>
          <w:p>
            <w:pPr>
              <w:spacing w:line="320" w:lineRule="exact"/>
              <w:jc w:val="center"/>
              <w:rPr>
                <w:b/>
                <w:bCs/>
                <w:szCs w:val="21"/>
                <w:u w:val="single"/>
              </w:rPr>
            </w:pPr>
            <w:r>
              <w:rPr>
                <w:b/>
                <w:bCs/>
                <w:szCs w:val="21"/>
                <w:u w:val="single"/>
              </w:rPr>
              <w:t>汞</w:t>
            </w:r>
          </w:p>
        </w:tc>
        <w:tc>
          <w:tcPr>
            <w:tcW w:w="1024" w:type="dxa"/>
            <w:noWrap/>
            <w:vAlign w:val="center"/>
          </w:tcPr>
          <w:p>
            <w:pPr>
              <w:spacing w:line="320" w:lineRule="exact"/>
              <w:jc w:val="center"/>
              <w:rPr>
                <w:b/>
                <w:bCs/>
                <w:szCs w:val="21"/>
                <w:u w:val="single"/>
              </w:rPr>
            </w:pPr>
            <w:r>
              <w:rPr>
                <w:b/>
                <w:bCs/>
                <w:szCs w:val="21"/>
                <w:u w:val="single"/>
              </w:rPr>
              <w:t>砷</w:t>
            </w:r>
          </w:p>
        </w:tc>
        <w:tc>
          <w:tcPr>
            <w:tcW w:w="1030" w:type="dxa"/>
            <w:noWrap/>
            <w:vAlign w:val="center"/>
          </w:tcPr>
          <w:p>
            <w:pPr>
              <w:spacing w:line="320" w:lineRule="exact"/>
              <w:jc w:val="center"/>
              <w:rPr>
                <w:b/>
                <w:bCs/>
                <w:szCs w:val="21"/>
                <w:u w:val="single"/>
              </w:rPr>
            </w:pPr>
            <w:r>
              <w:rPr>
                <w:b/>
                <w:bCs/>
                <w:szCs w:val="21"/>
                <w:u w:val="single"/>
              </w:rPr>
              <w:t>铜</w:t>
            </w:r>
          </w:p>
        </w:tc>
        <w:tc>
          <w:tcPr>
            <w:tcW w:w="892" w:type="dxa"/>
            <w:noWrap/>
            <w:vAlign w:val="center"/>
          </w:tcPr>
          <w:p>
            <w:pPr>
              <w:spacing w:line="320" w:lineRule="exact"/>
              <w:jc w:val="center"/>
              <w:rPr>
                <w:b/>
                <w:bCs/>
                <w:szCs w:val="21"/>
                <w:u w:val="single"/>
              </w:rPr>
            </w:pPr>
            <w:r>
              <w:rPr>
                <w:b/>
                <w:bCs/>
                <w:szCs w:val="21"/>
                <w:u w:val="single"/>
              </w:rPr>
              <w:t>铅</w:t>
            </w:r>
          </w:p>
        </w:tc>
        <w:tc>
          <w:tcPr>
            <w:tcW w:w="886" w:type="dxa"/>
            <w:noWrap/>
            <w:vAlign w:val="center"/>
          </w:tcPr>
          <w:p>
            <w:pPr>
              <w:spacing w:line="320" w:lineRule="exact"/>
              <w:jc w:val="center"/>
              <w:rPr>
                <w:b/>
                <w:bCs/>
                <w:szCs w:val="21"/>
                <w:u w:val="single"/>
              </w:rPr>
            </w:pPr>
            <w:r>
              <w:rPr>
                <w:b/>
                <w:bCs/>
                <w:szCs w:val="21"/>
                <w:u w:val="single"/>
              </w:rPr>
              <w:t>铬</w:t>
            </w:r>
          </w:p>
        </w:tc>
        <w:tc>
          <w:tcPr>
            <w:tcW w:w="923" w:type="dxa"/>
            <w:noWrap/>
            <w:vAlign w:val="center"/>
          </w:tcPr>
          <w:p>
            <w:pPr>
              <w:spacing w:line="320" w:lineRule="exact"/>
              <w:jc w:val="center"/>
              <w:rPr>
                <w:b/>
                <w:bCs/>
                <w:szCs w:val="21"/>
                <w:u w:val="single"/>
              </w:rPr>
            </w:pPr>
            <w:r>
              <w:rPr>
                <w:b/>
                <w:bCs/>
                <w:szCs w:val="21"/>
                <w:u w:val="single"/>
              </w:rPr>
              <w:t>锌</w:t>
            </w:r>
          </w:p>
        </w:tc>
        <w:tc>
          <w:tcPr>
            <w:tcW w:w="767" w:type="dxa"/>
            <w:noWrap/>
            <w:vAlign w:val="center"/>
          </w:tcPr>
          <w:p>
            <w:pPr>
              <w:spacing w:line="320" w:lineRule="exact"/>
              <w:jc w:val="center"/>
              <w:rPr>
                <w:b/>
                <w:bCs/>
                <w:szCs w:val="21"/>
                <w:u w:val="single"/>
              </w:rPr>
            </w:pPr>
            <w:r>
              <w:rPr>
                <w:b/>
                <w:bCs/>
                <w:szCs w:val="21"/>
                <w:u w:val="single"/>
              </w:rPr>
              <w:t>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0" w:hRule="atLeast"/>
          <w:tblHeader/>
          <w:jc w:val="center"/>
        </w:trPr>
        <w:tc>
          <w:tcPr>
            <w:tcW w:w="728" w:type="dxa"/>
            <w:vMerge w:val="continue"/>
            <w:noWrap/>
            <w:vAlign w:val="center"/>
          </w:tcPr>
          <w:p>
            <w:pPr>
              <w:spacing w:line="320" w:lineRule="exact"/>
              <w:jc w:val="center"/>
              <w:rPr>
                <w:b/>
                <w:bCs/>
                <w:szCs w:val="21"/>
                <w:u w:val="single"/>
              </w:rPr>
            </w:pPr>
          </w:p>
        </w:tc>
        <w:tc>
          <w:tcPr>
            <w:tcW w:w="957" w:type="dxa"/>
            <w:vMerge w:val="restart"/>
            <w:noWrap/>
            <w:vAlign w:val="center"/>
          </w:tcPr>
          <w:p>
            <w:pPr>
              <w:spacing w:line="320" w:lineRule="exact"/>
              <w:jc w:val="center"/>
              <w:rPr>
                <w:b/>
                <w:bCs/>
                <w:szCs w:val="21"/>
                <w:u w:val="single"/>
              </w:rPr>
            </w:pPr>
            <w:r>
              <w:rPr>
                <w:b/>
                <w:bCs/>
                <w:szCs w:val="21"/>
                <w:u w:val="single"/>
              </w:rPr>
              <w:t>标准</w:t>
            </w:r>
          </w:p>
        </w:tc>
        <w:tc>
          <w:tcPr>
            <w:tcW w:w="786" w:type="dxa"/>
            <w:noWrap/>
            <w:vAlign w:val="center"/>
          </w:tcPr>
          <w:p>
            <w:pPr>
              <w:spacing w:line="320" w:lineRule="exact"/>
              <w:jc w:val="center"/>
              <w:rPr>
                <w:b/>
                <w:bCs/>
                <w:szCs w:val="21"/>
                <w:u w:val="single"/>
              </w:rPr>
            </w:pPr>
            <w:r>
              <w:rPr>
                <w:b/>
                <w:bCs/>
                <w:szCs w:val="21"/>
                <w:u w:val="single"/>
              </w:rPr>
              <w:t>6.5~7.5</w:t>
            </w:r>
          </w:p>
        </w:tc>
        <w:tc>
          <w:tcPr>
            <w:tcW w:w="907" w:type="dxa"/>
            <w:noWrap/>
            <w:vAlign w:val="center"/>
          </w:tcPr>
          <w:p>
            <w:pPr>
              <w:spacing w:line="320" w:lineRule="exact"/>
              <w:jc w:val="center"/>
              <w:rPr>
                <w:b/>
                <w:bCs/>
                <w:szCs w:val="21"/>
                <w:u w:val="single"/>
              </w:rPr>
            </w:pPr>
            <w:r>
              <w:rPr>
                <w:b/>
                <w:bCs/>
                <w:szCs w:val="21"/>
                <w:u w:val="single"/>
              </w:rPr>
              <w:t>2.4</w:t>
            </w:r>
          </w:p>
        </w:tc>
        <w:tc>
          <w:tcPr>
            <w:tcW w:w="1024" w:type="dxa"/>
            <w:noWrap/>
            <w:vAlign w:val="center"/>
          </w:tcPr>
          <w:p>
            <w:pPr>
              <w:spacing w:line="320" w:lineRule="exact"/>
              <w:jc w:val="center"/>
              <w:rPr>
                <w:b/>
                <w:bCs/>
                <w:szCs w:val="21"/>
                <w:u w:val="single"/>
              </w:rPr>
            </w:pPr>
            <w:r>
              <w:rPr>
                <w:b/>
                <w:bCs/>
                <w:szCs w:val="21"/>
                <w:u w:val="single"/>
              </w:rPr>
              <w:t>30</w:t>
            </w:r>
          </w:p>
        </w:tc>
        <w:tc>
          <w:tcPr>
            <w:tcW w:w="1030" w:type="dxa"/>
            <w:noWrap/>
            <w:vAlign w:val="center"/>
          </w:tcPr>
          <w:p>
            <w:pPr>
              <w:spacing w:line="320" w:lineRule="exact"/>
              <w:jc w:val="center"/>
              <w:rPr>
                <w:b/>
                <w:bCs/>
                <w:szCs w:val="21"/>
                <w:u w:val="single"/>
              </w:rPr>
            </w:pPr>
            <w:r>
              <w:rPr>
                <w:b/>
                <w:bCs/>
                <w:szCs w:val="21"/>
                <w:u w:val="single"/>
              </w:rPr>
              <w:t>100</w:t>
            </w:r>
          </w:p>
        </w:tc>
        <w:tc>
          <w:tcPr>
            <w:tcW w:w="892" w:type="dxa"/>
            <w:noWrap/>
            <w:vAlign w:val="center"/>
          </w:tcPr>
          <w:p>
            <w:pPr>
              <w:spacing w:line="320" w:lineRule="exact"/>
              <w:jc w:val="center"/>
              <w:rPr>
                <w:b/>
                <w:bCs/>
                <w:szCs w:val="21"/>
                <w:u w:val="single"/>
              </w:rPr>
            </w:pPr>
            <w:r>
              <w:rPr>
                <w:b/>
                <w:bCs/>
                <w:szCs w:val="21"/>
                <w:u w:val="single"/>
              </w:rPr>
              <w:t>120</w:t>
            </w:r>
          </w:p>
        </w:tc>
        <w:tc>
          <w:tcPr>
            <w:tcW w:w="886" w:type="dxa"/>
            <w:noWrap/>
            <w:vAlign w:val="center"/>
          </w:tcPr>
          <w:p>
            <w:pPr>
              <w:spacing w:line="320" w:lineRule="exact"/>
              <w:jc w:val="center"/>
              <w:rPr>
                <w:b/>
                <w:bCs/>
                <w:szCs w:val="21"/>
                <w:u w:val="single"/>
              </w:rPr>
            </w:pPr>
            <w:r>
              <w:rPr>
                <w:b/>
                <w:bCs/>
                <w:szCs w:val="21"/>
                <w:u w:val="single"/>
              </w:rPr>
              <w:t>200</w:t>
            </w:r>
          </w:p>
        </w:tc>
        <w:tc>
          <w:tcPr>
            <w:tcW w:w="923" w:type="dxa"/>
            <w:noWrap/>
            <w:vAlign w:val="center"/>
          </w:tcPr>
          <w:p>
            <w:pPr>
              <w:spacing w:line="320" w:lineRule="exact"/>
              <w:jc w:val="center"/>
              <w:rPr>
                <w:b/>
                <w:bCs/>
                <w:szCs w:val="21"/>
                <w:u w:val="single"/>
              </w:rPr>
            </w:pPr>
            <w:r>
              <w:rPr>
                <w:b/>
                <w:bCs/>
                <w:szCs w:val="21"/>
                <w:u w:val="single"/>
              </w:rPr>
              <w:t>250</w:t>
            </w:r>
          </w:p>
        </w:tc>
        <w:tc>
          <w:tcPr>
            <w:tcW w:w="767" w:type="dxa"/>
            <w:noWrap/>
            <w:vAlign w:val="center"/>
          </w:tcPr>
          <w:p>
            <w:pPr>
              <w:spacing w:line="320" w:lineRule="exact"/>
              <w:jc w:val="center"/>
              <w:rPr>
                <w:b/>
                <w:bCs/>
                <w:szCs w:val="21"/>
                <w:u w:val="single"/>
              </w:rPr>
            </w:pPr>
            <w:r>
              <w:rPr>
                <w:b/>
                <w:bCs/>
                <w:szCs w:val="21"/>
                <w:u w:val="singl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6" w:hRule="atLeast"/>
          <w:tblHeader/>
          <w:jc w:val="center"/>
        </w:trPr>
        <w:tc>
          <w:tcPr>
            <w:tcW w:w="728" w:type="dxa"/>
            <w:vMerge w:val="continue"/>
            <w:noWrap/>
            <w:vAlign w:val="center"/>
          </w:tcPr>
          <w:p>
            <w:pPr>
              <w:spacing w:line="320" w:lineRule="exact"/>
              <w:jc w:val="center"/>
              <w:rPr>
                <w:b/>
                <w:bCs/>
                <w:szCs w:val="21"/>
                <w:u w:val="single"/>
              </w:rPr>
            </w:pPr>
          </w:p>
        </w:tc>
        <w:tc>
          <w:tcPr>
            <w:tcW w:w="957" w:type="dxa"/>
            <w:vMerge w:val="continue"/>
            <w:noWrap/>
            <w:vAlign w:val="center"/>
          </w:tcPr>
          <w:p>
            <w:pPr>
              <w:spacing w:line="320" w:lineRule="exact"/>
              <w:jc w:val="center"/>
              <w:rPr>
                <w:b/>
                <w:bCs/>
                <w:szCs w:val="21"/>
                <w:u w:val="single"/>
              </w:rPr>
            </w:pPr>
          </w:p>
        </w:tc>
        <w:tc>
          <w:tcPr>
            <w:tcW w:w="786" w:type="dxa"/>
            <w:noWrap/>
            <w:vAlign w:val="center"/>
          </w:tcPr>
          <w:p>
            <w:pPr>
              <w:spacing w:line="320" w:lineRule="exact"/>
              <w:jc w:val="center"/>
              <w:rPr>
                <w:b/>
                <w:bCs/>
                <w:szCs w:val="21"/>
                <w:u w:val="single"/>
              </w:rPr>
            </w:pPr>
            <w:r>
              <w:rPr>
                <w:b/>
                <w:bCs/>
                <w:szCs w:val="21"/>
                <w:u w:val="single"/>
              </w:rPr>
              <w:t>＞7.5</w:t>
            </w:r>
          </w:p>
        </w:tc>
        <w:tc>
          <w:tcPr>
            <w:tcW w:w="907" w:type="dxa"/>
            <w:noWrap/>
            <w:vAlign w:val="center"/>
          </w:tcPr>
          <w:p>
            <w:pPr>
              <w:spacing w:line="320" w:lineRule="exact"/>
              <w:jc w:val="center"/>
              <w:rPr>
                <w:b/>
                <w:bCs/>
                <w:szCs w:val="21"/>
                <w:u w:val="single"/>
              </w:rPr>
            </w:pPr>
            <w:r>
              <w:rPr>
                <w:b/>
                <w:bCs/>
                <w:szCs w:val="21"/>
                <w:u w:val="single"/>
              </w:rPr>
              <w:t>3.4</w:t>
            </w:r>
          </w:p>
        </w:tc>
        <w:tc>
          <w:tcPr>
            <w:tcW w:w="1024" w:type="dxa"/>
            <w:noWrap/>
            <w:vAlign w:val="center"/>
          </w:tcPr>
          <w:p>
            <w:pPr>
              <w:spacing w:line="320" w:lineRule="exact"/>
              <w:jc w:val="center"/>
              <w:rPr>
                <w:b/>
                <w:bCs/>
                <w:szCs w:val="21"/>
                <w:u w:val="single"/>
              </w:rPr>
            </w:pPr>
            <w:r>
              <w:rPr>
                <w:b/>
                <w:bCs/>
                <w:szCs w:val="21"/>
                <w:u w:val="single"/>
              </w:rPr>
              <w:t>25</w:t>
            </w:r>
          </w:p>
        </w:tc>
        <w:tc>
          <w:tcPr>
            <w:tcW w:w="1030" w:type="dxa"/>
            <w:noWrap/>
            <w:vAlign w:val="center"/>
          </w:tcPr>
          <w:p>
            <w:pPr>
              <w:spacing w:line="320" w:lineRule="exact"/>
              <w:jc w:val="center"/>
              <w:rPr>
                <w:b/>
                <w:bCs/>
                <w:szCs w:val="21"/>
                <w:u w:val="single"/>
              </w:rPr>
            </w:pPr>
            <w:r>
              <w:rPr>
                <w:b/>
                <w:bCs/>
                <w:szCs w:val="21"/>
                <w:u w:val="single"/>
              </w:rPr>
              <w:t>100</w:t>
            </w:r>
          </w:p>
        </w:tc>
        <w:tc>
          <w:tcPr>
            <w:tcW w:w="892" w:type="dxa"/>
            <w:noWrap/>
            <w:vAlign w:val="center"/>
          </w:tcPr>
          <w:p>
            <w:pPr>
              <w:spacing w:line="320" w:lineRule="exact"/>
              <w:jc w:val="center"/>
              <w:rPr>
                <w:b/>
                <w:bCs/>
                <w:szCs w:val="21"/>
                <w:u w:val="single"/>
              </w:rPr>
            </w:pPr>
            <w:r>
              <w:rPr>
                <w:b/>
                <w:bCs/>
                <w:szCs w:val="21"/>
                <w:u w:val="single"/>
              </w:rPr>
              <w:t>170</w:t>
            </w:r>
          </w:p>
        </w:tc>
        <w:tc>
          <w:tcPr>
            <w:tcW w:w="886" w:type="dxa"/>
            <w:noWrap/>
            <w:vAlign w:val="center"/>
          </w:tcPr>
          <w:p>
            <w:pPr>
              <w:spacing w:line="320" w:lineRule="exact"/>
              <w:jc w:val="center"/>
              <w:rPr>
                <w:b/>
                <w:bCs/>
                <w:szCs w:val="21"/>
                <w:u w:val="single"/>
              </w:rPr>
            </w:pPr>
            <w:r>
              <w:rPr>
                <w:b/>
                <w:bCs/>
                <w:szCs w:val="21"/>
                <w:u w:val="single"/>
              </w:rPr>
              <w:t>250</w:t>
            </w:r>
          </w:p>
        </w:tc>
        <w:tc>
          <w:tcPr>
            <w:tcW w:w="923" w:type="dxa"/>
            <w:noWrap/>
            <w:vAlign w:val="center"/>
          </w:tcPr>
          <w:p>
            <w:pPr>
              <w:spacing w:line="320" w:lineRule="exact"/>
              <w:jc w:val="center"/>
              <w:rPr>
                <w:b/>
                <w:bCs/>
                <w:szCs w:val="21"/>
                <w:u w:val="single"/>
              </w:rPr>
            </w:pPr>
            <w:r>
              <w:rPr>
                <w:b/>
                <w:bCs/>
                <w:szCs w:val="21"/>
                <w:u w:val="single"/>
              </w:rPr>
              <w:t>300</w:t>
            </w:r>
          </w:p>
        </w:tc>
        <w:tc>
          <w:tcPr>
            <w:tcW w:w="767" w:type="dxa"/>
            <w:noWrap/>
            <w:vAlign w:val="center"/>
          </w:tcPr>
          <w:p>
            <w:pPr>
              <w:spacing w:line="320" w:lineRule="exact"/>
              <w:jc w:val="center"/>
              <w:rPr>
                <w:b/>
                <w:bCs/>
                <w:szCs w:val="21"/>
                <w:u w:val="single"/>
              </w:rPr>
            </w:pPr>
            <w:r>
              <w:rPr>
                <w:b/>
                <w:bCs/>
                <w:szCs w:val="21"/>
                <w:u w:val="single"/>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728" w:type="dxa"/>
            <w:vMerge w:val="restart"/>
            <w:noWrap/>
            <w:vAlign w:val="center"/>
          </w:tcPr>
          <w:p>
            <w:pPr>
              <w:spacing w:line="320" w:lineRule="exact"/>
              <w:jc w:val="center"/>
              <w:rPr>
                <w:b/>
                <w:bCs/>
                <w:szCs w:val="21"/>
                <w:u w:val="single"/>
              </w:rPr>
            </w:pPr>
            <w:r>
              <w:rPr>
                <w:b/>
                <w:bCs/>
                <w:szCs w:val="21"/>
                <w:u w:val="single"/>
              </w:rPr>
              <w:t>场区</w:t>
            </w:r>
          </w:p>
        </w:tc>
        <w:tc>
          <w:tcPr>
            <w:tcW w:w="957" w:type="dxa"/>
            <w:noWrap/>
            <w:vAlign w:val="center"/>
          </w:tcPr>
          <w:p>
            <w:pPr>
              <w:spacing w:line="320" w:lineRule="exact"/>
              <w:jc w:val="center"/>
              <w:rPr>
                <w:b/>
                <w:bCs/>
                <w:szCs w:val="21"/>
                <w:u w:val="single"/>
              </w:rPr>
            </w:pPr>
            <w:r>
              <w:rPr>
                <w:b/>
                <w:bCs/>
                <w:szCs w:val="21"/>
                <w:u w:val="single"/>
              </w:rPr>
              <w:t>监测值</w:t>
            </w:r>
          </w:p>
        </w:tc>
        <w:tc>
          <w:tcPr>
            <w:tcW w:w="786" w:type="dxa"/>
            <w:noWrap/>
            <w:vAlign w:val="center"/>
          </w:tcPr>
          <w:p>
            <w:pPr>
              <w:jc w:val="center"/>
              <w:rPr>
                <w:b/>
                <w:bCs/>
                <w:szCs w:val="21"/>
                <w:u w:val="single"/>
              </w:rPr>
            </w:pPr>
            <w:r>
              <w:rPr>
                <w:b/>
                <w:bCs/>
                <w:szCs w:val="21"/>
                <w:u w:val="single"/>
              </w:rPr>
              <w:t>7.2</w:t>
            </w:r>
            <w:r>
              <w:rPr>
                <w:rFonts w:hint="eastAsia"/>
                <w:b/>
                <w:bCs/>
                <w:szCs w:val="21"/>
                <w:u w:val="single"/>
              </w:rPr>
              <w:t>7</w:t>
            </w:r>
          </w:p>
        </w:tc>
        <w:tc>
          <w:tcPr>
            <w:tcW w:w="907" w:type="dxa"/>
            <w:noWrap/>
            <w:vAlign w:val="center"/>
          </w:tcPr>
          <w:p>
            <w:pPr>
              <w:jc w:val="center"/>
              <w:rPr>
                <w:b/>
                <w:bCs/>
                <w:szCs w:val="21"/>
                <w:u w:val="single"/>
              </w:rPr>
            </w:pPr>
            <w:r>
              <w:rPr>
                <w:b/>
                <w:bCs/>
                <w:szCs w:val="21"/>
                <w:u w:val="single"/>
              </w:rPr>
              <w:t>未检出</w:t>
            </w:r>
          </w:p>
        </w:tc>
        <w:tc>
          <w:tcPr>
            <w:tcW w:w="1024" w:type="dxa"/>
            <w:noWrap/>
            <w:vAlign w:val="center"/>
          </w:tcPr>
          <w:p>
            <w:pPr>
              <w:jc w:val="center"/>
              <w:rPr>
                <w:b/>
                <w:bCs/>
                <w:szCs w:val="21"/>
                <w:u w:val="single"/>
              </w:rPr>
            </w:pPr>
            <w:r>
              <w:rPr>
                <w:rFonts w:hint="eastAsia"/>
                <w:b/>
                <w:bCs/>
                <w:szCs w:val="21"/>
                <w:u w:val="single"/>
              </w:rPr>
              <w:t>0.042</w:t>
            </w:r>
          </w:p>
        </w:tc>
        <w:tc>
          <w:tcPr>
            <w:tcW w:w="1030" w:type="dxa"/>
            <w:noWrap/>
            <w:vAlign w:val="center"/>
          </w:tcPr>
          <w:p>
            <w:pPr>
              <w:jc w:val="center"/>
              <w:rPr>
                <w:b/>
                <w:bCs/>
                <w:szCs w:val="21"/>
                <w:u w:val="single"/>
              </w:rPr>
            </w:pPr>
            <w:r>
              <w:rPr>
                <w:rFonts w:hint="eastAsia"/>
                <w:b/>
                <w:bCs/>
                <w:szCs w:val="21"/>
                <w:u w:val="single"/>
              </w:rPr>
              <w:t>17</w:t>
            </w:r>
          </w:p>
        </w:tc>
        <w:tc>
          <w:tcPr>
            <w:tcW w:w="892" w:type="dxa"/>
            <w:noWrap/>
            <w:vAlign w:val="center"/>
          </w:tcPr>
          <w:p>
            <w:pPr>
              <w:jc w:val="center"/>
              <w:rPr>
                <w:b/>
                <w:bCs/>
                <w:szCs w:val="21"/>
                <w:u w:val="single"/>
              </w:rPr>
            </w:pPr>
            <w:r>
              <w:rPr>
                <w:rFonts w:hint="eastAsia"/>
                <w:b/>
                <w:bCs/>
                <w:szCs w:val="21"/>
                <w:u w:val="single"/>
              </w:rPr>
              <w:t>16.4</w:t>
            </w:r>
          </w:p>
        </w:tc>
        <w:tc>
          <w:tcPr>
            <w:tcW w:w="886" w:type="dxa"/>
            <w:noWrap/>
            <w:vAlign w:val="center"/>
          </w:tcPr>
          <w:p>
            <w:pPr>
              <w:jc w:val="center"/>
              <w:rPr>
                <w:b/>
                <w:bCs/>
                <w:szCs w:val="21"/>
                <w:u w:val="single"/>
              </w:rPr>
            </w:pPr>
            <w:r>
              <w:rPr>
                <w:rFonts w:hint="eastAsia"/>
                <w:b/>
                <w:bCs/>
                <w:szCs w:val="21"/>
                <w:u w:val="single"/>
              </w:rPr>
              <w:t>33</w:t>
            </w:r>
          </w:p>
        </w:tc>
        <w:tc>
          <w:tcPr>
            <w:tcW w:w="923" w:type="dxa"/>
            <w:noWrap/>
            <w:vAlign w:val="center"/>
          </w:tcPr>
          <w:p>
            <w:pPr>
              <w:rPr>
                <w:b/>
                <w:bCs/>
                <w:szCs w:val="21"/>
                <w:u w:val="single"/>
              </w:rPr>
            </w:pPr>
            <w:r>
              <w:rPr>
                <w:rFonts w:hint="eastAsia"/>
                <w:b/>
                <w:bCs/>
                <w:szCs w:val="21"/>
                <w:u w:val="single"/>
              </w:rPr>
              <w:t>38.92</w:t>
            </w:r>
          </w:p>
        </w:tc>
        <w:tc>
          <w:tcPr>
            <w:tcW w:w="767" w:type="dxa"/>
            <w:noWrap/>
            <w:vAlign w:val="center"/>
          </w:tcPr>
          <w:p>
            <w:pPr>
              <w:jc w:val="center"/>
              <w:rPr>
                <w:b/>
                <w:bCs/>
                <w:szCs w:val="21"/>
                <w:u w:val="single"/>
              </w:rPr>
            </w:pPr>
            <w:r>
              <w:rPr>
                <w:rFonts w:hint="eastAsia"/>
                <w:b/>
                <w:bCs/>
                <w:szCs w:val="21"/>
                <w:u w:val="single"/>
              </w:rPr>
              <w:t>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728" w:type="dxa"/>
            <w:vMerge w:val="continue"/>
            <w:noWrap/>
            <w:vAlign w:val="center"/>
          </w:tcPr>
          <w:p>
            <w:pPr>
              <w:spacing w:line="320" w:lineRule="exact"/>
              <w:jc w:val="center"/>
              <w:rPr>
                <w:b/>
                <w:bCs/>
                <w:szCs w:val="21"/>
                <w:u w:val="single"/>
              </w:rPr>
            </w:pPr>
          </w:p>
        </w:tc>
        <w:tc>
          <w:tcPr>
            <w:tcW w:w="957" w:type="dxa"/>
            <w:noWrap/>
            <w:vAlign w:val="center"/>
          </w:tcPr>
          <w:p>
            <w:pPr>
              <w:spacing w:line="320" w:lineRule="exact"/>
              <w:jc w:val="center"/>
              <w:rPr>
                <w:b/>
                <w:bCs/>
                <w:szCs w:val="21"/>
                <w:u w:val="single"/>
              </w:rPr>
            </w:pPr>
            <w:r>
              <w:rPr>
                <w:b/>
                <w:bCs/>
                <w:szCs w:val="21"/>
                <w:u w:val="single"/>
              </w:rPr>
              <w:t>标准指数</w:t>
            </w:r>
          </w:p>
        </w:tc>
        <w:tc>
          <w:tcPr>
            <w:tcW w:w="786" w:type="dxa"/>
            <w:noWrap/>
            <w:vAlign w:val="center"/>
          </w:tcPr>
          <w:p>
            <w:pPr>
              <w:jc w:val="center"/>
              <w:rPr>
                <w:b/>
                <w:bCs/>
                <w:szCs w:val="21"/>
                <w:u w:val="single"/>
              </w:rPr>
            </w:pPr>
            <w:r>
              <w:rPr>
                <w:b/>
                <w:bCs/>
                <w:szCs w:val="21"/>
                <w:u w:val="single"/>
              </w:rPr>
              <w:t>/</w:t>
            </w:r>
          </w:p>
        </w:tc>
        <w:tc>
          <w:tcPr>
            <w:tcW w:w="907" w:type="dxa"/>
            <w:noWrap/>
            <w:vAlign w:val="center"/>
          </w:tcPr>
          <w:p>
            <w:pPr>
              <w:jc w:val="center"/>
              <w:rPr>
                <w:b/>
                <w:bCs/>
                <w:szCs w:val="21"/>
                <w:u w:val="single"/>
              </w:rPr>
            </w:pPr>
            <w:r>
              <w:rPr>
                <w:b/>
                <w:bCs/>
                <w:szCs w:val="21"/>
                <w:u w:val="single"/>
              </w:rPr>
              <w:t>/</w:t>
            </w:r>
          </w:p>
        </w:tc>
        <w:tc>
          <w:tcPr>
            <w:tcW w:w="1024" w:type="dxa"/>
            <w:noWrap/>
            <w:vAlign w:val="center"/>
          </w:tcPr>
          <w:p>
            <w:pPr>
              <w:jc w:val="center"/>
              <w:rPr>
                <w:b/>
                <w:bCs/>
                <w:szCs w:val="21"/>
                <w:u w:val="single"/>
              </w:rPr>
            </w:pPr>
            <w:r>
              <w:rPr>
                <w:rFonts w:hint="eastAsia"/>
                <w:b/>
                <w:bCs/>
                <w:szCs w:val="21"/>
                <w:u w:val="single"/>
              </w:rPr>
              <w:t>0.0014</w:t>
            </w:r>
          </w:p>
        </w:tc>
        <w:tc>
          <w:tcPr>
            <w:tcW w:w="1030" w:type="dxa"/>
            <w:noWrap/>
            <w:vAlign w:val="center"/>
          </w:tcPr>
          <w:p>
            <w:pPr>
              <w:jc w:val="center"/>
              <w:rPr>
                <w:b/>
                <w:bCs/>
                <w:szCs w:val="21"/>
                <w:u w:val="single"/>
              </w:rPr>
            </w:pPr>
            <w:r>
              <w:rPr>
                <w:b/>
                <w:bCs/>
                <w:szCs w:val="21"/>
                <w:u w:val="single"/>
              </w:rPr>
              <w:t>0.178</w:t>
            </w:r>
          </w:p>
        </w:tc>
        <w:tc>
          <w:tcPr>
            <w:tcW w:w="892" w:type="dxa"/>
            <w:noWrap/>
            <w:vAlign w:val="center"/>
          </w:tcPr>
          <w:p>
            <w:pPr>
              <w:rPr>
                <w:b/>
                <w:bCs/>
                <w:szCs w:val="21"/>
                <w:u w:val="single"/>
              </w:rPr>
            </w:pPr>
            <w:r>
              <w:rPr>
                <w:rFonts w:hint="eastAsia"/>
                <w:b/>
                <w:bCs/>
                <w:szCs w:val="21"/>
                <w:u w:val="single"/>
              </w:rPr>
              <w:t>0.137</w:t>
            </w:r>
          </w:p>
        </w:tc>
        <w:tc>
          <w:tcPr>
            <w:tcW w:w="886" w:type="dxa"/>
            <w:noWrap/>
            <w:vAlign w:val="center"/>
          </w:tcPr>
          <w:p>
            <w:pPr>
              <w:jc w:val="center"/>
              <w:rPr>
                <w:b/>
                <w:bCs/>
                <w:szCs w:val="21"/>
                <w:u w:val="single"/>
              </w:rPr>
            </w:pPr>
            <w:r>
              <w:rPr>
                <w:rFonts w:hint="eastAsia"/>
                <w:b/>
                <w:bCs/>
                <w:szCs w:val="21"/>
                <w:u w:val="single"/>
              </w:rPr>
              <w:t>0.165</w:t>
            </w:r>
          </w:p>
        </w:tc>
        <w:tc>
          <w:tcPr>
            <w:tcW w:w="923" w:type="dxa"/>
            <w:noWrap/>
            <w:vAlign w:val="center"/>
          </w:tcPr>
          <w:p>
            <w:pPr>
              <w:jc w:val="center"/>
              <w:rPr>
                <w:b/>
                <w:bCs/>
                <w:szCs w:val="21"/>
                <w:u w:val="single"/>
              </w:rPr>
            </w:pPr>
            <w:r>
              <w:rPr>
                <w:b/>
                <w:bCs/>
                <w:szCs w:val="21"/>
                <w:u w:val="single"/>
              </w:rPr>
              <w:t>0.15</w:t>
            </w:r>
            <w:r>
              <w:rPr>
                <w:rFonts w:hint="eastAsia"/>
                <w:b/>
                <w:bCs/>
                <w:szCs w:val="21"/>
                <w:u w:val="single"/>
              </w:rPr>
              <w:t>6</w:t>
            </w:r>
          </w:p>
        </w:tc>
        <w:tc>
          <w:tcPr>
            <w:tcW w:w="767" w:type="dxa"/>
            <w:noWrap/>
            <w:vAlign w:val="center"/>
          </w:tcPr>
          <w:p>
            <w:pPr>
              <w:jc w:val="center"/>
              <w:rPr>
                <w:b/>
                <w:bCs/>
                <w:szCs w:val="21"/>
                <w:u w:val="single"/>
              </w:rPr>
            </w:pPr>
            <w:r>
              <w:rPr>
                <w:rFonts w:hint="eastAsia"/>
                <w:b/>
                <w:bCs/>
                <w:szCs w:val="21"/>
                <w:u w:val="single"/>
              </w:rPr>
              <w:t>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728" w:type="dxa"/>
            <w:vMerge w:val="continue"/>
            <w:noWrap/>
            <w:vAlign w:val="center"/>
          </w:tcPr>
          <w:p>
            <w:pPr>
              <w:spacing w:line="320" w:lineRule="exact"/>
              <w:jc w:val="center"/>
              <w:rPr>
                <w:b/>
                <w:bCs/>
                <w:szCs w:val="21"/>
                <w:u w:val="single"/>
              </w:rPr>
            </w:pPr>
          </w:p>
        </w:tc>
        <w:tc>
          <w:tcPr>
            <w:tcW w:w="957" w:type="dxa"/>
            <w:noWrap/>
            <w:vAlign w:val="center"/>
          </w:tcPr>
          <w:p>
            <w:pPr>
              <w:spacing w:line="320" w:lineRule="exact"/>
              <w:jc w:val="center"/>
              <w:rPr>
                <w:b/>
                <w:bCs/>
                <w:szCs w:val="21"/>
                <w:u w:val="single"/>
              </w:rPr>
            </w:pPr>
            <w:r>
              <w:rPr>
                <w:b/>
                <w:bCs/>
                <w:szCs w:val="21"/>
                <w:u w:val="single"/>
              </w:rPr>
              <w:t>超标倍数</w:t>
            </w:r>
          </w:p>
        </w:tc>
        <w:tc>
          <w:tcPr>
            <w:tcW w:w="786" w:type="dxa"/>
            <w:noWrap/>
            <w:vAlign w:val="center"/>
          </w:tcPr>
          <w:p>
            <w:pPr>
              <w:jc w:val="center"/>
              <w:rPr>
                <w:b/>
                <w:bCs/>
                <w:szCs w:val="21"/>
                <w:u w:val="single"/>
              </w:rPr>
            </w:pPr>
            <w:r>
              <w:rPr>
                <w:b/>
                <w:bCs/>
                <w:szCs w:val="21"/>
                <w:u w:val="single"/>
              </w:rPr>
              <w:t>/</w:t>
            </w:r>
          </w:p>
        </w:tc>
        <w:tc>
          <w:tcPr>
            <w:tcW w:w="907" w:type="dxa"/>
            <w:noWrap/>
            <w:vAlign w:val="center"/>
          </w:tcPr>
          <w:p>
            <w:pPr>
              <w:jc w:val="center"/>
              <w:rPr>
                <w:b/>
                <w:bCs/>
                <w:szCs w:val="21"/>
                <w:u w:val="single"/>
              </w:rPr>
            </w:pPr>
            <w:r>
              <w:rPr>
                <w:b/>
                <w:bCs/>
                <w:szCs w:val="21"/>
                <w:u w:val="single"/>
              </w:rPr>
              <w:t>/</w:t>
            </w:r>
          </w:p>
        </w:tc>
        <w:tc>
          <w:tcPr>
            <w:tcW w:w="1024" w:type="dxa"/>
            <w:noWrap/>
            <w:vAlign w:val="center"/>
          </w:tcPr>
          <w:p>
            <w:pPr>
              <w:jc w:val="center"/>
              <w:rPr>
                <w:b/>
                <w:bCs/>
                <w:szCs w:val="21"/>
                <w:u w:val="single"/>
              </w:rPr>
            </w:pPr>
            <w:r>
              <w:rPr>
                <w:b/>
                <w:bCs/>
                <w:szCs w:val="21"/>
                <w:u w:val="single"/>
              </w:rPr>
              <w:t>/</w:t>
            </w:r>
          </w:p>
        </w:tc>
        <w:tc>
          <w:tcPr>
            <w:tcW w:w="1030" w:type="dxa"/>
            <w:noWrap/>
            <w:vAlign w:val="center"/>
          </w:tcPr>
          <w:p>
            <w:pPr>
              <w:jc w:val="center"/>
              <w:rPr>
                <w:b/>
                <w:bCs/>
                <w:szCs w:val="21"/>
                <w:u w:val="single"/>
              </w:rPr>
            </w:pPr>
            <w:r>
              <w:rPr>
                <w:b/>
                <w:bCs/>
                <w:szCs w:val="21"/>
                <w:u w:val="single"/>
              </w:rPr>
              <w:t>/</w:t>
            </w:r>
          </w:p>
        </w:tc>
        <w:tc>
          <w:tcPr>
            <w:tcW w:w="892" w:type="dxa"/>
            <w:noWrap/>
            <w:vAlign w:val="center"/>
          </w:tcPr>
          <w:p>
            <w:pPr>
              <w:jc w:val="center"/>
              <w:rPr>
                <w:b/>
                <w:bCs/>
                <w:szCs w:val="21"/>
                <w:u w:val="single"/>
              </w:rPr>
            </w:pPr>
            <w:r>
              <w:rPr>
                <w:b/>
                <w:bCs/>
                <w:szCs w:val="21"/>
                <w:u w:val="single"/>
              </w:rPr>
              <w:t>/</w:t>
            </w:r>
          </w:p>
        </w:tc>
        <w:tc>
          <w:tcPr>
            <w:tcW w:w="886" w:type="dxa"/>
            <w:noWrap/>
            <w:vAlign w:val="center"/>
          </w:tcPr>
          <w:p>
            <w:pPr>
              <w:jc w:val="center"/>
              <w:rPr>
                <w:b/>
                <w:bCs/>
                <w:szCs w:val="21"/>
                <w:u w:val="single"/>
              </w:rPr>
            </w:pPr>
            <w:r>
              <w:rPr>
                <w:b/>
                <w:bCs/>
                <w:szCs w:val="21"/>
                <w:u w:val="single"/>
              </w:rPr>
              <w:t>/</w:t>
            </w:r>
          </w:p>
        </w:tc>
        <w:tc>
          <w:tcPr>
            <w:tcW w:w="923" w:type="dxa"/>
            <w:noWrap/>
            <w:vAlign w:val="center"/>
          </w:tcPr>
          <w:p>
            <w:pPr>
              <w:jc w:val="center"/>
              <w:rPr>
                <w:b/>
                <w:bCs/>
                <w:szCs w:val="21"/>
                <w:u w:val="single"/>
              </w:rPr>
            </w:pPr>
            <w:r>
              <w:rPr>
                <w:b/>
                <w:bCs/>
                <w:szCs w:val="21"/>
                <w:u w:val="single"/>
              </w:rPr>
              <w:t>/</w:t>
            </w:r>
          </w:p>
        </w:tc>
        <w:tc>
          <w:tcPr>
            <w:tcW w:w="767" w:type="dxa"/>
            <w:noWrap/>
            <w:vAlign w:val="center"/>
          </w:tcPr>
          <w:p>
            <w:pPr>
              <w:jc w:val="center"/>
              <w:rPr>
                <w:b/>
                <w:bCs/>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728" w:type="dxa"/>
            <w:vMerge w:val="restart"/>
            <w:noWrap/>
            <w:vAlign w:val="center"/>
          </w:tcPr>
          <w:p>
            <w:pPr>
              <w:spacing w:line="320" w:lineRule="exact"/>
              <w:jc w:val="center"/>
              <w:rPr>
                <w:b/>
                <w:bCs/>
                <w:szCs w:val="21"/>
                <w:u w:val="single"/>
              </w:rPr>
            </w:pPr>
            <w:r>
              <w:rPr>
                <w:b/>
                <w:bCs/>
                <w:szCs w:val="21"/>
                <w:u w:val="single"/>
              </w:rPr>
              <w:t>沼液消纳区</w:t>
            </w:r>
          </w:p>
        </w:tc>
        <w:tc>
          <w:tcPr>
            <w:tcW w:w="957" w:type="dxa"/>
            <w:noWrap/>
            <w:vAlign w:val="center"/>
          </w:tcPr>
          <w:p>
            <w:pPr>
              <w:spacing w:line="320" w:lineRule="exact"/>
              <w:jc w:val="center"/>
              <w:rPr>
                <w:b/>
                <w:bCs/>
                <w:szCs w:val="21"/>
                <w:u w:val="single"/>
              </w:rPr>
            </w:pPr>
            <w:r>
              <w:rPr>
                <w:b/>
                <w:bCs/>
                <w:szCs w:val="21"/>
                <w:u w:val="single"/>
              </w:rPr>
              <w:t>监测值</w:t>
            </w:r>
          </w:p>
        </w:tc>
        <w:tc>
          <w:tcPr>
            <w:tcW w:w="786" w:type="dxa"/>
            <w:noWrap/>
            <w:vAlign w:val="center"/>
          </w:tcPr>
          <w:p>
            <w:pPr>
              <w:jc w:val="center"/>
              <w:rPr>
                <w:b/>
                <w:bCs/>
                <w:szCs w:val="21"/>
                <w:u w:val="single"/>
              </w:rPr>
            </w:pPr>
            <w:r>
              <w:rPr>
                <w:b/>
                <w:bCs/>
                <w:szCs w:val="21"/>
                <w:u w:val="single"/>
              </w:rPr>
              <w:t>7.</w:t>
            </w:r>
            <w:r>
              <w:rPr>
                <w:rFonts w:hint="eastAsia"/>
                <w:b/>
                <w:bCs/>
                <w:szCs w:val="21"/>
                <w:u w:val="single"/>
              </w:rPr>
              <w:t>33</w:t>
            </w:r>
            <w:r>
              <w:rPr>
                <w:b/>
                <w:bCs/>
                <w:szCs w:val="21"/>
                <w:u w:val="single"/>
              </w:rPr>
              <w:t>-7.</w:t>
            </w:r>
            <w:r>
              <w:rPr>
                <w:rFonts w:hint="eastAsia"/>
                <w:b/>
                <w:bCs/>
                <w:szCs w:val="21"/>
                <w:u w:val="single"/>
              </w:rPr>
              <w:t>42</w:t>
            </w:r>
          </w:p>
        </w:tc>
        <w:tc>
          <w:tcPr>
            <w:tcW w:w="907" w:type="dxa"/>
            <w:noWrap/>
            <w:vAlign w:val="center"/>
          </w:tcPr>
          <w:p>
            <w:pPr>
              <w:jc w:val="center"/>
              <w:rPr>
                <w:b/>
                <w:bCs/>
                <w:szCs w:val="21"/>
                <w:u w:val="single"/>
              </w:rPr>
            </w:pPr>
            <w:r>
              <w:rPr>
                <w:b/>
                <w:bCs/>
                <w:szCs w:val="21"/>
                <w:u w:val="single"/>
              </w:rPr>
              <w:t>未检出</w:t>
            </w:r>
          </w:p>
        </w:tc>
        <w:tc>
          <w:tcPr>
            <w:tcW w:w="1024" w:type="dxa"/>
            <w:noWrap/>
            <w:vAlign w:val="center"/>
          </w:tcPr>
          <w:p>
            <w:pPr>
              <w:jc w:val="center"/>
              <w:rPr>
                <w:b/>
                <w:bCs/>
                <w:szCs w:val="21"/>
                <w:u w:val="single"/>
              </w:rPr>
            </w:pPr>
            <w:r>
              <w:rPr>
                <w:b/>
                <w:bCs/>
                <w:szCs w:val="21"/>
                <w:u w:val="single"/>
              </w:rPr>
              <w:t>0.</w:t>
            </w:r>
            <w:r>
              <w:rPr>
                <w:rFonts w:hint="eastAsia"/>
                <w:b/>
                <w:bCs/>
                <w:szCs w:val="21"/>
                <w:u w:val="single"/>
              </w:rPr>
              <w:t>037</w:t>
            </w:r>
            <w:r>
              <w:rPr>
                <w:b/>
                <w:bCs/>
                <w:szCs w:val="21"/>
                <w:u w:val="single"/>
              </w:rPr>
              <w:t>-0.</w:t>
            </w:r>
            <w:r>
              <w:rPr>
                <w:rFonts w:hint="eastAsia"/>
                <w:b/>
                <w:bCs/>
                <w:szCs w:val="21"/>
                <w:u w:val="single"/>
              </w:rPr>
              <w:t>055</w:t>
            </w:r>
          </w:p>
        </w:tc>
        <w:tc>
          <w:tcPr>
            <w:tcW w:w="1030" w:type="dxa"/>
            <w:noWrap/>
            <w:vAlign w:val="center"/>
          </w:tcPr>
          <w:p>
            <w:pPr>
              <w:jc w:val="center"/>
              <w:rPr>
                <w:b/>
                <w:bCs/>
                <w:szCs w:val="21"/>
                <w:u w:val="single"/>
              </w:rPr>
            </w:pPr>
            <w:r>
              <w:rPr>
                <w:rFonts w:hint="eastAsia"/>
                <w:b/>
                <w:bCs/>
                <w:szCs w:val="21"/>
                <w:u w:val="single"/>
              </w:rPr>
              <w:t>18</w:t>
            </w:r>
            <w:r>
              <w:rPr>
                <w:b/>
                <w:bCs/>
                <w:szCs w:val="21"/>
                <w:u w:val="single"/>
              </w:rPr>
              <w:t>-2</w:t>
            </w:r>
            <w:r>
              <w:rPr>
                <w:rFonts w:hint="eastAsia"/>
                <w:b/>
                <w:bCs/>
                <w:szCs w:val="21"/>
                <w:u w:val="single"/>
              </w:rPr>
              <w:t>8</w:t>
            </w:r>
          </w:p>
        </w:tc>
        <w:tc>
          <w:tcPr>
            <w:tcW w:w="892" w:type="dxa"/>
            <w:noWrap/>
            <w:vAlign w:val="center"/>
          </w:tcPr>
          <w:p>
            <w:pPr>
              <w:jc w:val="center"/>
              <w:rPr>
                <w:b/>
                <w:bCs/>
                <w:szCs w:val="21"/>
                <w:u w:val="single"/>
              </w:rPr>
            </w:pPr>
            <w:r>
              <w:rPr>
                <w:rFonts w:hint="eastAsia"/>
                <w:b/>
                <w:bCs/>
                <w:szCs w:val="21"/>
                <w:u w:val="single"/>
              </w:rPr>
              <w:t>14.3</w:t>
            </w:r>
            <w:r>
              <w:rPr>
                <w:b/>
                <w:bCs/>
                <w:szCs w:val="21"/>
                <w:u w:val="single"/>
              </w:rPr>
              <w:t>-</w:t>
            </w:r>
            <w:r>
              <w:rPr>
                <w:rFonts w:hint="eastAsia"/>
                <w:b/>
                <w:bCs/>
                <w:szCs w:val="21"/>
                <w:u w:val="single"/>
              </w:rPr>
              <w:t>19.7</w:t>
            </w:r>
          </w:p>
        </w:tc>
        <w:tc>
          <w:tcPr>
            <w:tcW w:w="886" w:type="dxa"/>
            <w:noWrap/>
            <w:vAlign w:val="center"/>
          </w:tcPr>
          <w:p>
            <w:pPr>
              <w:jc w:val="center"/>
              <w:rPr>
                <w:b/>
                <w:bCs/>
                <w:szCs w:val="21"/>
                <w:u w:val="single"/>
              </w:rPr>
            </w:pPr>
            <w:r>
              <w:rPr>
                <w:rFonts w:hint="eastAsia"/>
                <w:b/>
                <w:bCs/>
                <w:szCs w:val="21"/>
                <w:u w:val="single"/>
              </w:rPr>
              <w:t>34</w:t>
            </w:r>
            <w:r>
              <w:rPr>
                <w:b/>
                <w:bCs/>
                <w:szCs w:val="21"/>
                <w:u w:val="single"/>
              </w:rPr>
              <w:t>-</w:t>
            </w:r>
            <w:r>
              <w:rPr>
                <w:rFonts w:hint="eastAsia"/>
                <w:b/>
                <w:bCs/>
                <w:szCs w:val="21"/>
                <w:u w:val="single"/>
              </w:rPr>
              <w:t>42</w:t>
            </w:r>
          </w:p>
        </w:tc>
        <w:tc>
          <w:tcPr>
            <w:tcW w:w="923" w:type="dxa"/>
            <w:noWrap/>
            <w:vAlign w:val="center"/>
          </w:tcPr>
          <w:p>
            <w:pPr>
              <w:jc w:val="center"/>
              <w:rPr>
                <w:b/>
                <w:bCs/>
                <w:szCs w:val="21"/>
                <w:u w:val="single"/>
              </w:rPr>
            </w:pPr>
            <w:r>
              <w:rPr>
                <w:b/>
                <w:bCs/>
                <w:szCs w:val="21"/>
                <w:u w:val="single"/>
              </w:rPr>
              <w:t>3</w:t>
            </w:r>
            <w:r>
              <w:rPr>
                <w:rFonts w:hint="eastAsia"/>
                <w:b/>
                <w:bCs/>
                <w:szCs w:val="21"/>
                <w:u w:val="single"/>
              </w:rPr>
              <w:t>7.5</w:t>
            </w:r>
            <w:r>
              <w:rPr>
                <w:b/>
                <w:bCs/>
                <w:szCs w:val="21"/>
                <w:u w:val="single"/>
              </w:rPr>
              <w:t>-4</w:t>
            </w:r>
            <w:r>
              <w:rPr>
                <w:rFonts w:hint="eastAsia"/>
                <w:b/>
                <w:bCs/>
                <w:szCs w:val="21"/>
                <w:u w:val="single"/>
              </w:rPr>
              <w:t>0.5</w:t>
            </w:r>
          </w:p>
        </w:tc>
        <w:tc>
          <w:tcPr>
            <w:tcW w:w="767" w:type="dxa"/>
            <w:noWrap/>
            <w:vAlign w:val="center"/>
          </w:tcPr>
          <w:p>
            <w:pPr>
              <w:jc w:val="center"/>
              <w:rPr>
                <w:b/>
                <w:bCs/>
                <w:szCs w:val="21"/>
                <w:u w:val="single"/>
              </w:rPr>
            </w:pPr>
            <w:r>
              <w:rPr>
                <w:rFonts w:hint="eastAsia"/>
                <w:b/>
                <w:bCs/>
                <w:szCs w:val="21"/>
                <w:u w:val="single"/>
              </w:rPr>
              <w:t>44</w:t>
            </w:r>
            <w:r>
              <w:rPr>
                <w:b/>
                <w:bCs/>
                <w:szCs w:val="21"/>
                <w:u w:val="single"/>
              </w:rPr>
              <w:t>-</w:t>
            </w:r>
            <w:r>
              <w:rPr>
                <w:rFonts w:hint="eastAsia"/>
                <w:b/>
                <w:bCs/>
                <w:szCs w:val="21"/>
                <w:u w:val="single"/>
              </w:rPr>
              <w:t>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728" w:type="dxa"/>
            <w:vMerge w:val="continue"/>
            <w:noWrap/>
            <w:vAlign w:val="center"/>
          </w:tcPr>
          <w:p>
            <w:pPr>
              <w:spacing w:line="320" w:lineRule="exact"/>
              <w:jc w:val="center"/>
              <w:rPr>
                <w:b/>
                <w:bCs/>
                <w:szCs w:val="21"/>
                <w:u w:val="single"/>
              </w:rPr>
            </w:pPr>
          </w:p>
        </w:tc>
        <w:tc>
          <w:tcPr>
            <w:tcW w:w="957" w:type="dxa"/>
            <w:noWrap/>
            <w:vAlign w:val="center"/>
          </w:tcPr>
          <w:p>
            <w:pPr>
              <w:spacing w:line="320" w:lineRule="exact"/>
              <w:jc w:val="center"/>
              <w:rPr>
                <w:b/>
                <w:bCs/>
                <w:szCs w:val="21"/>
                <w:u w:val="single"/>
              </w:rPr>
            </w:pPr>
            <w:r>
              <w:rPr>
                <w:b/>
                <w:bCs/>
                <w:szCs w:val="21"/>
                <w:u w:val="single"/>
              </w:rPr>
              <w:t>标准指数</w:t>
            </w:r>
          </w:p>
        </w:tc>
        <w:tc>
          <w:tcPr>
            <w:tcW w:w="786" w:type="dxa"/>
            <w:noWrap/>
            <w:vAlign w:val="center"/>
          </w:tcPr>
          <w:p>
            <w:pPr>
              <w:jc w:val="center"/>
              <w:rPr>
                <w:b/>
                <w:bCs/>
                <w:szCs w:val="21"/>
                <w:u w:val="single"/>
              </w:rPr>
            </w:pPr>
            <w:r>
              <w:rPr>
                <w:b/>
                <w:bCs/>
                <w:szCs w:val="21"/>
                <w:u w:val="single"/>
              </w:rPr>
              <w:t>/</w:t>
            </w:r>
          </w:p>
        </w:tc>
        <w:tc>
          <w:tcPr>
            <w:tcW w:w="907" w:type="dxa"/>
            <w:noWrap/>
            <w:vAlign w:val="center"/>
          </w:tcPr>
          <w:p>
            <w:pPr>
              <w:jc w:val="center"/>
              <w:rPr>
                <w:b/>
                <w:bCs/>
                <w:szCs w:val="21"/>
                <w:u w:val="single"/>
              </w:rPr>
            </w:pPr>
            <w:r>
              <w:rPr>
                <w:b/>
                <w:bCs/>
                <w:szCs w:val="21"/>
                <w:u w:val="single"/>
              </w:rPr>
              <w:t>/</w:t>
            </w:r>
          </w:p>
        </w:tc>
        <w:tc>
          <w:tcPr>
            <w:tcW w:w="1024" w:type="dxa"/>
            <w:noWrap/>
            <w:vAlign w:val="center"/>
          </w:tcPr>
          <w:p>
            <w:pPr>
              <w:jc w:val="center"/>
              <w:rPr>
                <w:b/>
                <w:bCs/>
                <w:szCs w:val="21"/>
                <w:u w:val="single"/>
              </w:rPr>
            </w:pPr>
            <w:r>
              <w:rPr>
                <w:b/>
                <w:bCs/>
                <w:szCs w:val="21"/>
                <w:u w:val="single"/>
              </w:rPr>
              <w:t>0.0</w:t>
            </w:r>
            <w:r>
              <w:rPr>
                <w:rFonts w:hint="eastAsia"/>
                <w:b/>
                <w:bCs/>
                <w:szCs w:val="21"/>
                <w:u w:val="single"/>
              </w:rPr>
              <w:t>012</w:t>
            </w:r>
            <w:r>
              <w:rPr>
                <w:b/>
                <w:bCs/>
                <w:szCs w:val="21"/>
                <w:u w:val="single"/>
              </w:rPr>
              <w:t>-0.0</w:t>
            </w:r>
            <w:r>
              <w:rPr>
                <w:rFonts w:hint="eastAsia"/>
                <w:b/>
                <w:bCs/>
                <w:szCs w:val="21"/>
                <w:u w:val="single"/>
              </w:rPr>
              <w:t>018</w:t>
            </w:r>
          </w:p>
        </w:tc>
        <w:tc>
          <w:tcPr>
            <w:tcW w:w="1030" w:type="dxa"/>
            <w:noWrap/>
            <w:vAlign w:val="center"/>
          </w:tcPr>
          <w:p>
            <w:pPr>
              <w:jc w:val="center"/>
              <w:rPr>
                <w:b/>
                <w:bCs/>
                <w:szCs w:val="21"/>
                <w:u w:val="single"/>
              </w:rPr>
            </w:pPr>
            <w:r>
              <w:rPr>
                <w:b/>
                <w:bCs/>
                <w:szCs w:val="21"/>
                <w:u w:val="single"/>
              </w:rPr>
              <w:t>0.</w:t>
            </w:r>
            <w:r>
              <w:rPr>
                <w:rFonts w:hint="eastAsia"/>
                <w:b/>
                <w:bCs/>
                <w:szCs w:val="21"/>
                <w:u w:val="single"/>
              </w:rPr>
              <w:t>18</w:t>
            </w:r>
            <w:r>
              <w:rPr>
                <w:b/>
                <w:bCs/>
                <w:szCs w:val="21"/>
                <w:u w:val="single"/>
              </w:rPr>
              <w:t>-0.2</w:t>
            </w:r>
            <w:r>
              <w:rPr>
                <w:rFonts w:hint="eastAsia"/>
                <w:b/>
                <w:bCs/>
                <w:szCs w:val="21"/>
                <w:u w:val="single"/>
              </w:rPr>
              <w:t>8</w:t>
            </w:r>
          </w:p>
        </w:tc>
        <w:tc>
          <w:tcPr>
            <w:tcW w:w="892" w:type="dxa"/>
            <w:noWrap/>
            <w:vAlign w:val="center"/>
          </w:tcPr>
          <w:p>
            <w:pPr>
              <w:jc w:val="center"/>
              <w:rPr>
                <w:b/>
                <w:bCs/>
                <w:szCs w:val="21"/>
                <w:u w:val="single"/>
              </w:rPr>
            </w:pPr>
            <w:r>
              <w:rPr>
                <w:b/>
                <w:bCs/>
                <w:szCs w:val="21"/>
                <w:u w:val="single"/>
              </w:rPr>
              <w:t>0.1</w:t>
            </w:r>
            <w:r>
              <w:rPr>
                <w:rFonts w:hint="eastAsia"/>
                <w:b/>
                <w:bCs/>
                <w:szCs w:val="21"/>
                <w:u w:val="single"/>
              </w:rPr>
              <w:t>19</w:t>
            </w:r>
            <w:r>
              <w:rPr>
                <w:b/>
                <w:bCs/>
                <w:szCs w:val="21"/>
                <w:u w:val="single"/>
              </w:rPr>
              <w:t>-0.</w:t>
            </w:r>
            <w:r>
              <w:rPr>
                <w:rFonts w:hint="eastAsia"/>
                <w:b/>
                <w:bCs/>
                <w:szCs w:val="21"/>
                <w:u w:val="single"/>
              </w:rPr>
              <w:t>164</w:t>
            </w:r>
          </w:p>
        </w:tc>
        <w:tc>
          <w:tcPr>
            <w:tcW w:w="886" w:type="dxa"/>
            <w:noWrap/>
            <w:vAlign w:val="center"/>
          </w:tcPr>
          <w:p>
            <w:pPr>
              <w:jc w:val="center"/>
              <w:rPr>
                <w:b/>
                <w:bCs/>
                <w:szCs w:val="21"/>
                <w:u w:val="single"/>
              </w:rPr>
            </w:pPr>
            <w:r>
              <w:rPr>
                <w:b/>
                <w:bCs/>
                <w:szCs w:val="21"/>
                <w:u w:val="single"/>
              </w:rPr>
              <w:t>0.</w:t>
            </w:r>
            <w:r>
              <w:rPr>
                <w:rFonts w:hint="eastAsia"/>
                <w:b/>
                <w:bCs/>
                <w:szCs w:val="21"/>
                <w:u w:val="single"/>
              </w:rPr>
              <w:t>17</w:t>
            </w:r>
            <w:r>
              <w:rPr>
                <w:b/>
                <w:bCs/>
                <w:szCs w:val="21"/>
                <w:u w:val="single"/>
              </w:rPr>
              <w:t>-0.21</w:t>
            </w:r>
          </w:p>
        </w:tc>
        <w:tc>
          <w:tcPr>
            <w:tcW w:w="923" w:type="dxa"/>
            <w:noWrap/>
            <w:vAlign w:val="center"/>
          </w:tcPr>
          <w:p>
            <w:pPr>
              <w:jc w:val="center"/>
              <w:rPr>
                <w:b/>
                <w:bCs/>
                <w:szCs w:val="21"/>
                <w:u w:val="single"/>
              </w:rPr>
            </w:pPr>
            <w:r>
              <w:rPr>
                <w:b/>
                <w:bCs/>
                <w:szCs w:val="21"/>
                <w:u w:val="single"/>
              </w:rPr>
              <w:t>0.15-0.162</w:t>
            </w:r>
          </w:p>
        </w:tc>
        <w:tc>
          <w:tcPr>
            <w:tcW w:w="767" w:type="dxa"/>
            <w:noWrap/>
            <w:vAlign w:val="center"/>
          </w:tcPr>
          <w:p>
            <w:pPr>
              <w:jc w:val="center"/>
              <w:rPr>
                <w:b/>
                <w:bCs/>
                <w:szCs w:val="21"/>
                <w:u w:val="single"/>
              </w:rPr>
            </w:pPr>
            <w:r>
              <w:rPr>
                <w:b/>
                <w:bCs/>
                <w:szCs w:val="21"/>
                <w:u w:val="single"/>
              </w:rPr>
              <w:t>0.</w:t>
            </w:r>
            <w:r>
              <w:rPr>
                <w:rFonts w:hint="eastAsia"/>
                <w:b/>
                <w:bCs/>
                <w:szCs w:val="21"/>
                <w:u w:val="single"/>
              </w:rPr>
              <w:t>44</w:t>
            </w:r>
            <w:r>
              <w:rPr>
                <w:b/>
                <w:bCs/>
                <w:szCs w:val="21"/>
                <w:u w:val="single"/>
              </w:rPr>
              <w:t>-0.</w:t>
            </w:r>
            <w:r>
              <w:rPr>
                <w:rFonts w:hint="eastAsia"/>
                <w:b/>
                <w:bCs/>
                <w:szCs w:val="21"/>
                <w:u w:val="single"/>
              </w:rPr>
              <w:t>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28" w:type="dxa"/>
            <w:vMerge w:val="continue"/>
            <w:noWrap/>
            <w:vAlign w:val="center"/>
          </w:tcPr>
          <w:p>
            <w:pPr>
              <w:spacing w:line="320" w:lineRule="exact"/>
              <w:jc w:val="center"/>
              <w:rPr>
                <w:b/>
                <w:bCs/>
                <w:szCs w:val="21"/>
                <w:u w:val="single"/>
              </w:rPr>
            </w:pPr>
          </w:p>
        </w:tc>
        <w:tc>
          <w:tcPr>
            <w:tcW w:w="957" w:type="dxa"/>
            <w:noWrap/>
            <w:vAlign w:val="center"/>
          </w:tcPr>
          <w:p>
            <w:pPr>
              <w:spacing w:line="320" w:lineRule="exact"/>
              <w:jc w:val="center"/>
              <w:rPr>
                <w:b/>
                <w:bCs/>
                <w:szCs w:val="21"/>
                <w:u w:val="single"/>
              </w:rPr>
            </w:pPr>
            <w:r>
              <w:rPr>
                <w:b/>
                <w:bCs/>
                <w:szCs w:val="21"/>
                <w:u w:val="single"/>
              </w:rPr>
              <w:t>超标倍数</w:t>
            </w:r>
          </w:p>
        </w:tc>
        <w:tc>
          <w:tcPr>
            <w:tcW w:w="786" w:type="dxa"/>
            <w:noWrap/>
            <w:vAlign w:val="center"/>
          </w:tcPr>
          <w:p>
            <w:pPr>
              <w:jc w:val="center"/>
              <w:rPr>
                <w:b/>
                <w:bCs/>
                <w:szCs w:val="21"/>
                <w:u w:val="single"/>
              </w:rPr>
            </w:pPr>
            <w:r>
              <w:rPr>
                <w:b/>
                <w:bCs/>
                <w:szCs w:val="21"/>
                <w:u w:val="single"/>
              </w:rPr>
              <w:t>/</w:t>
            </w:r>
          </w:p>
        </w:tc>
        <w:tc>
          <w:tcPr>
            <w:tcW w:w="907" w:type="dxa"/>
            <w:noWrap/>
            <w:vAlign w:val="center"/>
          </w:tcPr>
          <w:p>
            <w:pPr>
              <w:jc w:val="center"/>
              <w:rPr>
                <w:b/>
                <w:bCs/>
                <w:szCs w:val="21"/>
                <w:u w:val="single"/>
              </w:rPr>
            </w:pPr>
            <w:r>
              <w:rPr>
                <w:b/>
                <w:bCs/>
                <w:szCs w:val="21"/>
                <w:u w:val="single"/>
              </w:rPr>
              <w:t>/</w:t>
            </w:r>
          </w:p>
        </w:tc>
        <w:tc>
          <w:tcPr>
            <w:tcW w:w="1024" w:type="dxa"/>
            <w:noWrap/>
            <w:vAlign w:val="center"/>
          </w:tcPr>
          <w:p>
            <w:pPr>
              <w:jc w:val="center"/>
              <w:rPr>
                <w:b/>
                <w:bCs/>
                <w:szCs w:val="21"/>
                <w:u w:val="single"/>
              </w:rPr>
            </w:pPr>
            <w:r>
              <w:rPr>
                <w:b/>
                <w:bCs/>
                <w:szCs w:val="21"/>
                <w:u w:val="single"/>
              </w:rPr>
              <w:t>/</w:t>
            </w:r>
          </w:p>
        </w:tc>
        <w:tc>
          <w:tcPr>
            <w:tcW w:w="1030" w:type="dxa"/>
            <w:noWrap/>
            <w:vAlign w:val="center"/>
          </w:tcPr>
          <w:p>
            <w:pPr>
              <w:jc w:val="center"/>
              <w:rPr>
                <w:b/>
                <w:bCs/>
                <w:szCs w:val="21"/>
                <w:u w:val="single"/>
              </w:rPr>
            </w:pPr>
            <w:r>
              <w:rPr>
                <w:b/>
                <w:bCs/>
                <w:szCs w:val="21"/>
                <w:u w:val="single"/>
              </w:rPr>
              <w:t>/</w:t>
            </w:r>
          </w:p>
        </w:tc>
        <w:tc>
          <w:tcPr>
            <w:tcW w:w="892" w:type="dxa"/>
            <w:noWrap/>
            <w:vAlign w:val="center"/>
          </w:tcPr>
          <w:p>
            <w:pPr>
              <w:jc w:val="center"/>
              <w:rPr>
                <w:b/>
                <w:bCs/>
                <w:szCs w:val="21"/>
                <w:u w:val="single"/>
              </w:rPr>
            </w:pPr>
            <w:r>
              <w:rPr>
                <w:b/>
                <w:bCs/>
                <w:szCs w:val="21"/>
                <w:u w:val="single"/>
              </w:rPr>
              <w:t>/</w:t>
            </w:r>
          </w:p>
        </w:tc>
        <w:tc>
          <w:tcPr>
            <w:tcW w:w="886" w:type="dxa"/>
            <w:noWrap/>
            <w:vAlign w:val="center"/>
          </w:tcPr>
          <w:p>
            <w:pPr>
              <w:jc w:val="center"/>
              <w:rPr>
                <w:b/>
                <w:bCs/>
                <w:szCs w:val="21"/>
                <w:u w:val="single"/>
              </w:rPr>
            </w:pPr>
            <w:r>
              <w:rPr>
                <w:b/>
                <w:bCs/>
                <w:szCs w:val="21"/>
                <w:u w:val="single"/>
              </w:rPr>
              <w:t>/</w:t>
            </w:r>
          </w:p>
        </w:tc>
        <w:tc>
          <w:tcPr>
            <w:tcW w:w="923" w:type="dxa"/>
            <w:noWrap/>
            <w:vAlign w:val="center"/>
          </w:tcPr>
          <w:p>
            <w:pPr>
              <w:jc w:val="center"/>
              <w:rPr>
                <w:b/>
                <w:bCs/>
                <w:szCs w:val="21"/>
                <w:u w:val="single"/>
              </w:rPr>
            </w:pPr>
            <w:r>
              <w:rPr>
                <w:b/>
                <w:bCs/>
                <w:szCs w:val="21"/>
                <w:u w:val="single"/>
              </w:rPr>
              <w:t>/</w:t>
            </w:r>
          </w:p>
        </w:tc>
        <w:tc>
          <w:tcPr>
            <w:tcW w:w="767" w:type="dxa"/>
            <w:noWrap/>
            <w:vAlign w:val="center"/>
          </w:tcPr>
          <w:p>
            <w:pPr>
              <w:jc w:val="center"/>
              <w:rPr>
                <w:b/>
                <w:bCs/>
                <w:szCs w:val="21"/>
                <w:u w:val="single"/>
              </w:rPr>
            </w:pPr>
            <w:r>
              <w:rPr>
                <w:b/>
                <w:bCs/>
                <w:szCs w:val="21"/>
                <w:u w:val="single"/>
              </w:rPr>
              <w:t>/</w:t>
            </w:r>
          </w:p>
        </w:tc>
      </w:tr>
    </w:tbl>
    <w:p>
      <w:pPr>
        <w:topLinePunct/>
        <w:autoSpaceDE w:val="0"/>
        <w:adjustRightInd w:val="0"/>
        <w:spacing w:line="500" w:lineRule="exact"/>
        <w:ind w:firstLine="487" w:firstLineChars="202"/>
        <w:jc w:val="left"/>
        <w:rPr>
          <w:b/>
          <w:bCs/>
          <w:sz w:val="24"/>
          <w:u w:val="single"/>
        </w:rPr>
      </w:pPr>
      <w:r>
        <w:rPr>
          <w:b/>
          <w:bCs/>
          <w:sz w:val="24"/>
          <w:u w:val="single"/>
        </w:rPr>
        <w:t>由上表可知，各监测点位土壤检测因子均能满足《土壤环境质量农用地土壤污染风险管控标准》（GB15618-2018）中标准要求。</w:t>
      </w:r>
    </w:p>
    <w:p>
      <w:pPr>
        <w:snapToGrid w:val="0"/>
        <w:spacing w:line="520" w:lineRule="exact"/>
        <w:outlineLvl w:val="1"/>
        <w:rPr>
          <w:rFonts w:eastAsia="黑体"/>
          <w:b/>
          <w:bCs/>
          <w:color w:val="000000" w:themeColor="text1"/>
          <w:sz w:val="28"/>
          <w:szCs w:val="28"/>
        </w:rPr>
      </w:pPr>
      <w:bookmarkStart w:id="247" w:name="_Toc488657652"/>
      <w:r>
        <w:rPr>
          <w:rFonts w:eastAsia="黑体"/>
          <w:b/>
          <w:bCs/>
          <w:color w:val="000000" w:themeColor="text1"/>
          <w:sz w:val="28"/>
          <w:szCs w:val="28"/>
        </w:rPr>
        <w:t>3.4养殖区环境评价</w:t>
      </w:r>
      <w:bookmarkEnd w:id="247"/>
    </w:p>
    <w:p>
      <w:pPr>
        <w:topLinePunct/>
        <w:autoSpaceDE w:val="0"/>
        <w:adjustRightInd w:val="0"/>
        <w:spacing w:line="500" w:lineRule="exact"/>
        <w:ind w:firstLine="484" w:firstLineChars="202"/>
        <w:jc w:val="left"/>
        <w:rPr>
          <w:sz w:val="24"/>
        </w:rPr>
      </w:pPr>
      <w:r>
        <w:rPr>
          <w:sz w:val="24"/>
        </w:rPr>
        <w:t>根据监测数据，经与《畜禽养殖产地环境评价规范》（HJ568-2010）比对，养殖区环境质量现状良好。现状监测结果与《畜禽养殖产地环境评价规范》（HJ568-2010）比对表见表</w:t>
      </w:r>
      <w:r>
        <w:rPr>
          <w:rFonts w:hint="eastAsia"/>
          <w:sz w:val="24"/>
        </w:rPr>
        <w:t>3.3-19</w:t>
      </w:r>
      <w:r>
        <w:rPr>
          <w:sz w:val="24"/>
        </w:rPr>
        <w:t>。</w:t>
      </w:r>
    </w:p>
    <w:p>
      <w:pPr>
        <w:spacing w:afterLines="30" w:line="500" w:lineRule="exact"/>
        <w:jc w:val="center"/>
        <w:rPr>
          <w:b/>
          <w:sz w:val="24"/>
        </w:rPr>
      </w:pPr>
      <w:r>
        <w:rPr>
          <w:b/>
          <w:sz w:val="24"/>
        </w:rPr>
        <w:t>表3</w:t>
      </w:r>
      <w:r>
        <w:rPr>
          <w:rFonts w:hint="eastAsia"/>
          <w:b/>
          <w:sz w:val="24"/>
        </w:rPr>
        <w:t>.3-19</w:t>
      </w:r>
      <w:r>
        <w:rPr>
          <w:b/>
          <w:sz w:val="24"/>
        </w:rPr>
        <w:t>环境现状监测结果与《畜禽养殖产地环境评价规范》比对表</w:t>
      </w:r>
    </w:p>
    <w:tbl>
      <w:tblPr>
        <w:tblStyle w:val="44"/>
        <w:tblW w:w="8948" w:type="dxa"/>
        <w:tblInd w:w="106" w:type="dxa"/>
        <w:tblLayout w:type="fixed"/>
        <w:tblCellMar>
          <w:top w:w="0" w:type="dxa"/>
          <w:left w:w="0" w:type="dxa"/>
          <w:bottom w:w="0" w:type="dxa"/>
          <w:right w:w="0" w:type="dxa"/>
        </w:tblCellMar>
      </w:tblPr>
      <w:tblGrid>
        <w:gridCol w:w="2141"/>
        <w:gridCol w:w="891"/>
        <w:gridCol w:w="1682"/>
        <w:gridCol w:w="1392"/>
        <w:gridCol w:w="1563"/>
        <w:gridCol w:w="1279"/>
      </w:tblGrid>
      <w:tr>
        <w:tblPrEx>
          <w:tblCellMar>
            <w:top w:w="0" w:type="dxa"/>
            <w:left w:w="0" w:type="dxa"/>
            <w:bottom w:w="0" w:type="dxa"/>
            <w:right w:w="0" w:type="dxa"/>
          </w:tblCellMar>
        </w:tblPrEx>
        <w:trPr>
          <w:trHeight w:val="293" w:hRule="exact"/>
        </w:trPr>
        <w:tc>
          <w:tcPr>
            <w:tcW w:w="2141" w:type="dxa"/>
            <w:tcBorders>
              <w:top w:val="single" w:color="000000" w:sz="12" w:space="0"/>
              <w:left w:val="single" w:color="000000" w:sz="12"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bCs/>
                <w:sz w:val="21"/>
                <w:szCs w:val="21"/>
              </w:rPr>
              <w:t>标准</w:t>
            </w:r>
          </w:p>
        </w:tc>
        <w:tc>
          <w:tcPr>
            <w:tcW w:w="891" w:type="dxa"/>
            <w:tcBorders>
              <w:top w:val="single" w:color="000000" w:sz="12"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bCs/>
                <w:sz w:val="21"/>
                <w:szCs w:val="21"/>
              </w:rPr>
              <w:t>监测点</w:t>
            </w:r>
          </w:p>
        </w:tc>
        <w:tc>
          <w:tcPr>
            <w:tcW w:w="1682" w:type="dxa"/>
            <w:tcBorders>
              <w:top w:val="single" w:color="000000" w:sz="12"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bCs/>
                <w:sz w:val="21"/>
                <w:szCs w:val="21"/>
              </w:rPr>
              <w:t>监测项目</w:t>
            </w:r>
          </w:p>
        </w:tc>
        <w:tc>
          <w:tcPr>
            <w:tcW w:w="1392" w:type="dxa"/>
            <w:tcBorders>
              <w:top w:val="single" w:color="000000" w:sz="12"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bCs/>
                <w:sz w:val="21"/>
                <w:szCs w:val="21"/>
              </w:rPr>
              <w:t>单位</w:t>
            </w:r>
          </w:p>
        </w:tc>
        <w:tc>
          <w:tcPr>
            <w:tcW w:w="1563" w:type="dxa"/>
            <w:tcBorders>
              <w:top w:val="single" w:color="000000" w:sz="12"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bCs/>
                <w:sz w:val="21"/>
                <w:szCs w:val="21"/>
              </w:rPr>
              <w:t>监测值</w:t>
            </w:r>
          </w:p>
        </w:tc>
        <w:tc>
          <w:tcPr>
            <w:tcW w:w="1279" w:type="dxa"/>
            <w:tcBorders>
              <w:top w:val="single" w:color="000000" w:sz="12"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bCs/>
                <w:sz w:val="21"/>
                <w:szCs w:val="21"/>
              </w:rPr>
              <w:t>标准值</w:t>
            </w:r>
          </w:p>
        </w:tc>
      </w:tr>
      <w:tr>
        <w:tblPrEx>
          <w:tblCellMar>
            <w:top w:w="0" w:type="dxa"/>
            <w:left w:w="0" w:type="dxa"/>
            <w:bottom w:w="0" w:type="dxa"/>
            <w:right w:w="0" w:type="dxa"/>
          </w:tblCellMar>
        </w:tblPrEx>
        <w:trPr>
          <w:trHeight w:val="252" w:hRule="exact"/>
        </w:trPr>
        <w:tc>
          <w:tcPr>
            <w:tcW w:w="2141" w:type="dxa"/>
            <w:vMerge w:val="restart"/>
            <w:tcBorders>
              <w:top w:val="single" w:color="000000" w:sz="4" w:space="0"/>
              <w:left w:val="single" w:color="000000" w:sz="12"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《畜禽养殖产地环境评价规范》</w:t>
            </w:r>
            <w:r>
              <w:rPr>
                <w:rFonts w:ascii="Times New Roman" w:hAnsi="Times New Roman" w:cs="Times New Roman"/>
                <w:spacing w:val="-9"/>
                <w:sz w:val="21"/>
                <w:szCs w:val="21"/>
              </w:rPr>
              <w:t>（HJ568-2011）中表</w:t>
            </w:r>
            <w:r>
              <w:rPr>
                <w:rFonts w:ascii="Times New Roman" w:hAnsi="Times New Roman" w:cs="Times New Roman"/>
                <w:sz w:val="21"/>
                <w:szCs w:val="21"/>
              </w:rPr>
              <w:t>2</w:t>
            </w:r>
          </w:p>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畜禽饮用水水质评价指标限值</w:t>
            </w:r>
          </w:p>
        </w:tc>
        <w:tc>
          <w:tcPr>
            <w:tcW w:w="891" w:type="dxa"/>
            <w:vMerge w:val="restart"/>
            <w:tcBorders>
              <w:top w:val="single" w:color="000000" w:sz="4" w:space="0"/>
              <w:left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hint="eastAsia" w:cs="Times New Roman"/>
                <w:sz w:val="21"/>
                <w:szCs w:val="21"/>
                <w:lang w:val="en-US"/>
              </w:rPr>
              <w:t>老任庄</w:t>
            </w: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pH</w:t>
            </w:r>
          </w:p>
        </w:tc>
        <w:tc>
          <w:tcPr>
            <w:tcW w:w="1392"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szCs w:val="21"/>
              </w:rPr>
            </w:pP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7.22-7.26</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5.5-9.0</w:t>
            </w:r>
          </w:p>
        </w:tc>
      </w:tr>
      <w:tr>
        <w:tblPrEx>
          <w:tblCellMar>
            <w:top w:w="0" w:type="dxa"/>
            <w:left w:w="0" w:type="dxa"/>
            <w:bottom w:w="0" w:type="dxa"/>
            <w:right w:w="0" w:type="dxa"/>
          </w:tblCellMar>
        </w:tblPrEx>
        <w:trPr>
          <w:trHeight w:val="554"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总硬度（以</w:t>
            </w:r>
          </w:p>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CaCO</w:t>
            </w:r>
            <w:r>
              <w:rPr>
                <w:rFonts w:ascii="Times New Roman" w:hAnsi="Times New Roman" w:cs="Times New Roman"/>
                <w:position w:val="-2"/>
                <w:sz w:val="21"/>
                <w:szCs w:val="21"/>
              </w:rPr>
              <w:t>3</w:t>
            </w:r>
            <w:r>
              <w:rPr>
                <w:rFonts w:ascii="Times New Roman" w:hAnsi="Times New Roman" w:cs="Times New Roman"/>
                <w:sz w:val="21"/>
                <w:szCs w:val="21"/>
              </w:rPr>
              <w:t>）</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mg/L</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138.4~141.2</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1500</w:t>
            </w:r>
          </w:p>
        </w:tc>
      </w:tr>
      <w:tr>
        <w:tblPrEx>
          <w:tblCellMar>
            <w:top w:w="0" w:type="dxa"/>
            <w:left w:w="0" w:type="dxa"/>
            <w:bottom w:w="0" w:type="dxa"/>
            <w:right w:w="0" w:type="dxa"/>
          </w:tblCellMar>
        </w:tblPrEx>
        <w:trPr>
          <w:trHeight w:val="554"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总大肠菌群</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mg/L</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未检出</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100（成年）</w:t>
            </w:r>
          </w:p>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/3（幼年）</w:t>
            </w:r>
          </w:p>
        </w:tc>
      </w:tr>
      <w:tr>
        <w:tblPrEx>
          <w:tblCellMar>
            <w:top w:w="0" w:type="dxa"/>
            <w:left w:w="0" w:type="dxa"/>
            <w:bottom w:w="0" w:type="dxa"/>
            <w:right w:w="0" w:type="dxa"/>
          </w:tblCellMar>
        </w:tblPrEx>
        <w:trPr>
          <w:trHeight w:val="283"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溶解性总固体</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mg/L</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290~296</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4000</w:t>
            </w:r>
          </w:p>
        </w:tc>
      </w:tr>
      <w:tr>
        <w:tblPrEx>
          <w:tblCellMar>
            <w:top w:w="0" w:type="dxa"/>
            <w:left w:w="0" w:type="dxa"/>
            <w:bottom w:w="0" w:type="dxa"/>
            <w:right w:w="0" w:type="dxa"/>
          </w:tblCellMar>
        </w:tblPrEx>
        <w:trPr>
          <w:trHeight w:val="283"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bottom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硝酸盐(以N计)</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mg/L</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未检出</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10.0</w:t>
            </w:r>
          </w:p>
        </w:tc>
      </w:tr>
      <w:tr>
        <w:tblPrEx>
          <w:tblCellMar>
            <w:top w:w="0" w:type="dxa"/>
            <w:left w:w="0" w:type="dxa"/>
            <w:bottom w:w="0" w:type="dxa"/>
            <w:right w:w="0" w:type="dxa"/>
          </w:tblCellMar>
        </w:tblPrEx>
        <w:trPr>
          <w:trHeight w:val="252"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restart"/>
            <w:tcBorders>
              <w:top w:val="single" w:color="000000" w:sz="4" w:space="0"/>
              <w:left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hint="eastAsia" w:cs="Times New Roman"/>
                <w:sz w:val="21"/>
                <w:szCs w:val="21"/>
                <w:lang w:val="en-US"/>
              </w:rPr>
              <w:t>仙翁庙</w:t>
            </w: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pH</w:t>
            </w:r>
          </w:p>
        </w:tc>
        <w:tc>
          <w:tcPr>
            <w:tcW w:w="1392"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szCs w:val="21"/>
              </w:rPr>
            </w:pP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7.29~7.34</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5.5-9.0</w:t>
            </w:r>
          </w:p>
        </w:tc>
      </w:tr>
      <w:tr>
        <w:tblPrEx>
          <w:tblCellMar>
            <w:top w:w="0" w:type="dxa"/>
            <w:left w:w="0" w:type="dxa"/>
            <w:bottom w:w="0" w:type="dxa"/>
            <w:right w:w="0" w:type="dxa"/>
          </w:tblCellMar>
        </w:tblPrEx>
        <w:trPr>
          <w:trHeight w:val="554"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总硬度（以</w:t>
            </w:r>
          </w:p>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CaCO</w:t>
            </w:r>
            <w:r>
              <w:rPr>
                <w:rFonts w:ascii="Times New Roman" w:hAnsi="Times New Roman" w:cs="Times New Roman"/>
                <w:position w:val="-2"/>
                <w:sz w:val="21"/>
                <w:szCs w:val="21"/>
              </w:rPr>
              <w:t>3</w:t>
            </w:r>
            <w:r>
              <w:rPr>
                <w:rFonts w:ascii="Times New Roman" w:hAnsi="Times New Roman" w:cs="Times New Roman"/>
                <w:sz w:val="21"/>
                <w:szCs w:val="21"/>
              </w:rPr>
              <w:t>）</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mg/L</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137.8~139.7</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1500</w:t>
            </w:r>
          </w:p>
        </w:tc>
      </w:tr>
      <w:tr>
        <w:tblPrEx>
          <w:tblCellMar>
            <w:top w:w="0" w:type="dxa"/>
            <w:left w:w="0" w:type="dxa"/>
            <w:bottom w:w="0" w:type="dxa"/>
            <w:right w:w="0" w:type="dxa"/>
          </w:tblCellMar>
        </w:tblPrEx>
        <w:trPr>
          <w:trHeight w:val="554"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总大肠菌群</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mg/L</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未检出</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100（成年）</w:t>
            </w:r>
          </w:p>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/3（幼年）</w:t>
            </w:r>
          </w:p>
        </w:tc>
      </w:tr>
      <w:tr>
        <w:tblPrEx>
          <w:tblCellMar>
            <w:top w:w="0" w:type="dxa"/>
            <w:left w:w="0" w:type="dxa"/>
            <w:bottom w:w="0" w:type="dxa"/>
            <w:right w:w="0" w:type="dxa"/>
          </w:tblCellMar>
        </w:tblPrEx>
        <w:trPr>
          <w:trHeight w:val="283"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溶解性总固体</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mg/L</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292~295</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4000</w:t>
            </w:r>
          </w:p>
        </w:tc>
      </w:tr>
      <w:tr>
        <w:tblPrEx>
          <w:tblCellMar>
            <w:top w:w="0" w:type="dxa"/>
            <w:left w:w="0" w:type="dxa"/>
            <w:bottom w:w="0" w:type="dxa"/>
            <w:right w:w="0" w:type="dxa"/>
          </w:tblCellMar>
        </w:tblPrEx>
        <w:trPr>
          <w:trHeight w:val="281"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bottom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硝酸盐(以N计)</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mg/L</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未检出</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10.0</w:t>
            </w:r>
          </w:p>
        </w:tc>
      </w:tr>
      <w:tr>
        <w:tblPrEx>
          <w:tblCellMar>
            <w:top w:w="0" w:type="dxa"/>
            <w:left w:w="0" w:type="dxa"/>
            <w:bottom w:w="0" w:type="dxa"/>
            <w:right w:w="0" w:type="dxa"/>
          </w:tblCellMar>
        </w:tblPrEx>
        <w:trPr>
          <w:trHeight w:val="281"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restart"/>
            <w:tcBorders>
              <w:left w:val="single" w:color="000000" w:sz="4" w:space="0"/>
              <w:right w:val="single" w:color="000000" w:sz="4" w:space="0"/>
            </w:tcBorders>
            <w:vAlign w:val="center"/>
          </w:tcPr>
          <w:p>
            <w:pPr>
              <w:spacing w:line="240" w:lineRule="atLeast"/>
              <w:jc w:val="center"/>
              <w:rPr>
                <w:szCs w:val="21"/>
              </w:rPr>
            </w:pPr>
            <w:r>
              <w:rPr>
                <w:rFonts w:hint="eastAsia" w:ascii="宋体" w:hAnsi="宋体"/>
                <w:szCs w:val="21"/>
              </w:rPr>
              <w:t>邢寨</w:t>
            </w: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pH</w:t>
            </w:r>
          </w:p>
        </w:tc>
        <w:tc>
          <w:tcPr>
            <w:tcW w:w="1392"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szCs w:val="21"/>
              </w:rPr>
            </w:pP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7.22-7.26</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5.5-9.0</w:t>
            </w:r>
          </w:p>
        </w:tc>
      </w:tr>
      <w:tr>
        <w:tblPrEx>
          <w:tblCellMar>
            <w:top w:w="0" w:type="dxa"/>
            <w:left w:w="0" w:type="dxa"/>
            <w:bottom w:w="0" w:type="dxa"/>
            <w:right w:w="0" w:type="dxa"/>
          </w:tblCellMar>
        </w:tblPrEx>
        <w:trPr>
          <w:trHeight w:val="281"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总硬度（以</w:t>
            </w:r>
          </w:p>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CaCO</w:t>
            </w:r>
            <w:r>
              <w:rPr>
                <w:rFonts w:ascii="Times New Roman" w:hAnsi="Times New Roman" w:cs="Times New Roman"/>
                <w:position w:val="-2"/>
                <w:sz w:val="21"/>
                <w:szCs w:val="21"/>
              </w:rPr>
              <w:t>3</w:t>
            </w:r>
            <w:r>
              <w:rPr>
                <w:rFonts w:ascii="Times New Roman" w:hAnsi="Times New Roman" w:cs="Times New Roman"/>
                <w:sz w:val="21"/>
                <w:szCs w:val="21"/>
              </w:rPr>
              <w:t>）</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mg/L</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138.4~141.2</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1500</w:t>
            </w:r>
          </w:p>
        </w:tc>
      </w:tr>
      <w:tr>
        <w:tblPrEx>
          <w:tblCellMar>
            <w:top w:w="0" w:type="dxa"/>
            <w:left w:w="0" w:type="dxa"/>
            <w:bottom w:w="0" w:type="dxa"/>
            <w:right w:w="0" w:type="dxa"/>
          </w:tblCellMar>
        </w:tblPrEx>
        <w:trPr>
          <w:trHeight w:val="281"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总大肠菌群</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mg/L</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未检出</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100（成年）</w:t>
            </w:r>
          </w:p>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/3（幼年）</w:t>
            </w:r>
          </w:p>
        </w:tc>
      </w:tr>
      <w:tr>
        <w:tblPrEx>
          <w:tblCellMar>
            <w:top w:w="0" w:type="dxa"/>
            <w:left w:w="0" w:type="dxa"/>
            <w:bottom w:w="0" w:type="dxa"/>
            <w:right w:w="0" w:type="dxa"/>
          </w:tblCellMar>
        </w:tblPrEx>
        <w:trPr>
          <w:trHeight w:val="281"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溶解性总固体</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mg/L</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290~296</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4000</w:t>
            </w:r>
          </w:p>
        </w:tc>
      </w:tr>
      <w:tr>
        <w:tblPrEx>
          <w:tblCellMar>
            <w:top w:w="0" w:type="dxa"/>
            <w:left w:w="0" w:type="dxa"/>
            <w:bottom w:w="0" w:type="dxa"/>
            <w:right w:w="0" w:type="dxa"/>
          </w:tblCellMar>
        </w:tblPrEx>
        <w:trPr>
          <w:trHeight w:val="281" w:hRule="exact"/>
        </w:trPr>
        <w:tc>
          <w:tcPr>
            <w:tcW w:w="2141" w:type="dxa"/>
            <w:vMerge w:val="continue"/>
            <w:tcBorders>
              <w:left w:val="single" w:color="000000" w:sz="12" w:space="0"/>
              <w:bottom w:val="single" w:color="000000" w:sz="4"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bottom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硝酸盐(以N计)</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mg/L</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未检出</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10.0</w:t>
            </w:r>
          </w:p>
        </w:tc>
      </w:tr>
      <w:tr>
        <w:tblPrEx>
          <w:tblCellMar>
            <w:top w:w="0" w:type="dxa"/>
            <w:left w:w="0" w:type="dxa"/>
            <w:bottom w:w="0" w:type="dxa"/>
            <w:right w:w="0" w:type="dxa"/>
          </w:tblCellMar>
        </w:tblPrEx>
        <w:trPr>
          <w:trHeight w:val="284" w:hRule="exact"/>
        </w:trPr>
        <w:tc>
          <w:tcPr>
            <w:tcW w:w="2141" w:type="dxa"/>
            <w:vMerge w:val="restart"/>
            <w:tcBorders>
              <w:top w:val="single" w:color="000000" w:sz="4" w:space="0"/>
              <w:left w:val="single" w:color="000000" w:sz="12"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《畜禽养殖产地环境评价规范》（HJ568-2010）中表</w:t>
            </w:r>
          </w:p>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4土壤环境质量评价指标限值</w:t>
            </w:r>
          </w:p>
        </w:tc>
        <w:tc>
          <w:tcPr>
            <w:tcW w:w="891" w:type="dxa"/>
            <w:vMerge w:val="restart"/>
            <w:tcBorders>
              <w:top w:val="single" w:color="000000" w:sz="4" w:space="0"/>
              <w:left w:val="single" w:color="000000" w:sz="4" w:space="0"/>
              <w:right w:val="single" w:color="000000" w:sz="4" w:space="0"/>
            </w:tcBorders>
            <w:vAlign w:val="center"/>
          </w:tcPr>
          <w:p>
            <w:pPr>
              <w:spacing w:line="320" w:lineRule="exact"/>
              <w:jc w:val="center"/>
              <w:rPr>
                <w:bCs/>
                <w:szCs w:val="21"/>
              </w:rPr>
            </w:pPr>
            <w:r>
              <w:rPr>
                <w:bCs/>
                <w:szCs w:val="21"/>
              </w:rPr>
              <w:t>场区</w:t>
            </w: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pH</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7.27</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6.5-7.5</w:t>
            </w:r>
          </w:p>
        </w:tc>
      </w:tr>
      <w:tr>
        <w:tblPrEx>
          <w:tblCellMar>
            <w:top w:w="0" w:type="dxa"/>
            <w:left w:w="0" w:type="dxa"/>
            <w:bottom w:w="0" w:type="dxa"/>
            <w:right w:w="0" w:type="dxa"/>
          </w:tblCellMar>
        </w:tblPrEx>
        <w:trPr>
          <w:trHeight w:val="283"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汞</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mg/kg</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未检出</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1.5</w:t>
            </w:r>
          </w:p>
        </w:tc>
      </w:tr>
      <w:tr>
        <w:tblPrEx>
          <w:tblCellMar>
            <w:top w:w="0" w:type="dxa"/>
            <w:left w:w="0" w:type="dxa"/>
            <w:bottom w:w="0" w:type="dxa"/>
            <w:right w:w="0" w:type="dxa"/>
          </w:tblCellMar>
        </w:tblPrEx>
        <w:trPr>
          <w:trHeight w:val="281"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铜</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mg/kg</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17</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40</w:t>
            </w:r>
          </w:p>
        </w:tc>
      </w:tr>
      <w:tr>
        <w:tblPrEx>
          <w:tblCellMar>
            <w:top w:w="0" w:type="dxa"/>
            <w:left w:w="0" w:type="dxa"/>
            <w:bottom w:w="0" w:type="dxa"/>
            <w:right w:w="0" w:type="dxa"/>
          </w:tblCellMar>
        </w:tblPrEx>
        <w:trPr>
          <w:trHeight w:val="283"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砷</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mg/kg</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未检出</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400</w:t>
            </w:r>
          </w:p>
        </w:tc>
      </w:tr>
      <w:tr>
        <w:tblPrEx>
          <w:tblCellMar>
            <w:top w:w="0" w:type="dxa"/>
            <w:left w:w="0" w:type="dxa"/>
            <w:bottom w:w="0" w:type="dxa"/>
            <w:right w:w="0" w:type="dxa"/>
          </w:tblCellMar>
        </w:tblPrEx>
        <w:trPr>
          <w:trHeight w:val="283"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铅</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mg/kg</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16.4</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500</w:t>
            </w:r>
          </w:p>
        </w:tc>
      </w:tr>
      <w:tr>
        <w:tblPrEx>
          <w:tblCellMar>
            <w:top w:w="0" w:type="dxa"/>
            <w:left w:w="0" w:type="dxa"/>
            <w:bottom w:w="0" w:type="dxa"/>
            <w:right w:w="0" w:type="dxa"/>
          </w:tblCellMar>
        </w:tblPrEx>
        <w:trPr>
          <w:trHeight w:val="281"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铬</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mg/kg</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33</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300</w:t>
            </w:r>
          </w:p>
        </w:tc>
      </w:tr>
      <w:tr>
        <w:tblPrEx>
          <w:tblCellMar>
            <w:top w:w="0" w:type="dxa"/>
            <w:left w:w="0" w:type="dxa"/>
            <w:bottom w:w="0" w:type="dxa"/>
            <w:right w:w="0" w:type="dxa"/>
          </w:tblCellMar>
        </w:tblPrEx>
        <w:trPr>
          <w:trHeight w:val="281"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bottom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锌</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mg/kg</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38.92</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500</w:t>
            </w:r>
          </w:p>
        </w:tc>
      </w:tr>
      <w:tr>
        <w:tblPrEx>
          <w:tblCellMar>
            <w:top w:w="0" w:type="dxa"/>
            <w:left w:w="0" w:type="dxa"/>
            <w:bottom w:w="0" w:type="dxa"/>
            <w:right w:w="0" w:type="dxa"/>
          </w:tblCellMar>
        </w:tblPrEx>
        <w:trPr>
          <w:trHeight w:val="283"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restart"/>
            <w:tcBorders>
              <w:top w:val="single" w:color="000000" w:sz="4" w:space="0"/>
              <w:left w:val="single" w:color="000000" w:sz="4" w:space="0"/>
              <w:right w:val="single" w:color="000000" w:sz="4" w:space="0"/>
            </w:tcBorders>
            <w:vAlign w:val="center"/>
          </w:tcPr>
          <w:p>
            <w:pPr>
              <w:spacing w:line="320" w:lineRule="exact"/>
              <w:jc w:val="center"/>
              <w:rPr>
                <w:bCs/>
                <w:szCs w:val="21"/>
              </w:rPr>
            </w:pPr>
            <w:r>
              <w:rPr>
                <w:bCs/>
                <w:szCs w:val="21"/>
              </w:rPr>
              <w:t>沼液消纳区</w:t>
            </w: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pH</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mg/kg</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7.42</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6.5-7.5</w:t>
            </w:r>
          </w:p>
        </w:tc>
      </w:tr>
      <w:tr>
        <w:tblPrEx>
          <w:tblCellMar>
            <w:top w:w="0" w:type="dxa"/>
            <w:left w:w="0" w:type="dxa"/>
            <w:bottom w:w="0" w:type="dxa"/>
            <w:right w:w="0" w:type="dxa"/>
          </w:tblCellMar>
        </w:tblPrEx>
        <w:trPr>
          <w:trHeight w:val="283"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汞</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mg/kg</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未检出</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1.5</w:t>
            </w:r>
          </w:p>
        </w:tc>
      </w:tr>
      <w:tr>
        <w:tblPrEx>
          <w:tblCellMar>
            <w:top w:w="0" w:type="dxa"/>
            <w:left w:w="0" w:type="dxa"/>
            <w:bottom w:w="0" w:type="dxa"/>
            <w:right w:w="0" w:type="dxa"/>
          </w:tblCellMar>
        </w:tblPrEx>
        <w:trPr>
          <w:trHeight w:val="281"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铜</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mg/kg</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28</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40</w:t>
            </w:r>
          </w:p>
        </w:tc>
      </w:tr>
      <w:tr>
        <w:tblPrEx>
          <w:tblCellMar>
            <w:top w:w="0" w:type="dxa"/>
            <w:left w:w="0" w:type="dxa"/>
            <w:bottom w:w="0" w:type="dxa"/>
            <w:right w:w="0" w:type="dxa"/>
          </w:tblCellMar>
        </w:tblPrEx>
        <w:trPr>
          <w:trHeight w:val="283"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砷</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mg/kg</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0.055</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400</w:t>
            </w:r>
          </w:p>
        </w:tc>
      </w:tr>
      <w:tr>
        <w:tblPrEx>
          <w:tblCellMar>
            <w:top w:w="0" w:type="dxa"/>
            <w:left w:w="0" w:type="dxa"/>
            <w:bottom w:w="0" w:type="dxa"/>
            <w:right w:w="0" w:type="dxa"/>
          </w:tblCellMar>
        </w:tblPrEx>
        <w:trPr>
          <w:trHeight w:val="283"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铅</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mg/kg</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19.7</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500</w:t>
            </w:r>
          </w:p>
        </w:tc>
      </w:tr>
      <w:tr>
        <w:tblPrEx>
          <w:tblCellMar>
            <w:top w:w="0" w:type="dxa"/>
            <w:left w:w="0" w:type="dxa"/>
            <w:bottom w:w="0" w:type="dxa"/>
            <w:right w:w="0" w:type="dxa"/>
          </w:tblCellMar>
        </w:tblPrEx>
        <w:trPr>
          <w:trHeight w:val="281"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铬</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mg/kg</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42</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300</w:t>
            </w:r>
          </w:p>
        </w:tc>
      </w:tr>
      <w:tr>
        <w:tblPrEx>
          <w:tblCellMar>
            <w:top w:w="0" w:type="dxa"/>
            <w:left w:w="0" w:type="dxa"/>
            <w:bottom w:w="0" w:type="dxa"/>
            <w:right w:w="0" w:type="dxa"/>
          </w:tblCellMar>
        </w:tblPrEx>
        <w:trPr>
          <w:trHeight w:val="283" w:hRule="exact"/>
        </w:trPr>
        <w:tc>
          <w:tcPr>
            <w:tcW w:w="2141" w:type="dxa"/>
            <w:vMerge w:val="continue"/>
            <w:tcBorders>
              <w:left w:val="single" w:color="000000" w:sz="12" w:space="0"/>
              <w:bottom w:val="single" w:color="000000" w:sz="4"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bottom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锌</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mg/kg</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40.5</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500</w:t>
            </w:r>
          </w:p>
        </w:tc>
      </w:tr>
      <w:tr>
        <w:tblPrEx>
          <w:tblCellMar>
            <w:top w:w="0" w:type="dxa"/>
            <w:left w:w="0" w:type="dxa"/>
            <w:bottom w:w="0" w:type="dxa"/>
            <w:right w:w="0" w:type="dxa"/>
          </w:tblCellMar>
        </w:tblPrEx>
        <w:trPr>
          <w:trHeight w:val="286" w:hRule="exact"/>
        </w:trPr>
        <w:tc>
          <w:tcPr>
            <w:tcW w:w="2141" w:type="dxa"/>
            <w:vMerge w:val="restart"/>
            <w:tcBorders>
              <w:top w:val="single" w:color="000000" w:sz="4" w:space="0"/>
              <w:left w:val="single" w:color="000000" w:sz="12"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pacing w:val="-1"/>
                <w:sz w:val="21"/>
                <w:szCs w:val="21"/>
              </w:rPr>
              <w:t>《畜禽养殖产地环境</w:t>
            </w:r>
            <w:r>
              <w:rPr>
                <w:rFonts w:ascii="Times New Roman" w:hAnsi="Times New Roman" w:cs="Times New Roman"/>
                <w:sz w:val="21"/>
                <w:szCs w:val="21"/>
              </w:rPr>
              <w:t>评价规范》（HJ568-2010）中表</w:t>
            </w:r>
          </w:p>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5环境空气质量评价</w:t>
            </w:r>
            <w:r>
              <w:rPr>
                <w:rFonts w:ascii="Times New Roman" w:hAnsi="Times New Roman" w:cs="Times New Roman"/>
                <w:spacing w:val="-4"/>
                <w:sz w:val="21"/>
                <w:szCs w:val="21"/>
              </w:rPr>
              <w:t>指标限值（1</w:t>
            </w:r>
            <w:r>
              <w:rPr>
                <w:rFonts w:ascii="Times New Roman" w:hAnsi="Times New Roman" w:cs="Times New Roman"/>
                <w:sz w:val="21"/>
                <w:szCs w:val="21"/>
              </w:rPr>
              <w:t>日平均）</w:t>
            </w:r>
          </w:p>
        </w:tc>
        <w:tc>
          <w:tcPr>
            <w:tcW w:w="891" w:type="dxa"/>
            <w:vMerge w:val="restart"/>
            <w:tcBorders>
              <w:top w:val="single" w:color="000000" w:sz="4" w:space="0"/>
              <w:left w:val="single" w:color="000000" w:sz="4" w:space="0"/>
              <w:right w:val="single" w:color="000000" w:sz="4" w:space="0"/>
            </w:tcBorders>
            <w:vAlign w:val="center"/>
          </w:tcPr>
          <w:p>
            <w:pPr>
              <w:pStyle w:val="276"/>
              <w:spacing w:line="240" w:lineRule="atLeast"/>
              <w:jc w:val="center"/>
              <w:rPr>
                <w:rFonts w:ascii="Times New Roman" w:hAnsi="Times New Roman" w:cs="Times New Roman"/>
                <w:bCs/>
                <w:kern w:val="2"/>
                <w:sz w:val="21"/>
                <w:szCs w:val="21"/>
                <w:lang w:val="en-US" w:bidi="ar-SA"/>
              </w:rPr>
            </w:pPr>
            <w:r>
              <w:rPr>
                <w:rFonts w:hint="eastAsia" w:ascii="Times New Roman" w:hAnsi="Times New Roman" w:cs="Times New Roman"/>
                <w:bCs/>
                <w:kern w:val="2"/>
                <w:sz w:val="21"/>
                <w:szCs w:val="21"/>
                <w:lang w:val="en-US" w:bidi="ar-SA"/>
              </w:rPr>
              <w:t>仙翁庙村</w:t>
            </w: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position w:val="-2"/>
                <w:sz w:val="21"/>
                <w:szCs w:val="21"/>
                <w:vertAlign w:val="subscript"/>
              </w:rPr>
              <w:t>3</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5</w:t>
            </w:r>
          </w:p>
        </w:tc>
      </w:tr>
      <w:tr>
        <w:tblPrEx>
          <w:tblCellMar>
            <w:top w:w="0" w:type="dxa"/>
            <w:left w:w="0" w:type="dxa"/>
            <w:bottom w:w="0" w:type="dxa"/>
            <w:right w:w="0" w:type="dxa"/>
          </w:tblCellMar>
        </w:tblPrEx>
        <w:trPr>
          <w:trHeight w:val="286"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320" w:lineRule="exact"/>
              <w:jc w:val="center"/>
              <w:rPr>
                <w:bCs/>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H</w:t>
            </w:r>
            <w:r>
              <w:rPr>
                <w:rFonts w:ascii="Times New Roman" w:hAnsi="Times New Roman" w:cs="Times New Roman"/>
                <w:position w:val="-2"/>
                <w:sz w:val="21"/>
                <w:szCs w:val="21"/>
                <w:vertAlign w:val="subscript"/>
              </w:rPr>
              <w:t>2</w:t>
            </w:r>
            <w:r>
              <w:rPr>
                <w:rFonts w:ascii="Times New Roman" w:hAnsi="Times New Roman" w:cs="Times New Roman"/>
                <w:sz w:val="21"/>
                <w:szCs w:val="21"/>
              </w:rPr>
              <w:t>S</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2</w:t>
            </w:r>
          </w:p>
        </w:tc>
      </w:tr>
      <w:tr>
        <w:tblPrEx>
          <w:tblCellMar>
            <w:top w:w="0" w:type="dxa"/>
            <w:left w:w="0" w:type="dxa"/>
            <w:bottom w:w="0" w:type="dxa"/>
            <w:right w:w="0" w:type="dxa"/>
          </w:tblCellMar>
        </w:tblPrEx>
        <w:trPr>
          <w:trHeight w:val="252"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bottom w:val="single" w:color="000000" w:sz="4" w:space="0"/>
              <w:right w:val="single" w:color="000000" w:sz="4" w:space="0"/>
            </w:tcBorders>
            <w:vAlign w:val="center"/>
          </w:tcPr>
          <w:p>
            <w:pPr>
              <w:spacing w:line="320" w:lineRule="exact"/>
              <w:jc w:val="center"/>
              <w:rPr>
                <w:bCs/>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position w:val="-2"/>
                <w:sz w:val="21"/>
                <w:szCs w:val="21"/>
                <w:vertAlign w:val="subscript"/>
              </w:rPr>
              <w:t>10</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563" w:type="dxa"/>
            <w:tcBorders>
              <w:top w:val="single" w:color="000000" w:sz="4" w:space="0"/>
              <w:left w:val="single" w:color="000000" w:sz="4" w:space="0"/>
              <w:bottom w:val="single" w:color="000000" w:sz="4" w:space="0"/>
              <w:right w:val="single" w:color="000000" w:sz="4" w:space="0"/>
            </w:tcBorders>
            <w:vAlign w:val="center"/>
          </w:tcPr>
          <w:p>
            <w:pPr>
              <w:jc w:val="center"/>
              <w:rPr>
                <w:bCs/>
                <w:szCs w:val="21"/>
              </w:rPr>
            </w:pPr>
            <w:r>
              <w:rPr>
                <w:rFonts w:hint="eastAsia"/>
                <w:bCs/>
                <w:szCs w:val="21"/>
              </w:rPr>
              <w:t>0.061~0.080</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w:t>
            </w:r>
          </w:p>
        </w:tc>
      </w:tr>
      <w:tr>
        <w:tblPrEx>
          <w:tblCellMar>
            <w:top w:w="0" w:type="dxa"/>
            <w:left w:w="0" w:type="dxa"/>
            <w:bottom w:w="0" w:type="dxa"/>
            <w:right w:w="0" w:type="dxa"/>
          </w:tblCellMar>
        </w:tblPrEx>
        <w:trPr>
          <w:trHeight w:val="286"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restart"/>
            <w:tcBorders>
              <w:top w:val="single" w:color="000000" w:sz="4" w:space="0"/>
              <w:left w:val="single" w:color="000000" w:sz="4" w:space="0"/>
              <w:right w:val="single" w:color="000000" w:sz="4" w:space="0"/>
            </w:tcBorders>
            <w:vAlign w:val="center"/>
          </w:tcPr>
          <w:p>
            <w:pPr>
              <w:pStyle w:val="276"/>
              <w:spacing w:line="240" w:lineRule="atLeast"/>
              <w:jc w:val="center"/>
              <w:rPr>
                <w:rFonts w:ascii="Times New Roman" w:hAnsi="Times New Roman" w:cs="Times New Roman"/>
                <w:bCs/>
                <w:kern w:val="2"/>
                <w:sz w:val="21"/>
                <w:szCs w:val="21"/>
                <w:lang w:val="en-US" w:bidi="ar-SA"/>
              </w:rPr>
            </w:pPr>
            <w:r>
              <w:rPr>
                <w:rFonts w:hint="eastAsia" w:ascii="Times New Roman" w:hAnsi="Times New Roman" w:cs="Times New Roman"/>
                <w:bCs/>
                <w:kern w:val="2"/>
                <w:sz w:val="21"/>
                <w:szCs w:val="21"/>
                <w:lang w:val="en-US" w:bidi="ar-SA"/>
              </w:rPr>
              <w:t>老任庄村</w:t>
            </w: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position w:val="-2"/>
                <w:sz w:val="21"/>
                <w:szCs w:val="21"/>
                <w:vertAlign w:val="subscript"/>
              </w:rPr>
              <w:t>3</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bCs/>
                <w:kern w:val="2"/>
                <w:sz w:val="21"/>
                <w:szCs w:val="21"/>
                <w:lang w:val="en-US" w:bidi="ar-SA"/>
              </w:rPr>
            </w:pPr>
            <w:r>
              <w:rPr>
                <w:rFonts w:hint="eastAsia" w:ascii="Times New Roman" w:hAnsi="Times New Roman" w:cs="Times New Roman"/>
                <w:bCs/>
                <w:kern w:val="2"/>
                <w:sz w:val="21"/>
                <w:szCs w:val="21"/>
                <w:lang w:val="en-US" w:bidi="ar-SA"/>
              </w:rPr>
              <w:t>/</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5</w:t>
            </w:r>
          </w:p>
        </w:tc>
      </w:tr>
      <w:tr>
        <w:tblPrEx>
          <w:tblCellMar>
            <w:top w:w="0" w:type="dxa"/>
            <w:left w:w="0" w:type="dxa"/>
            <w:bottom w:w="0" w:type="dxa"/>
            <w:right w:w="0" w:type="dxa"/>
          </w:tblCellMar>
        </w:tblPrEx>
        <w:trPr>
          <w:trHeight w:val="286"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320" w:lineRule="exact"/>
              <w:jc w:val="center"/>
              <w:rPr>
                <w:bCs/>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H</w:t>
            </w:r>
            <w:r>
              <w:rPr>
                <w:rFonts w:ascii="Times New Roman" w:hAnsi="Times New Roman" w:cs="Times New Roman"/>
                <w:position w:val="-2"/>
                <w:sz w:val="21"/>
                <w:szCs w:val="21"/>
                <w:vertAlign w:val="subscript"/>
              </w:rPr>
              <w:t>2</w:t>
            </w:r>
            <w:r>
              <w:rPr>
                <w:rFonts w:ascii="Times New Roman" w:hAnsi="Times New Roman" w:cs="Times New Roman"/>
                <w:sz w:val="21"/>
                <w:szCs w:val="21"/>
              </w:rPr>
              <w:t>S</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bCs/>
                <w:kern w:val="2"/>
                <w:sz w:val="21"/>
                <w:szCs w:val="21"/>
                <w:lang w:val="en-US" w:bidi="ar-SA"/>
              </w:rPr>
            </w:pPr>
            <w:r>
              <w:rPr>
                <w:rFonts w:hint="eastAsia" w:ascii="Times New Roman" w:hAnsi="Times New Roman" w:cs="Times New Roman"/>
                <w:bCs/>
                <w:kern w:val="2"/>
                <w:sz w:val="21"/>
                <w:szCs w:val="21"/>
                <w:lang w:val="en-US" w:bidi="ar-SA"/>
              </w:rPr>
              <w:t>/</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2</w:t>
            </w:r>
          </w:p>
        </w:tc>
      </w:tr>
      <w:tr>
        <w:tblPrEx>
          <w:tblCellMar>
            <w:top w:w="0" w:type="dxa"/>
            <w:left w:w="0" w:type="dxa"/>
            <w:bottom w:w="0" w:type="dxa"/>
            <w:right w:w="0" w:type="dxa"/>
          </w:tblCellMar>
        </w:tblPrEx>
        <w:trPr>
          <w:trHeight w:val="252"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bottom w:val="single" w:color="000000" w:sz="4" w:space="0"/>
              <w:right w:val="single" w:color="000000" w:sz="4" w:space="0"/>
            </w:tcBorders>
            <w:vAlign w:val="center"/>
          </w:tcPr>
          <w:p>
            <w:pPr>
              <w:spacing w:line="320" w:lineRule="exact"/>
              <w:jc w:val="center"/>
              <w:rPr>
                <w:bCs/>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position w:val="-2"/>
                <w:sz w:val="21"/>
                <w:szCs w:val="21"/>
                <w:vertAlign w:val="subscript"/>
              </w:rPr>
              <w:t>10</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bCs/>
                <w:kern w:val="2"/>
                <w:sz w:val="21"/>
                <w:szCs w:val="21"/>
                <w:lang w:val="en-US" w:bidi="ar-SA"/>
              </w:rPr>
            </w:pPr>
            <w:r>
              <w:rPr>
                <w:rFonts w:hint="eastAsia" w:ascii="Times New Roman" w:hAnsi="Times New Roman" w:cs="Times New Roman"/>
                <w:bCs/>
                <w:kern w:val="2"/>
                <w:sz w:val="21"/>
                <w:szCs w:val="21"/>
                <w:lang w:val="en-US" w:bidi="ar-SA"/>
              </w:rPr>
              <w:t>0.055~0.086</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w:t>
            </w:r>
          </w:p>
        </w:tc>
      </w:tr>
      <w:tr>
        <w:tblPrEx>
          <w:tblCellMar>
            <w:top w:w="0" w:type="dxa"/>
            <w:left w:w="0" w:type="dxa"/>
            <w:bottom w:w="0" w:type="dxa"/>
            <w:right w:w="0" w:type="dxa"/>
          </w:tblCellMar>
        </w:tblPrEx>
        <w:trPr>
          <w:trHeight w:val="286"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restart"/>
            <w:tcBorders>
              <w:top w:val="single" w:color="000000" w:sz="4" w:space="0"/>
              <w:left w:val="single" w:color="000000" w:sz="4" w:space="0"/>
              <w:right w:val="single" w:color="000000" w:sz="4" w:space="0"/>
            </w:tcBorders>
            <w:vAlign w:val="center"/>
          </w:tcPr>
          <w:p>
            <w:pPr>
              <w:pStyle w:val="276"/>
              <w:spacing w:line="240" w:lineRule="atLeast"/>
              <w:jc w:val="center"/>
              <w:rPr>
                <w:rFonts w:ascii="Times New Roman" w:hAnsi="Times New Roman" w:cs="Times New Roman"/>
                <w:bCs/>
                <w:kern w:val="2"/>
                <w:sz w:val="21"/>
                <w:szCs w:val="21"/>
                <w:lang w:val="en-US" w:bidi="ar-SA"/>
              </w:rPr>
            </w:pPr>
            <w:r>
              <w:rPr>
                <w:rFonts w:hint="eastAsia" w:ascii="Times New Roman" w:hAnsi="Times New Roman" w:cs="Times New Roman"/>
                <w:bCs/>
                <w:kern w:val="2"/>
                <w:sz w:val="21"/>
                <w:szCs w:val="21"/>
                <w:lang w:val="en-US" w:bidi="ar-SA"/>
              </w:rPr>
              <w:t>邢寨</w:t>
            </w: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position w:val="-2"/>
                <w:sz w:val="21"/>
                <w:szCs w:val="21"/>
                <w:vertAlign w:val="subscript"/>
              </w:rPr>
              <w:t>3</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bCs/>
                <w:kern w:val="2"/>
                <w:sz w:val="21"/>
                <w:szCs w:val="21"/>
                <w:lang w:val="en-US" w:bidi="ar-SA"/>
              </w:rPr>
            </w:pPr>
            <w:r>
              <w:rPr>
                <w:rFonts w:hint="eastAsia" w:ascii="Times New Roman" w:hAnsi="Times New Roman" w:cs="Times New Roman"/>
                <w:bCs/>
                <w:kern w:val="2"/>
                <w:sz w:val="21"/>
                <w:szCs w:val="21"/>
                <w:lang w:val="en-US" w:bidi="ar-SA"/>
              </w:rPr>
              <w:t>/</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5</w:t>
            </w:r>
          </w:p>
        </w:tc>
      </w:tr>
      <w:tr>
        <w:tblPrEx>
          <w:tblCellMar>
            <w:top w:w="0" w:type="dxa"/>
            <w:left w:w="0" w:type="dxa"/>
            <w:bottom w:w="0" w:type="dxa"/>
            <w:right w:w="0" w:type="dxa"/>
          </w:tblCellMar>
        </w:tblPrEx>
        <w:trPr>
          <w:trHeight w:val="288"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right w:val="single" w:color="000000" w:sz="4" w:space="0"/>
            </w:tcBorders>
            <w:vAlign w:val="center"/>
          </w:tcPr>
          <w:p>
            <w:pPr>
              <w:spacing w:line="240" w:lineRule="atLeast"/>
              <w:jc w:val="center"/>
              <w:rPr>
                <w:color w:val="FF0000"/>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H</w:t>
            </w:r>
            <w:r>
              <w:rPr>
                <w:rFonts w:ascii="Times New Roman" w:hAnsi="Times New Roman" w:cs="Times New Roman"/>
                <w:position w:val="-2"/>
                <w:sz w:val="21"/>
                <w:szCs w:val="21"/>
                <w:vertAlign w:val="subscript"/>
              </w:rPr>
              <w:t>2</w:t>
            </w:r>
            <w:r>
              <w:rPr>
                <w:rFonts w:ascii="Times New Roman" w:hAnsi="Times New Roman" w:cs="Times New Roman"/>
                <w:sz w:val="21"/>
                <w:szCs w:val="21"/>
              </w:rPr>
              <w:t>S</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bCs/>
                <w:kern w:val="2"/>
                <w:sz w:val="21"/>
                <w:szCs w:val="21"/>
                <w:lang w:val="en-US" w:bidi="ar-SA"/>
              </w:rPr>
            </w:pPr>
            <w:r>
              <w:rPr>
                <w:rFonts w:hint="eastAsia" w:ascii="Times New Roman" w:hAnsi="Times New Roman" w:cs="Times New Roman"/>
                <w:bCs/>
                <w:kern w:val="2"/>
                <w:sz w:val="21"/>
                <w:szCs w:val="21"/>
                <w:lang w:val="en-US" w:bidi="ar-SA"/>
              </w:rPr>
              <w:t>/</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2</w:t>
            </w:r>
          </w:p>
        </w:tc>
      </w:tr>
      <w:tr>
        <w:tblPrEx>
          <w:tblCellMar>
            <w:top w:w="0" w:type="dxa"/>
            <w:left w:w="0" w:type="dxa"/>
            <w:bottom w:w="0" w:type="dxa"/>
            <w:right w:w="0" w:type="dxa"/>
          </w:tblCellMar>
        </w:tblPrEx>
        <w:trPr>
          <w:trHeight w:val="250" w:hRule="exact"/>
        </w:trPr>
        <w:tc>
          <w:tcPr>
            <w:tcW w:w="2141" w:type="dxa"/>
            <w:vMerge w:val="continue"/>
            <w:tcBorders>
              <w:left w:val="single" w:color="000000" w:sz="12" w:space="0"/>
              <w:bottom w:val="single" w:color="000000" w:sz="4"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bottom w:val="single" w:color="000000" w:sz="4" w:space="0"/>
              <w:right w:val="single" w:color="000000" w:sz="4" w:space="0"/>
            </w:tcBorders>
            <w:vAlign w:val="center"/>
          </w:tcPr>
          <w:p>
            <w:pPr>
              <w:spacing w:line="240" w:lineRule="atLeast"/>
              <w:jc w:val="center"/>
              <w:rPr>
                <w:color w:val="FF0000"/>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position w:val="-2"/>
                <w:sz w:val="21"/>
                <w:szCs w:val="21"/>
                <w:vertAlign w:val="subscript"/>
              </w:rPr>
              <w:t>10</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1563"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bCs/>
                <w:kern w:val="2"/>
                <w:sz w:val="21"/>
                <w:szCs w:val="21"/>
                <w:lang w:val="en-US" w:bidi="ar-SA"/>
              </w:rPr>
            </w:pPr>
            <w:r>
              <w:rPr>
                <w:rFonts w:hint="eastAsia" w:ascii="Times New Roman" w:hAnsi="Times New Roman" w:cs="Times New Roman"/>
                <w:bCs/>
                <w:kern w:val="2"/>
                <w:sz w:val="21"/>
                <w:szCs w:val="21"/>
                <w:lang w:val="en-US" w:bidi="ar-SA"/>
              </w:rPr>
              <w:t>0.066~0.094</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1</w:t>
            </w:r>
          </w:p>
        </w:tc>
      </w:tr>
      <w:tr>
        <w:tblPrEx>
          <w:tblCellMar>
            <w:top w:w="0" w:type="dxa"/>
            <w:left w:w="0" w:type="dxa"/>
            <w:bottom w:w="0" w:type="dxa"/>
            <w:right w:w="0" w:type="dxa"/>
          </w:tblCellMar>
        </w:tblPrEx>
        <w:trPr>
          <w:trHeight w:val="411" w:hRule="exact"/>
        </w:trPr>
        <w:tc>
          <w:tcPr>
            <w:tcW w:w="2141" w:type="dxa"/>
            <w:vMerge w:val="restart"/>
            <w:tcBorders>
              <w:top w:val="single" w:color="000000" w:sz="4" w:space="0"/>
              <w:left w:val="single" w:color="000000" w:sz="12"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《畜禽养殖产地环境评价规范》表6声环境质量评价指标限值</w:t>
            </w:r>
          </w:p>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（HJ568-2010）中表</w:t>
            </w:r>
          </w:p>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6声环境质量评价指标限值</w:t>
            </w:r>
          </w:p>
        </w:tc>
        <w:tc>
          <w:tcPr>
            <w:tcW w:w="891" w:type="dxa"/>
            <w:vMerge w:val="restart"/>
            <w:tcBorders>
              <w:top w:val="single" w:color="000000" w:sz="4" w:space="0"/>
              <w:left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东场界</w:t>
            </w: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昼间</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dB（A）</w:t>
            </w:r>
          </w:p>
        </w:tc>
        <w:tc>
          <w:tcPr>
            <w:tcW w:w="1563" w:type="dxa"/>
            <w:tcBorders>
              <w:top w:val="single" w:color="000000" w:sz="4" w:space="0"/>
              <w:left w:val="single" w:color="000000" w:sz="4" w:space="0"/>
              <w:bottom w:val="single" w:color="000000" w:sz="4" w:space="0"/>
              <w:right w:val="single" w:color="000000" w:sz="4" w:space="0"/>
            </w:tcBorders>
            <w:vAlign w:val="bottom"/>
          </w:tcPr>
          <w:p>
            <w:pPr>
              <w:jc w:val="center"/>
              <w:rPr>
                <w:color w:val="000000"/>
                <w:szCs w:val="21"/>
              </w:rPr>
            </w:pPr>
            <w:r>
              <w:rPr>
                <w:color w:val="000000"/>
                <w:szCs w:val="21"/>
              </w:rPr>
              <w:t>5</w:t>
            </w:r>
            <w:r>
              <w:rPr>
                <w:rFonts w:hint="eastAsia"/>
                <w:color w:val="000000"/>
                <w:szCs w:val="21"/>
              </w:rPr>
              <w:t>1.6</w:t>
            </w:r>
            <w:r>
              <w:rPr>
                <w:color w:val="000000"/>
                <w:szCs w:val="21"/>
              </w:rPr>
              <w:t>-5</w:t>
            </w:r>
            <w:r>
              <w:rPr>
                <w:rFonts w:hint="eastAsia"/>
                <w:color w:val="000000"/>
                <w:szCs w:val="21"/>
              </w:rPr>
              <w:t>1.9</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60</w:t>
            </w:r>
          </w:p>
        </w:tc>
      </w:tr>
      <w:tr>
        <w:tblPrEx>
          <w:tblCellMar>
            <w:top w:w="0" w:type="dxa"/>
            <w:left w:w="0" w:type="dxa"/>
            <w:bottom w:w="0" w:type="dxa"/>
            <w:right w:w="0" w:type="dxa"/>
          </w:tblCellMar>
        </w:tblPrEx>
        <w:trPr>
          <w:trHeight w:val="410"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bottom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夜间</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dB（A）</w:t>
            </w:r>
          </w:p>
        </w:tc>
        <w:tc>
          <w:tcPr>
            <w:tcW w:w="1563" w:type="dxa"/>
            <w:tcBorders>
              <w:top w:val="single" w:color="000000" w:sz="4" w:space="0"/>
              <w:left w:val="single" w:color="000000" w:sz="4" w:space="0"/>
              <w:bottom w:val="single" w:color="000000" w:sz="4" w:space="0"/>
              <w:right w:val="single" w:color="000000" w:sz="4" w:space="0"/>
            </w:tcBorders>
            <w:vAlign w:val="bottom"/>
          </w:tcPr>
          <w:p>
            <w:pPr>
              <w:jc w:val="center"/>
              <w:rPr>
                <w:color w:val="000000"/>
                <w:szCs w:val="21"/>
              </w:rPr>
            </w:pPr>
            <w:r>
              <w:rPr>
                <w:color w:val="000000"/>
                <w:szCs w:val="21"/>
              </w:rPr>
              <w:t>4</w:t>
            </w:r>
            <w:r>
              <w:rPr>
                <w:rFonts w:hint="eastAsia"/>
                <w:color w:val="000000"/>
                <w:szCs w:val="21"/>
              </w:rPr>
              <w:t>5.0</w:t>
            </w:r>
            <w:r>
              <w:rPr>
                <w:color w:val="000000"/>
                <w:szCs w:val="21"/>
              </w:rPr>
              <w:t>-4</w:t>
            </w:r>
            <w:r>
              <w:rPr>
                <w:rFonts w:hint="eastAsia"/>
                <w:color w:val="000000"/>
                <w:szCs w:val="21"/>
              </w:rPr>
              <w:t>5.8</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50</w:t>
            </w:r>
          </w:p>
        </w:tc>
      </w:tr>
      <w:tr>
        <w:tblPrEx>
          <w:tblCellMar>
            <w:top w:w="0" w:type="dxa"/>
            <w:left w:w="0" w:type="dxa"/>
            <w:bottom w:w="0" w:type="dxa"/>
            <w:right w:w="0" w:type="dxa"/>
          </w:tblCellMar>
        </w:tblPrEx>
        <w:trPr>
          <w:trHeight w:val="410"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restart"/>
            <w:tcBorders>
              <w:top w:val="single" w:color="000000" w:sz="4" w:space="0"/>
              <w:left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南场界</w:t>
            </w: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昼间</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dB（A）</w:t>
            </w:r>
          </w:p>
        </w:tc>
        <w:tc>
          <w:tcPr>
            <w:tcW w:w="1563" w:type="dxa"/>
            <w:tcBorders>
              <w:top w:val="single" w:color="000000" w:sz="4" w:space="0"/>
              <w:left w:val="single" w:color="000000" w:sz="4" w:space="0"/>
              <w:bottom w:val="single" w:color="000000" w:sz="4" w:space="0"/>
              <w:right w:val="single" w:color="000000" w:sz="4" w:space="0"/>
            </w:tcBorders>
            <w:vAlign w:val="bottom"/>
          </w:tcPr>
          <w:p>
            <w:pPr>
              <w:jc w:val="center"/>
              <w:rPr>
                <w:color w:val="000000"/>
                <w:szCs w:val="21"/>
              </w:rPr>
            </w:pPr>
            <w:r>
              <w:rPr>
                <w:rFonts w:hint="eastAsia"/>
                <w:color w:val="000000"/>
                <w:szCs w:val="21"/>
              </w:rPr>
              <w:t>50.6</w:t>
            </w:r>
            <w:r>
              <w:rPr>
                <w:color w:val="000000"/>
                <w:szCs w:val="21"/>
              </w:rPr>
              <w:t>-5</w:t>
            </w:r>
            <w:r>
              <w:rPr>
                <w:rFonts w:hint="eastAsia"/>
                <w:color w:val="000000"/>
                <w:szCs w:val="21"/>
              </w:rPr>
              <w:t>2.8</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60</w:t>
            </w:r>
          </w:p>
        </w:tc>
      </w:tr>
      <w:tr>
        <w:tblPrEx>
          <w:tblCellMar>
            <w:top w:w="0" w:type="dxa"/>
            <w:left w:w="0" w:type="dxa"/>
            <w:bottom w:w="0" w:type="dxa"/>
            <w:right w:w="0" w:type="dxa"/>
          </w:tblCellMar>
        </w:tblPrEx>
        <w:trPr>
          <w:trHeight w:val="410"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bottom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夜间</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dB（A）</w:t>
            </w:r>
          </w:p>
        </w:tc>
        <w:tc>
          <w:tcPr>
            <w:tcW w:w="1563" w:type="dxa"/>
            <w:tcBorders>
              <w:top w:val="single" w:color="000000" w:sz="4" w:space="0"/>
              <w:left w:val="single" w:color="000000" w:sz="4" w:space="0"/>
              <w:bottom w:val="single" w:color="000000" w:sz="4" w:space="0"/>
              <w:right w:val="single" w:color="000000" w:sz="4" w:space="0"/>
            </w:tcBorders>
            <w:vAlign w:val="bottom"/>
          </w:tcPr>
          <w:p>
            <w:pPr>
              <w:jc w:val="center"/>
              <w:rPr>
                <w:color w:val="000000"/>
                <w:szCs w:val="21"/>
              </w:rPr>
            </w:pPr>
            <w:r>
              <w:rPr>
                <w:rFonts w:hint="eastAsia"/>
                <w:color w:val="000000"/>
                <w:szCs w:val="21"/>
              </w:rPr>
              <w:t>42.3-42.7</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50</w:t>
            </w:r>
          </w:p>
        </w:tc>
      </w:tr>
      <w:tr>
        <w:tblPrEx>
          <w:tblCellMar>
            <w:top w:w="0" w:type="dxa"/>
            <w:left w:w="0" w:type="dxa"/>
            <w:bottom w:w="0" w:type="dxa"/>
            <w:right w:w="0" w:type="dxa"/>
          </w:tblCellMar>
        </w:tblPrEx>
        <w:trPr>
          <w:trHeight w:val="281"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restart"/>
            <w:tcBorders>
              <w:top w:val="single" w:color="000000" w:sz="4" w:space="0"/>
              <w:left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西场界</w:t>
            </w: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昼间</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dB（A）</w:t>
            </w:r>
          </w:p>
        </w:tc>
        <w:tc>
          <w:tcPr>
            <w:tcW w:w="1563" w:type="dxa"/>
            <w:tcBorders>
              <w:top w:val="single" w:color="000000" w:sz="4" w:space="0"/>
              <w:left w:val="single" w:color="000000" w:sz="4" w:space="0"/>
              <w:bottom w:val="single" w:color="000000" w:sz="4" w:space="0"/>
              <w:right w:val="single" w:color="000000" w:sz="4" w:space="0"/>
            </w:tcBorders>
            <w:vAlign w:val="bottom"/>
          </w:tcPr>
          <w:p>
            <w:pPr>
              <w:jc w:val="center"/>
              <w:rPr>
                <w:color w:val="000000"/>
                <w:szCs w:val="21"/>
              </w:rPr>
            </w:pPr>
            <w:r>
              <w:rPr>
                <w:rFonts w:hint="eastAsia"/>
                <w:color w:val="000000"/>
                <w:szCs w:val="21"/>
              </w:rPr>
              <w:t>55.2-56.3</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60</w:t>
            </w:r>
          </w:p>
        </w:tc>
      </w:tr>
      <w:tr>
        <w:tblPrEx>
          <w:tblCellMar>
            <w:top w:w="0" w:type="dxa"/>
            <w:left w:w="0" w:type="dxa"/>
            <w:bottom w:w="0" w:type="dxa"/>
            <w:right w:w="0" w:type="dxa"/>
          </w:tblCellMar>
        </w:tblPrEx>
        <w:trPr>
          <w:trHeight w:val="283"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bottom w:val="single" w:color="000000" w:sz="4"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夜间</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dB（A）</w:t>
            </w:r>
          </w:p>
        </w:tc>
        <w:tc>
          <w:tcPr>
            <w:tcW w:w="1563" w:type="dxa"/>
            <w:tcBorders>
              <w:top w:val="single" w:color="000000" w:sz="4" w:space="0"/>
              <w:left w:val="single" w:color="000000" w:sz="4" w:space="0"/>
              <w:bottom w:val="single" w:color="000000" w:sz="4" w:space="0"/>
              <w:right w:val="single" w:color="000000" w:sz="4" w:space="0"/>
            </w:tcBorders>
            <w:vAlign w:val="bottom"/>
          </w:tcPr>
          <w:p>
            <w:pPr>
              <w:jc w:val="center"/>
              <w:rPr>
                <w:color w:val="000000"/>
                <w:szCs w:val="21"/>
              </w:rPr>
            </w:pPr>
            <w:r>
              <w:rPr>
                <w:rFonts w:hint="eastAsia"/>
                <w:color w:val="000000"/>
                <w:szCs w:val="21"/>
              </w:rPr>
              <w:t>47.6-48.0</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50</w:t>
            </w:r>
          </w:p>
        </w:tc>
      </w:tr>
      <w:tr>
        <w:tblPrEx>
          <w:tblCellMar>
            <w:top w:w="0" w:type="dxa"/>
            <w:left w:w="0" w:type="dxa"/>
            <w:bottom w:w="0" w:type="dxa"/>
            <w:right w:w="0" w:type="dxa"/>
          </w:tblCellMar>
        </w:tblPrEx>
        <w:trPr>
          <w:trHeight w:val="283" w:hRule="exact"/>
        </w:trPr>
        <w:tc>
          <w:tcPr>
            <w:tcW w:w="2141" w:type="dxa"/>
            <w:vMerge w:val="continue"/>
            <w:tcBorders>
              <w:left w:val="single" w:color="000000" w:sz="12" w:space="0"/>
              <w:right w:val="single" w:color="000000" w:sz="4" w:space="0"/>
            </w:tcBorders>
            <w:vAlign w:val="center"/>
          </w:tcPr>
          <w:p>
            <w:pPr>
              <w:spacing w:line="240" w:lineRule="atLeast"/>
              <w:jc w:val="center"/>
              <w:rPr>
                <w:szCs w:val="21"/>
              </w:rPr>
            </w:pPr>
          </w:p>
        </w:tc>
        <w:tc>
          <w:tcPr>
            <w:tcW w:w="891" w:type="dxa"/>
            <w:vMerge w:val="restart"/>
            <w:tcBorders>
              <w:top w:val="single" w:color="000000" w:sz="4" w:space="0"/>
              <w:left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北场界</w:t>
            </w:r>
          </w:p>
        </w:tc>
        <w:tc>
          <w:tcPr>
            <w:tcW w:w="168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昼间</w:t>
            </w:r>
          </w:p>
        </w:tc>
        <w:tc>
          <w:tcPr>
            <w:tcW w:w="1392" w:type="dxa"/>
            <w:tcBorders>
              <w:top w:val="single" w:color="000000" w:sz="4" w:space="0"/>
              <w:left w:val="single" w:color="000000" w:sz="4" w:space="0"/>
              <w:bottom w:val="single" w:color="000000" w:sz="4"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dB（A）</w:t>
            </w:r>
          </w:p>
        </w:tc>
        <w:tc>
          <w:tcPr>
            <w:tcW w:w="1563" w:type="dxa"/>
            <w:tcBorders>
              <w:top w:val="single" w:color="000000" w:sz="4" w:space="0"/>
              <w:left w:val="single" w:color="000000" w:sz="4" w:space="0"/>
              <w:bottom w:val="single" w:color="000000" w:sz="4" w:space="0"/>
              <w:right w:val="single" w:color="000000" w:sz="4" w:space="0"/>
            </w:tcBorders>
            <w:vAlign w:val="bottom"/>
          </w:tcPr>
          <w:p>
            <w:pPr>
              <w:jc w:val="center"/>
              <w:rPr>
                <w:color w:val="000000"/>
                <w:szCs w:val="21"/>
              </w:rPr>
            </w:pPr>
            <w:r>
              <w:rPr>
                <w:rFonts w:hint="eastAsia"/>
                <w:color w:val="000000"/>
                <w:szCs w:val="21"/>
              </w:rPr>
              <w:t>51.3-51.6</w:t>
            </w:r>
          </w:p>
        </w:tc>
        <w:tc>
          <w:tcPr>
            <w:tcW w:w="1279" w:type="dxa"/>
            <w:tcBorders>
              <w:top w:val="single" w:color="000000" w:sz="4" w:space="0"/>
              <w:left w:val="single" w:color="000000" w:sz="4" w:space="0"/>
              <w:bottom w:val="single" w:color="000000" w:sz="4"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60</w:t>
            </w:r>
          </w:p>
        </w:tc>
      </w:tr>
      <w:tr>
        <w:tblPrEx>
          <w:tblCellMar>
            <w:top w:w="0" w:type="dxa"/>
            <w:left w:w="0" w:type="dxa"/>
            <w:bottom w:w="0" w:type="dxa"/>
            <w:right w:w="0" w:type="dxa"/>
          </w:tblCellMar>
        </w:tblPrEx>
        <w:trPr>
          <w:trHeight w:val="290" w:hRule="exact"/>
        </w:trPr>
        <w:tc>
          <w:tcPr>
            <w:tcW w:w="2141" w:type="dxa"/>
            <w:vMerge w:val="continue"/>
            <w:tcBorders>
              <w:left w:val="single" w:color="000000" w:sz="12" w:space="0"/>
              <w:bottom w:val="single" w:color="000000" w:sz="12" w:space="0"/>
              <w:right w:val="single" w:color="000000" w:sz="4" w:space="0"/>
            </w:tcBorders>
            <w:vAlign w:val="center"/>
          </w:tcPr>
          <w:p>
            <w:pPr>
              <w:spacing w:line="240" w:lineRule="atLeast"/>
              <w:jc w:val="center"/>
              <w:rPr>
                <w:szCs w:val="21"/>
              </w:rPr>
            </w:pPr>
          </w:p>
        </w:tc>
        <w:tc>
          <w:tcPr>
            <w:tcW w:w="891" w:type="dxa"/>
            <w:vMerge w:val="continue"/>
            <w:tcBorders>
              <w:left w:val="single" w:color="000000" w:sz="4" w:space="0"/>
              <w:bottom w:val="single" w:color="000000" w:sz="12" w:space="0"/>
              <w:right w:val="single" w:color="000000" w:sz="4" w:space="0"/>
            </w:tcBorders>
            <w:vAlign w:val="center"/>
          </w:tcPr>
          <w:p>
            <w:pPr>
              <w:spacing w:line="240" w:lineRule="atLeast"/>
              <w:jc w:val="center"/>
              <w:rPr>
                <w:szCs w:val="21"/>
              </w:rPr>
            </w:pPr>
          </w:p>
        </w:tc>
        <w:tc>
          <w:tcPr>
            <w:tcW w:w="1682" w:type="dxa"/>
            <w:tcBorders>
              <w:top w:val="single" w:color="000000" w:sz="4" w:space="0"/>
              <w:left w:val="single" w:color="000000" w:sz="4" w:space="0"/>
              <w:bottom w:val="single" w:color="000000" w:sz="12"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夜间</w:t>
            </w:r>
          </w:p>
        </w:tc>
        <w:tc>
          <w:tcPr>
            <w:tcW w:w="1392" w:type="dxa"/>
            <w:tcBorders>
              <w:top w:val="single" w:color="000000" w:sz="4" w:space="0"/>
              <w:left w:val="single" w:color="000000" w:sz="4" w:space="0"/>
              <w:bottom w:val="single" w:color="000000" w:sz="12" w:space="0"/>
              <w:right w:val="single" w:color="000000" w:sz="4"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dB（A）</w:t>
            </w:r>
          </w:p>
        </w:tc>
        <w:tc>
          <w:tcPr>
            <w:tcW w:w="1563" w:type="dxa"/>
            <w:tcBorders>
              <w:top w:val="single" w:color="000000" w:sz="4" w:space="0"/>
              <w:left w:val="single" w:color="000000" w:sz="4" w:space="0"/>
              <w:bottom w:val="single" w:color="000000" w:sz="12" w:space="0"/>
              <w:right w:val="single" w:color="000000" w:sz="4" w:space="0"/>
            </w:tcBorders>
            <w:vAlign w:val="bottom"/>
          </w:tcPr>
          <w:p>
            <w:pPr>
              <w:jc w:val="center"/>
              <w:rPr>
                <w:color w:val="000000"/>
                <w:szCs w:val="21"/>
              </w:rPr>
            </w:pPr>
            <w:r>
              <w:rPr>
                <w:rFonts w:hint="eastAsia"/>
                <w:color w:val="000000"/>
                <w:szCs w:val="21"/>
              </w:rPr>
              <w:t>44.6-45.8</w:t>
            </w:r>
          </w:p>
        </w:tc>
        <w:tc>
          <w:tcPr>
            <w:tcW w:w="1279" w:type="dxa"/>
            <w:tcBorders>
              <w:top w:val="single" w:color="000000" w:sz="4" w:space="0"/>
              <w:left w:val="single" w:color="000000" w:sz="4" w:space="0"/>
              <w:bottom w:val="single" w:color="000000" w:sz="12" w:space="0"/>
              <w:right w:val="single" w:color="000000" w:sz="12" w:space="0"/>
            </w:tcBorders>
            <w:vAlign w:val="center"/>
          </w:tcPr>
          <w:p>
            <w:pPr>
              <w:pStyle w:val="276"/>
              <w:spacing w:line="240" w:lineRule="atLeast"/>
              <w:jc w:val="center"/>
              <w:rPr>
                <w:rFonts w:ascii="Times New Roman" w:hAnsi="Times New Roman" w:cs="Times New Roman"/>
                <w:sz w:val="21"/>
                <w:szCs w:val="21"/>
              </w:rPr>
            </w:pPr>
            <w:r>
              <w:rPr>
                <w:rFonts w:ascii="Times New Roman" w:hAnsi="Times New Roman" w:cs="Times New Roman"/>
                <w:sz w:val="21"/>
                <w:szCs w:val="21"/>
              </w:rPr>
              <w:t>50</w:t>
            </w:r>
          </w:p>
        </w:tc>
      </w:tr>
    </w:tbl>
    <w:p>
      <w:pPr>
        <w:snapToGrid w:val="0"/>
        <w:spacing w:line="520" w:lineRule="exact"/>
        <w:outlineLvl w:val="1"/>
        <w:rPr>
          <w:rFonts w:eastAsia="黑体"/>
          <w:bCs/>
          <w:color w:val="000000" w:themeColor="text1"/>
          <w:sz w:val="28"/>
          <w:szCs w:val="28"/>
        </w:rPr>
      </w:pPr>
      <w:bookmarkStart w:id="248" w:name="_Toc472009599"/>
      <w:bookmarkStart w:id="249" w:name="_Toc485996383"/>
      <w:bookmarkStart w:id="250" w:name="_Toc3019533"/>
      <w:r>
        <w:rPr>
          <w:rFonts w:eastAsia="黑体"/>
          <w:bCs/>
          <w:color w:val="000000" w:themeColor="text1"/>
          <w:sz w:val="28"/>
          <w:szCs w:val="28"/>
        </w:rPr>
        <w:t>3.5区域污染源调查</w:t>
      </w:r>
      <w:bookmarkEnd w:id="248"/>
      <w:bookmarkEnd w:id="249"/>
      <w:bookmarkEnd w:id="250"/>
    </w:p>
    <w:p>
      <w:pPr>
        <w:spacing w:line="520" w:lineRule="exact"/>
        <w:ind w:firstLine="480" w:firstLineChars="200"/>
        <w:rPr>
          <w:color w:val="000000" w:themeColor="text1"/>
          <w:sz w:val="24"/>
        </w:rPr>
        <w:sectPr>
          <w:pgSz w:w="11906" w:h="16838"/>
          <w:pgMar w:top="1701" w:right="1588" w:bottom="1985" w:left="1588" w:header="851" w:footer="992" w:gutter="0"/>
          <w:cols w:space="720" w:num="1"/>
          <w:docGrid w:type="lines" w:linePitch="312" w:charSpace="0"/>
        </w:sectPr>
      </w:pPr>
      <w:r>
        <w:rPr>
          <w:color w:val="000000" w:themeColor="text1"/>
          <w:sz w:val="24"/>
        </w:rPr>
        <w:t>经调查，项目区周围无工业、养殖污染源存在。</w:t>
      </w:r>
    </w:p>
    <w:p>
      <w:pPr>
        <w:keepNext/>
        <w:keepLines/>
        <w:spacing w:before="100" w:beforeAutospacing="1" w:after="100" w:afterAutospacing="1"/>
        <w:jc w:val="center"/>
        <w:outlineLvl w:val="0"/>
        <w:rPr>
          <w:b/>
          <w:sz w:val="44"/>
          <w:szCs w:val="44"/>
        </w:rPr>
      </w:pPr>
      <w:bookmarkStart w:id="251" w:name="_Toc375206181"/>
      <w:bookmarkStart w:id="252" w:name="_Toc488572568"/>
      <w:bookmarkStart w:id="253" w:name="_Toc3019534"/>
      <w:r>
        <w:rPr>
          <w:b/>
          <w:sz w:val="44"/>
          <w:szCs w:val="44"/>
        </w:rPr>
        <w:t>第四章   环境影响预测与</w:t>
      </w:r>
      <w:bookmarkEnd w:id="251"/>
      <w:r>
        <w:rPr>
          <w:b/>
          <w:sz w:val="44"/>
          <w:szCs w:val="44"/>
        </w:rPr>
        <w:t>评价</w:t>
      </w:r>
      <w:bookmarkEnd w:id="252"/>
      <w:bookmarkEnd w:id="253"/>
    </w:p>
    <w:p>
      <w:pPr>
        <w:pStyle w:val="4"/>
        <w:spacing w:before="156" w:after="156"/>
        <w:rPr>
          <w:rFonts w:hAnsi="Times New Roman"/>
          <w:color w:val="000000"/>
        </w:rPr>
      </w:pPr>
      <w:bookmarkStart w:id="254" w:name="_Toc488572569"/>
      <w:bookmarkStart w:id="255" w:name="_Toc375206182"/>
      <w:bookmarkStart w:id="256" w:name="_Toc3019535"/>
      <w:r>
        <w:rPr>
          <w:rFonts w:hAnsi="Times New Roman"/>
          <w:color w:val="000000"/>
        </w:rPr>
        <w:t>4.1 施工期环境影响分析</w:t>
      </w:r>
      <w:bookmarkEnd w:id="254"/>
      <w:bookmarkEnd w:id="255"/>
      <w:bookmarkEnd w:id="256"/>
    </w:p>
    <w:p>
      <w:pPr>
        <w:topLinePunct/>
        <w:spacing w:line="500" w:lineRule="exact"/>
        <w:ind w:firstLine="480" w:firstLineChars="200"/>
        <w:rPr>
          <w:bCs/>
          <w:color w:val="000000"/>
          <w:sz w:val="24"/>
        </w:rPr>
      </w:pPr>
      <w:r>
        <w:rPr>
          <w:bCs/>
          <w:color w:val="000000"/>
          <w:sz w:val="24"/>
        </w:rPr>
        <w:t>本项目养殖区占地面积</w:t>
      </w:r>
      <w:r>
        <w:rPr>
          <w:rFonts w:hint="eastAsia"/>
          <w:bCs/>
          <w:color w:val="000000"/>
          <w:sz w:val="24"/>
        </w:rPr>
        <w:t>203</w:t>
      </w:r>
      <w:r>
        <w:rPr>
          <w:bCs/>
          <w:color w:val="000000"/>
          <w:sz w:val="24"/>
        </w:rPr>
        <w:t>亩。项目建设地目前为农田，建设工期计划为</w:t>
      </w:r>
      <w:r>
        <w:rPr>
          <w:rFonts w:hint="eastAsia"/>
          <w:bCs/>
          <w:color w:val="000000"/>
          <w:sz w:val="24"/>
        </w:rPr>
        <w:t>8</w:t>
      </w:r>
      <w:r>
        <w:rPr>
          <w:bCs/>
          <w:color w:val="000000"/>
          <w:sz w:val="24"/>
        </w:rPr>
        <w:t>个月。</w:t>
      </w:r>
    </w:p>
    <w:p>
      <w:pPr>
        <w:topLinePunct/>
        <w:spacing w:line="500" w:lineRule="exact"/>
        <w:ind w:firstLine="480" w:firstLineChars="200"/>
        <w:rPr>
          <w:b/>
          <w:color w:val="000000"/>
          <w:sz w:val="24"/>
        </w:rPr>
      </w:pPr>
      <w:r>
        <w:rPr>
          <w:bCs/>
          <w:color w:val="000000"/>
          <w:sz w:val="24"/>
        </w:rPr>
        <w:t>本项目施工内容主要包括场地平整，土建、附属设施的新建、设备安装等。施工期间对环境的影响主要是扬尘、废水、施工噪声、建筑垃圾及生态影响等。</w:t>
      </w:r>
    </w:p>
    <w:p>
      <w:pPr>
        <w:topLinePunct/>
        <w:spacing w:line="600" w:lineRule="exact"/>
        <w:outlineLvl w:val="2"/>
        <w:rPr>
          <w:b/>
          <w:color w:val="000000"/>
          <w:sz w:val="24"/>
        </w:rPr>
      </w:pPr>
      <w:r>
        <w:rPr>
          <w:b/>
          <w:color w:val="000000"/>
          <w:sz w:val="24"/>
        </w:rPr>
        <w:t>4.1.1</w:t>
      </w:r>
      <w:bookmarkStart w:id="257" w:name="_Toc303632177"/>
      <w:bookmarkEnd w:id="257"/>
      <w:bookmarkStart w:id="258" w:name="_Toc298705392"/>
      <w:bookmarkEnd w:id="258"/>
      <w:r>
        <w:rPr>
          <w:b/>
          <w:color w:val="000000"/>
          <w:sz w:val="24"/>
        </w:rPr>
        <w:t>施工期扬尘影响分析</w:t>
      </w:r>
    </w:p>
    <w:p>
      <w:pPr>
        <w:topLinePunct/>
        <w:spacing w:line="500" w:lineRule="exact"/>
        <w:ind w:firstLine="480" w:firstLineChars="200"/>
        <w:rPr>
          <w:bCs/>
          <w:color w:val="000000"/>
          <w:sz w:val="24"/>
        </w:rPr>
      </w:pPr>
      <w:r>
        <w:rPr>
          <w:bCs/>
          <w:color w:val="000000"/>
          <w:sz w:val="24"/>
        </w:rPr>
        <w:t>本项目施工期废气主要为施工扬尘，施工扬尘主要来自以下几个方面：</w:t>
      </w:r>
      <w:r>
        <w:rPr>
          <w:bCs/>
          <w:color w:val="000000"/>
          <w:sz w:val="24"/>
        </w:rPr>
        <w:fldChar w:fldCharType="begin"/>
      </w:r>
      <w:r>
        <w:rPr>
          <w:bCs/>
          <w:color w:val="000000"/>
          <w:sz w:val="24"/>
        </w:rPr>
        <w:instrText xml:space="preserve"> = 1 \* GB3 </w:instrText>
      </w:r>
      <w:r>
        <w:rPr>
          <w:bCs/>
          <w:color w:val="000000"/>
          <w:sz w:val="24"/>
        </w:rPr>
        <w:fldChar w:fldCharType="separate"/>
      </w:r>
      <w:r>
        <w:rPr>
          <w:rFonts w:hint="eastAsia" w:ascii="宋体" w:hAnsi="宋体" w:cs="宋体"/>
          <w:bCs/>
          <w:color w:val="000000"/>
          <w:sz w:val="24"/>
        </w:rPr>
        <w:t>①</w:t>
      </w:r>
      <w:r>
        <w:rPr>
          <w:bCs/>
          <w:color w:val="000000"/>
          <w:sz w:val="24"/>
        </w:rPr>
        <w:fldChar w:fldCharType="end"/>
      </w:r>
      <w:r>
        <w:rPr>
          <w:bCs/>
          <w:color w:val="000000"/>
          <w:sz w:val="24"/>
        </w:rPr>
        <w:t>运输车辆运行时产生的道路扬尘；</w:t>
      </w:r>
      <w:r>
        <w:rPr>
          <w:bCs/>
          <w:color w:val="000000"/>
          <w:sz w:val="24"/>
        </w:rPr>
        <w:fldChar w:fldCharType="begin"/>
      </w:r>
      <w:r>
        <w:rPr>
          <w:bCs/>
          <w:color w:val="000000"/>
          <w:sz w:val="24"/>
        </w:rPr>
        <w:instrText xml:space="preserve"> = 2 \* GB3 </w:instrText>
      </w:r>
      <w:r>
        <w:rPr>
          <w:bCs/>
          <w:color w:val="000000"/>
          <w:sz w:val="24"/>
        </w:rPr>
        <w:fldChar w:fldCharType="separate"/>
      </w:r>
      <w:r>
        <w:rPr>
          <w:rFonts w:hint="eastAsia" w:ascii="宋体" w:hAnsi="宋体" w:cs="宋体"/>
          <w:bCs/>
          <w:color w:val="000000"/>
          <w:sz w:val="24"/>
        </w:rPr>
        <w:t>②</w:t>
      </w:r>
      <w:r>
        <w:rPr>
          <w:bCs/>
          <w:color w:val="000000"/>
          <w:sz w:val="24"/>
        </w:rPr>
        <w:fldChar w:fldCharType="end"/>
      </w:r>
      <w:r>
        <w:rPr>
          <w:bCs/>
          <w:color w:val="000000"/>
          <w:sz w:val="24"/>
        </w:rPr>
        <w:t>车辆运输过程中散落的砂石、土等材料产生的二次扬尘；</w:t>
      </w:r>
      <w:r>
        <w:rPr>
          <w:bCs/>
          <w:color w:val="000000"/>
          <w:sz w:val="24"/>
        </w:rPr>
        <w:fldChar w:fldCharType="begin"/>
      </w:r>
      <w:r>
        <w:rPr>
          <w:bCs/>
          <w:color w:val="000000"/>
          <w:sz w:val="24"/>
        </w:rPr>
        <w:instrText xml:space="preserve"> = 3 \* GB3 </w:instrText>
      </w:r>
      <w:r>
        <w:rPr>
          <w:bCs/>
          <w:color w:val="000000"/>
          <w:sz w:val="24"/>
        </w:rPr>
        <w:fldChar w:fldCharType="separate"/>
      </w:r>
      <w:r>
        <w:rPr>
          <w:rFonts w:hint="eastAsia" w:ascii="宋体" w:hAnsi="宋体" w:cs="宋体"/>
          <w:bCs/>
          <w:color w:val="000000"/>
          <w:sz w:val="24"/>
        </w:rPr>
        <w:t>③</w:t>
      </w:r>
      <w:r>
        <w:rPr>
          <w:bCs/>
          <w:color w:val="000000"/>
          <w:sz w:val="24"/>
        </w:rPr>
        <w:fldChar w:fldCharType="end"/>
      </w:r>
      <w:r>
        <w:rPr>
          <w:bCs/>
          <w:color w:val="000000"/>
          <w:sz w:val="24"/>
        </w:rPr>
        <w:t>露天堆放的建材及裸露的施工区表层产生的扬尘；</w:t>
      </w:r>
      <w:r>
        <w:rPr>
          <w:bCs/>
          <w:color w:val="000000"/>
          <w:sz w:val="24"/>
        </w:rPr>
        <w:fldChar w:fldCharType="begin"/>
      </w:r>
      <w:r>
        <w:rPr>
          <w:bCs/>
          <w:color w:val="000000"/>
          <w:sz w:val="24"/>
        </w:rPr>
        <w:instrText xml:space="preserve"> = 4 \* GB3 </w:instrText>
      </w:r>
      <w:r>
        <w:rPr>
          <w:bCs/>
          <w:color w:val="000000"/>
          <w:sz w:val="24"/>
        </w:rPr>
        <w:fldChar w:fldCharType="separate"/>
      </w:r>
      <w:r>
        <w:rPr>
          <w:rFonts w:hint="eastAsia" w:ascii="宋体" w:hAnsi="宋体" w:cs="宋体"/>
          <w:bCs/>
          <w:color w:val="000000"/>
          <w:sz w:val="24"/>
        </w:rPr>
        <w:t>④</w:t>
      </w:r>
      <w:r>
        <w:rPr>
          <w:bCs/>
          <w:color w:val="000000"/>
          <w:sz w:val="24"/>
        </w:rPr>
        <w:fldChar w:fldCharType="end"/>
      </w:r>
      <w:r>
        <w:rPr>
          <w:bCs/>
          <w:color w:val="000000"/>
          <w:sz w:val="24"/>
        </w:rPr>
        <w:t>建材的装卸、搅拌过程中产生的扬尘。</w:t>
      </w:r>
    </w:p>
    <w:p>
      <w:pPr>
        <w:topLinePunct/>
        <w:spacing w:line="500" w:lineRule="exact"/>
        <w:ind w:firstLine="480" w:firstLineChars="200"/>
        <w:rPr>
          <w:bCs/>
          <w:color w:val="000000"/>
          <w:sz w:val="24"/>
        </w:rPr>
      </w:pPr>
      <w:r>
        <w:rPr>
          <w:bCs/>
          <w:color w:val="000000"/>
          <w:sz w:val="24"/>
        </w:rPr>
        <w:t>扬尘对附近的大气环境和居民带来不利的影响，因此必须采取合理可行的控制措施，尽量减轻污染程度，缩小影响范围。其主要对策有：</w:t>
      </w:r>
    </w:p>
    <w:p>
      <w:pPr>
        <w:topLinePunct/>
        <w:spacing w:line="500" w:lineRule="exact"/>
        <w:ind w:firstLine="480" w:firstLineChars="200"/>
        <w:rPr>
          <w:bCs/>
          <w:color w:val="000000"/>
          <w:sz w:val="24"/>
        </w:rPr>
      </w:pPr>
      <w:r>
        <w:rPr>
          <w:bCs/>
          <w:color w:val="000000"/>
          <w:sz w:val="24"/>
        </w:rPr>
        <w:t>（1）对施工现场进行科学管理，砂石料应统一堆放，水泥应设专门库房堆放，减少搬运环节，搬运时轻举轻放，防止包装袋破裂。</w:t>
      </w:r>
    </w:p>
    <w:p>
      <w:pPr>
        <w:topLinePunct/>
        <w:spacing w:line="500" w:lineRule="exact"/>
        <w:ind w:firstLine="480" w:firstLineChars="200"/>
        <w:rPr>
          <w:bCs/>
          <w:color w:val="000000"/>
          <w:sz w:val="24"/>
        </w:rPr>
      </w:pPr>
      <w:r>
        <w:rPr>
          <w:bCs/>
          <w:color w:val="000000"/>
          <w:sz w:val="24"/>
        </w:rPr>
        <w:t>（2）开挖时，对作业面适当喷水，使其保持一定的湿度，以减少扬尘量。而且建筑材料和建筑垃圾应及时运走。</w:t>
      </w:r>
    </w:p>
    <w:p>
      <w:pPr>
        <w:topLinePunct/>
        <w:spacing w:line="500" w:lineRule="exact"/>
        <w:ind w:firstLine="480" w:firstLineChars="200"/>
        <w:rPr>
          <w:bCs/>
          <w:color w:val="000000"/>
          <w:sz w:val="24"/>
        </w:rPr>
      </w:pPr>
      <w:r>
        <w:rPr>
          <w:bCs/>
          <w:color w:val="000000"/>
          <w:sz w:val="24"/>
        </w:rPr>
        <w:t>根据河南省环境保护厅关于发布《河南省建筑扬尘排污量抽样测算办法》 （暂行）的公告（第二批）中相关规定，扬尘基本排放量测算如下：施工场地、施工道路的扬尘可用洒水和清扫措施予以抑止。如果只洒水清扫，可使扬尘量减少70%~80%，如洒水清扫后再洒水，抑尘效率达90%以上。有关试验表明，在施工场地每天洒水抑尘作业4~5次，其扬尘造成的TSP污染距离可缩小到20~50m范围内。</w:t>
      </w:r>
    </w:p>
    <w:p>
      <w:pPr>
        <w:topLinePunct/>
        <w:spacing w:line="500" w:lineRule="exact"/>
        <w:ind w:firstLine="480" w:firstLineChars="200"/>
        <w:rPr>
          <w:bCs/>
          <w:color w:val="000000"/>
          <w:sz w:val="24"/>
        </w:rPr>
      </w:pPr>
      <w:r>
        <w:rPr>
          <w:bCs/>
          <w:color w:val="000000"/>
          <w:sz w:val="24"/>
        </w:rPr>
        <w:t>（3）谨防运输车辆装载过满，并采取遮盖、密闭措施，减少其沿途抛洒，并及时清扫散落在路面的泥土和灰尘，冲洗轮胎，定时洒水压尘，减少运输过程中的扬尘。</w:t>
      </w:r>
    </w:p>
    <w:p>
      <w:pPr>
        <w:topLinePunct/>
        <w:spacing w:line="500" w:lineRule="exact"/>
        <w:ind w:firstLine="480" w:firstLineChars="200"/>
        <w:rPr>
          <w:bCs/>
          <w:color w:val="000000"/>
          <w:sz w:val="24"/>
        </w:rPr>
      </w:pPr>
      <w:r>
        <w:rPr>
          <w:bCs/>
          <w:color w:val="000000"/>
          <w:sz w:val="24"/>
        </w:rPr>
        <w:t>（4）施工现场要围栏或部分围栏，减少施工扬尘扩散范围。</w:t>
      </w:r>
    </w:p>
    <w:p>
      <w:pPr>
        <w:topLinePunct/>
        <w:spacing w:line="500" w:lineRule="exact"/>
        <w:ind w:firstLine="480" w:firstLineChars="200"/>
        <w:rPr>
          <w:bCs/>
          <w:color w:val="000000"/>
          <w:sz w:val="24"/>
        </w:rPr>
      </w:pPr>
      <w:r>
        <w:rPr>
          <w:bCs/>
          <w:color w:val="000000"/>
          <w:sz w:val="24"/>
        </w:rPr>
        <w:t>（5）风速过大时停止施工，对堆放的砂石等建筑材料进行遮盖处理。</w:t>
      </w:r>
    </w:p>
    <w:p>
      <w:pPr>
        <w:topLinePunct/>
        <w:spacing w:line="500" w:lineRule="exact"/>
        <w:ind w:firstLine="480" w:firstLineChars="200"/>
        <w:rPr>
          <w:bCs/>
          <w:color w:val="000000"/>
          <w:sz w:val="24"/>
        </w:rPr>
      </w:pPr>
      <w:r>
        <w:rPr>
          <w:bCs/>
          <w:color w:val="000000"/>
          <w:sz w:val="24"/>
        </w:rPr>
        <w:t>通过采取以上防治措施，施工弃土及时回填，砂料、石灰、水泥等堆放时应采用篷布遮盖，运输道路采取洒水等措施后，厂界周围环境空气质量可以满足二级标准要求。项目周围</w:t>
      </w:r>
      <w:r>
        <w:rPr>
          <w:rFonts w:hint="eastAsia"/>
          <w:bCs/>
          <w:color w:val="000000"/>
          <w:sz w:val="24"/>
        </w:rPr>
        <w:t>3</w:t>
      </w:r>
      <w:r>
        <w:rPr>
          <w:bCs/>
          <w:color w:val="000000"/>
          <w:sz w:val="24"/>
        </w:rPr>
        <w:t>00m范围内无敏感点，距项目最近敏感点为</w:t>
      </w:r>
      <w:r>
        <w:rPr>
          <w:rFonts w:hint="eastAsia"/>
          <w:bCs/>
          <w:color w:val="000000"/>
          <w:sz w:val="24"/>
        </w:rPr>
        <w:t>东南</w:t>
      </w:r>
      <w:r>
        <w:rPr>
          <w:bCs/>
          <w:color w:val="000000"/>
          <w:sz w:val="24"/>
        </w:rPr>
        <w:t>侧</w:t>
      </w:r>
      <w:r>
        <w:rPr>
          <w:rFonts w:hint="eastAsia"/>
          <w:bCs/>
          <w:color w:val="000000"/>
          <w:sz w:val="24"/>
          <w:lang w:eastAsia="zh-CN"/>
        </w:rPr>
        <w:t>507</w:t>
      </w:r>
      <w:r>
        <w:rPr>
          <w:bCs/>
          <w:color w:val="000000"/>
          <w:sz w:val="24"/>
        </w:rPr>
        <w:t>m处的</w:t>
      </w:r>
      <w:r>
        <w:rPr>
          <w:rFonts w:hint="eastAsia"/>
          <w:bCs/>
          <w:color w:val="000000"/>
          <w:sz w:val="24"/>
        </w:rPr>
        <w:t>邢寨村</w:t>
      </w:r>
      <w:r>
        <w:rPr>
          <w:bCs/>
          <w:color w:val="000000"/>
          <w:sz w:val="24"/>
        </w:rPr>
        <w:t>，项目施工扬尘不会对周边敏感点造成太大影响。</w:t>
      </w:r>
    </w:p>
    <w:p>
      <w:pPr>
        <w:topLinePunct/>
        <w:spacing w:line="600" w:lineRule="exact"/>
        <w:outlineLvl w:val="2"/>
        <w:rPr>
          <w:b/>
          <w:color w:val="000000"/>
          <w:sz w:val="24"/>
        </w:rPr>
      </w:pPr>
      <w:r>
        <w:rPr>
          <w:b/>
          <w:color w:val="000000"/>
          <w:sz w:val="24"/>
        </w:rPr>
        <w:t>4.1.2</w:t>
      </w:r>
      <w:bookmarkStart w:id="259" w:name="_Toc264985248"/>
      <w:bookmarkStart w:id="260" w:name="_Toc298705393"/>
      <w:bookmarkStart w:id="261" w:name="_Toc303632178"/>
      <w:r>
        <w:rPr>
          <w:b/>
          <w:color w:val="000000"/>
          <w:sz w:val="24"/>
        </w:rPr>
        <w:t xml:space="preserve"> 施工噪声影响分析</w:t>
      </w:r>
      <w:bookmarkEnd w:id="259"/>
      <w:bookmarkEnd w:id="260"/>
      <w:bookmarkEnd w:id="261"/>
    </w:p>
    <w:p>
      <w:pPr>
        <w:topLinePunct/>
        <w:spacing w:line="600" w:lineRule="exact"/>
        <w:rPr>
          <w:color w:val="000000"/>
          <w:sz w:val="24"/>
        </w:rPr>
      </w:pPr>
      <w:bookmarkStart w:id="262" w:name="_Toc375206183"/>
      <w:r>
        <w:rPr>
          <w:color w:val="000000"/>
          <w:sz w:val="24"/>
        </w:rPr>
        <w:t>4.1.2.1施工期噪声种类及源强</w:t>
      </w:r>
    </w:p>
    <w:p>
      <w:pPr>
        <w:topLinePunct/>
        <w:spacing w:line="520" w:lineRule="exact"/>
        <w:ind w:firstLine="480" w:firstLineChars="200"/>
        <w:rPr>
          <w:color w:val="000000"/>
          <w:sz w:val="24"/>
        </w:rPr>
      </w:pPr>
      <w:r>
        <w:rPr>
          <w:color w:val="000000"/>
          <w:sz w:val="24"/>
        </w:rPr>
        <w:t>施工期的噪声主要可分为机械噪声、施工作业噪声和施工车辆噪声。机械噪声主要由施工机械所造成，如挖土机、推土机、振捣棒等，多为点声源；施工作业噪声主要指一些零星的敲打声、装卸车辆的撞击声、吆喝声、拆装模板的撞击声等，多为瞬间噪声；施工车辆的噪声属于交通噪声。在这些施工噪声中对周围声环境影响最大的是机械噪声。主要施工机械的噪声源强见表4-1。</w:t>
      </w:r>
    </w:p>
    <w:p>
      <w:pPr>
        <w:topLinePunct/>
        <w:spacing w:beforeLines="30" w:afterLines="30"/>
        <w:ind w:firstLine="422" w:firstLineChars="200"/>
        <w:jc w:val="center"/>
        <w:rPr>
          <w:b/>
          <w:color w:val="000000"/>
          <w:szCs w:val="21"/>
        </w:rPr>
      </w:pPr>
      <w:r>
        <w:rPr>
          <w:b/>
          <w:color w:val="000000"/>
          <w:szCs w:val="21"/>
        </w:rPr>
        <w:t>表4-1   主要施工机械设备的噪声声级</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0"/>
        <w:gridCol w:w="2757"/>
        <w:gridCol w:w="2274"/>
        <w:gridCol w:w="22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670" w:type="dxa"/>
            <w:shd w:val="clear" w:color="auto" w:fill="FFFFFF"/>
            <w:vAlign w:val="center"/>
          </w:tcPr>
          <w:p>
            <w:pPr>
              <w:topLinePunct/>
              <w:spacing w:line="288" w:lineRule="auto"/>
              <w:jc w:val="center"/>
              <w:rPr>
                <w:b/>
                <w:color w:val="000000"/>
                <w:szCs w:val="21"/>
              </w:rPr>
            </w:pPr>
            <w:r>
              <w:rPr>
                <w:b/>
                <w:color w:val="000000"/>
                <w:szCs w:val="21"/>
              </w:rPr>
              <w:t>序号</w:t>
            </w:r>
          </w:p>
        </w:tc>
        <w:tc>
          <w:tcPr>
            <w:tcW w:w="2757" w:type="dxa"/>
            <w:shd w:val="clear" w:color="auto" w:fill="FFFFFF"/>
            <w:vAlign w:val="center"/>
          </w:tcPr>
          <w:p>
            <w:pPr>
              <w:topLinePunct/>
              <w:spacing w:line="288" w:lineRule="auto"/>
              <w:jc w:val="center"/>
              <w:rPr>
                <w:b/>
                <w:color w:val="000000"/>
                <w:szCs w:val="21"/>
              </w:rPr>
            </w:pPr>
            <w:r>
              <w:rPr>
                <w:b/>
                <w:color w:val="000000"/>
                <w:szCs w:val="21"/>
              </w:rPr>
              <w:t>声源名称</w:t>
            </w:r>
          </w:p>
        </w:tc>
        <w:tc>
          <w:tcPr>
            <w:tcW w:w="2274" w:type="dxa"/>
            <w:shd w:val="clear" w:color="auto" w:fill="FFFFFF"/>
            <w:vAlign w:val="center"/>
          </w:tcPr>
          <w:p>
            <w:pPr>
              <w:topLinePunct/>
              <w:spacing w:line="288" w:lineRule="auto"/>
              <w:jc w:val="center"/>
              <w:rPr>
                <w:b/>
                <w:color w:val="000000"/>
                <w:szCs w:val="21"/>
              </w:rPr>
            </w:pPr>
            <w:r>
              <w:rPr>
                <w:b/>
                <w:color w:val="000000"/>
                <w:szCs w:val="21"/>
              </w:rPr>
              <w:t>噪声级dB(A)</w:t>
            </w:r>
          </w:p>
        </w:tc>
        <w:tc>
          <w:tcPr>
            <w:tcW w:w="2245" w:type="dxa"/>
            <w:shd w:val="clear" w:color="auto" w:fill="FFFFFF"/>
            <w:vAlign w:val="center"/>
          </w:tcPr>
          <w:p>
            <w:pPr>
              <w:topLinePunct/>
              <w:spacing w:line="288" w:lineRule="auto"/>
              <w:jc w:val="center"/>
              <w:rPr>
                <w:b/>
                <w:color w:val="000000"/>
                <w:szCs w:val="21"/>
              </w:rPr>
            </w:pPr>
            <w:r>
              <w:rPr>
                <w:b/>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670" w:type="dxa"/>
            <w:vAlign w:val="center"/>
          </w:tcPr>
          <w:p>
            <w:pPr>
              <w:topLinePunct/>
              <w:spacing w:line="288" w:lineRule="auto"/>
              <w:jc w:val="center"/>
              <w:rPr>
                <w:color w:val="000000"/>
                <w:szCs w:val="21"/>
              </w:rPr>
            </w:pPr>
            <w:r>
              <w:rPr>
                <w:color w:val="000000"/>
                <w:szCs w:val="21"/>
              </w:rPr>
              <w:t>1</w:t>
            </w:r>
          </w:p>
        </w:tc>
        <w:tc>
          <w:tcPr>
            <w:tcW w:w="2757" w:type="dxa"/>
            <w:vAlign w:val="center"/>
          </w:tcPr>
          <w:p>
            <w:pPr>
              <w:topLinePunct/>
              <w:spacing w:line="288" w:lineRule="auto"/>
              <w:jc w:val="center"/>
              <w:rPr>
                <w:color w:val="000000"/>
                <w:szCs w:val="21"/>
              </w:rPr>
            </w:pPr>
            <w:r>
              <w:rPr>
                <w:color w:val="000000"/>
                <w:szCs w:val="21"/>
              </w:rPr>
              <w:t>挖掘机</w:t>
            </w:r>
          </w:p>
        </w:tc>
        <w:tc>
          <w:tcPr>
            <w:tcW w:w="2274" w:type="dxa"/>
            <w:vAlign w:val="center"/>
          </w:tcPr>
          <w:p>
            <w:pPr>
              <w:topLinePunct/>
              <w:spacing w:line="288" w:lineRule="auto"/>
              <w:jc w:val="center"/>
              <w:rPr>
                <w:color w:val="000000"/>
                <w:szCs w:val="21"/>
              </w:rPr>
            </w:pPr>
            <w:r>
              <w:rPr>
                <w:color w:val="000000"/>
                <w:szCs w:val="21"/>
              </w:rPr>
              <w:t>91</w:t>
            </w:r>
          </w:p>
        </w:tc>
        <w:tc>
          <w:tcPr>
            <w:tcW w:w="2245" w:type="dxa"/>
            <w:vAlign w:val="center"/>
          </w:tcPr>
          <w:p>
            <w:pPr>
              <w:topLinePunct/>
              <w:spacing w:line="288" w:lineRule="auto"/>
              <w:jc w:val="center"/>
              <w:rPr>
                <w:color w:val="000000"/>
                <w:szCs w:val="21"/>
              </w:rPr>
            </w:pPr>
            <w:r>
              <w:rPr>
                <w:color w:val="000000"/>
                <w:szCs w:val="21"/>
              </w:rPr>
              <w:t>距声源1m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670" w:type="dxa"/>
            <w:vAlign w:val="center"/>
          </w:tcPr>
          <w:p>
            <w:pPr>
              <w:topLinePunct/>
              <w:spacing w:line="288" w:lineRule="auto"/>
              <w:jc w:val="center"/>
              <w:rPr>
                <w:color w:val="000000"/>
                <w:szCs w:val="21"/>
              </w:rPr>
            </w:pPr>
            <w:r>
              <w:rPr>
                <w:color w:val="000000"/>
                <w:szCs w:val="21"/>
              </w:rPr>
              <w:t>2</w:t>
            </w:r>
          </w:p>
        </w:tc>
        <w:tc>
          <w:tcPr>
            <w:tcW w:w="2757" w:type="dxa"/>
            <w:vAlign w:val="center"/>
          </w:tcPr>
          <w:p>
            <w:pPr>
              <w:topLinePunct/>
              <w:spacing w:line="288" w:lineRule="auto"/>
              <w:jc w:val="center"/>
              <w:rPr>
                <w:color w:val="000000"/>
                <w:szCs w:val="21"/>
              </w:rPr>
            </w:pPr>
            <w:r>
              <w:rPr>
                <w:color w:val="000000"/>
                <w:szCs w:val="21"/>
              </w:rPr>
              <w:t>推土机</w:t>
            </w:r>
          </w:p>
        </w:tc>
        <w:tc>
          <w:tcPr>
            <w:tcW w:w="2274" w:type="dxa"/>
            <w:vAlign w:val="center"/>
          </w:tcPr>
          <w:p>
            <w:pPr>
              <w:topLinePunct/>
              <w:spacing w:line="288" w:lineRule="auto"/>
              <w:jc w:val="center"/>
              <w:rPr>
                <w:color w:val="000000"/>
                <w:szCs w:val="21"/>
              </w:rPr>
            </w:pPr>
            <w:r>
              <w:rPr>
                <w:color w:val="000000"/>
                <w:szCs w:val="21"/>
              </w:rPr>
              <w:t>90</w:t>
            </w:r>
          </w:p>
        </w:tc>
        <w:tc>
          <w:tcPr>
            <w:tcW w:w="2245" w:type="dxa"/>
            <w:vAlign w:val="center"/>
          </w:tcPr>
          <w:p>
            <w:pPr>
              <w:topLinePunct/>
              <w:spacing w:line="288" w:lineRule="auto"/>
              <w:jc w:val="center"/>
              <w:rPr>
                <w:color w:val="000000"/>
                <w:szCs w:val="21"/>
              </w:rPr>
            </w:pPr>
            <w:r>
              <w:rPr>
                <w:color w:val="000000"/>
                <w:szCs w:val="21"/>
              </w:rPr>
              <w:t>距声源1m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670" w:type="dxa"/>
            <w:vAlign w:val="center"/>
          </w:tcPr>
          <w:p>
            <w:pPr>
              <w:topLinePunct/>
              <w:spacing w:line="288" w:lineRule="auto"/>
              <w:jc w:val="center"/>
              <w:rPr>
                <w:color w:val="000000"/>
                <w:szCs w:val="21"/>
              </w:rPr>
            </w:pPr>
            <w:r>
              <w:rPr>
                <w:color w:val="000000"/>
                <w:szCs w:val="21"/>
              </w:rPr>
              <w:t>3</w:t>
            </w:r>
          </w:p>
        </w:tc>
        <w:tc>
          <w:tcPr>
            <w:tcW w:w="2757" w:type="dxa"/>
            <w:vAlign w:val="center"/>
          </w:tcPr>
          <w:p>
            <w:pPr>
              <w:topLinePunct/>
              <w:spacing w:line="288" w:lineRule="auto"/>
              <w:jc w:val="center"/>
              <w:rPr>
                <w:color w:val="000000"/>
                <w:szCs w:val="21"/>
              </w:rPr>
            </w:pPr>
            <w:r>
              <w:rPr>
                <w:color w:val="000000"/>
                <w:szCs w:val="21"/>
              </w:rPr>
              <w:t>振捣棒</w:t>
            </w:r>
          </w:p>
        </w:tc>
        <w:tc>
          <w:tcPr>
            <w:tcW w:w="2274" w:type="dxa"/>
            <w:vAlign w:val="center"/>
          </w:tcPr>
          <w:p>
            <w:pPr>
              <w:topLinePunct/>
              <w:spacing w:line="288" w:lineRule="auto"/>
              <w:jc w:val="center"/>
              <w:rPr>
                <w:color w:val="000000"/>
                <w:szCs w:val="21"/>
              </w:rPr>
            </w:pPr>
            <w:r>
              <w:rPr>
                <w:color w:val="000000"/>
                <w:szCs w:val="21"/>
              </w:rPr>
              <w:t>100</w:t>
            </w:r>
          </w:p>
        </w:tc>
        <w:tc>
          <w:tcPr>
            <w:tcW w:w="2245" w:type="dxa"/>
            <w:vAlign w:val="center"/>
          </w:tcPr>
          <w:p>
            <w:pPr>
              <w:topLinePunct/>
              <w:spacing w:line="288" w:lineRule="auto"/>
              <w:jc w:val="center"/>
              <w:rPr>
                <w:color w:val="000000"/>
                <w:szCs w:val="21"/>
              </w:rPr>
            </w:pPr>
            <w:r>
              <w:rPr>
                <w:color w:val="000000"/>
                <w:szCs w:val="21"/>
              </w:rPr>
              <w:t>距声源1m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670" w:type="dxa"/>
            <w:vAlign w:val="center"/>
          </w:tcPr>
          <w:p>
            <w:pPr>
              <w:topLinePunct/>
              <w:spacing w:line="288" w:lineRule="auto"/>
              <w:jc w:val="center"/>
              <w:rPr>
                <w:color w:val="000000"/>
                <w:szCs w:val="21"/>
              </w:rPr>
            </w:pPr>
            <w:r>
              <w:rPr>
                <w:color w:val="000000"/>
                <w:szCs w:val="21"/>
              </w:rPr>
              <w:t>4</w:t>
            </w:r>
          </w:p>
        </w:tc>
        <w:tc>
          <w:tcPr>
            <w:tcW w:w="2757" w:type="dxa"/>
            <w:vAlign w:val="center"/>
          </w:tcPr>
          <w:p>
            <w:pPr>
              <w:topLinePunct/>
              <w:spacing w:line="288" w:lineRule="auto"/>
              <w:jc w:val="center"/>
              <w:rPr>
                <w:color w:val="000000"/>
                <w:szCs w:val="21"/>
              </w:rPr>
            </w:pPr>
            <w:r>
              <w:rPr>
                <w:color w:val="000000"/>
                <w:szCs w:val="21"/>
              </w:rPr>
              <w:t>切割机</w:t>
            </w:r>
          </w:p>
        </w:tc>
        <w:tc>
          <w:tcPr>
            <w:tcW w:w="2274" w:type="dxa"/>
            <w:vAlign w:val="center"/>
          </w:tcPr>
          <w:p>
            <w:pPr>
              <w:topLinePunct/>
              <w:spacing w:line="288" w:lineRule="auto"/>
              <w:jc w:val="center"/>
              <w:rPr>
                <w:color w:val="000000"/>
                <w:szCs w:val="21"/>
              </w:rPr>
            </w:pPr>
            <w:r>
              <w:rPr>
                <w:color w:val="000000"/>
                <w:szCs w:val="21"/>
              </w:rPr>
              <w:t>95</w:t>
            </w:r>
          </w:p>
        </w:tc>
        <w:tc>
          <w:tcPr>
            <w:tcW w:w="2245" w:type="dxa"/>
            <w:vAlign w:val="center"/>
          </w:tcPr>
          <w:p>
            <w:pPr>
              <w:topLinePunct/>
              <w:spacing w:line="288" w:lineRule="auto"/>
              <w:jc w:val="center"/>
              <w:rPr>
                <w:color w:val="000000"/>
                <w:szCs w:val="21"/>
              </w:rPr>
            </w:pPr>
            <w:r>
              <w:rPr>
                <w:color w:val="000000"/>
                <w:szCs w:val="21"/>
              </w:rPr>
              <w:t>距声源1m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670" w:type="dxa"/>
            <w:vAlign w:val="center"/>
          </w:tcPr>
          <w:p>
            <w:pPr>
              <w:topLinePunct/>
              <w:spacing w:line="288" w:lineRule="auto"/>
              <w:jc w:val="center"/>
              <w:rPr>
                <w:color w:val="000000"/>
                <w:szCs w:val="21"/>
              </w:rPr>
            </w:pPr>
            <w:r>
              <w:rPr>
                <w:color w:val="000000"/>
                <w:szCs w:val="21"/>
              </w:rPr>
              <w:t>5</w:t>
            </w:r>
          </w:p>
        </w:tc>
        <w:tc>
          <w:tcPr>
            <w:tcW w:w="2757" w:type="dxa"/>
            <w:vAlign w:val="center"/>
          </w:tcPr>
          <w:p>
            <w:pPr>
              <w:topLinePunct/>
              <w:spacing w:line="288" w:lineRule="auto"/>
              <w:jc w:val="center"/>
              <w:rPr>
                <w:color w:val="000000"/>
                <w:szCs w:val="21"/>
              </w:rPr>
            </w:pPr>
            <w:r>
              <w:rPr>
                <w:color w:val="000000"/>
                <w:szCs w:val="21"/>
              </w:rPr>
              <w:t>电钻</w:t>
            </w:r>
          </w:p>
        </w:tc>
        <w:tc>
          <w:tcPr>
            <w:tcW w:w="2274" w:type="dxa"/>
            <w:vAlign w:val="center"/>
          </w:tcPr>
          <w:p>
            <w:pPr>
              <w:topLinePunct/>
              <w:spacing w:line="288" w:lineRule="auto"/>
              <w:jc w:val="center"/>
              <w:rPr>
                <w:color w:val="000000"/>
                <w:szCs w:val="21"/>
              </w:rPr>
            </w:pPr>
            <w:r>
              <w:rPr>
                <w:color w:val="000000"/>
                <w:szCs w:val="21"/>
              </w:rPr>
              <w:t>92</w:t>
            </w:r>
          </w:p>
        </w:tc>
        <w:tc>
          <w:tcPr>
            <w:tcW w:w="2245" w:type="dxa"/>
            <w:vAlign w:val="center"/>
          </w:tcPr>
          <w:p>
            <w:pPr>
              <w:topLinePunct/>
              <w:spacing w:line="288" w:lineRule="auto"/>
              <w:jc w:val="center"/>
              <w:rPr>
                <w:color w:val="000000"/>
                <w:szCs w:val="21"/>
              </w:rPr>
            </w:pPr>
            <w:r>
              <w:rPr>
                <w:color w:val="000000"/>
                <w:szCs w:val="21"/>
              </w:rPr>
              <w:t>距声源1m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670" w:type="dxa"/>
            <w:vAlign w:val="center"/>
          </w:tcPr>
          <w:p>
            <w:pPr>
              <w:topLinePunct/>
              <w:spacing w:line="288" w:lineRule="auto"/>
              <w:jc w:val="center"/>
              <w:rPr>
                <w:color w:val="000000"/>
                <w:szCs w:val="21"/>
              </w:rPr>
            </w:pPr>
            <w:r>
              <w:rPr>
                <w:color w:val="000000"/>
                <w:szCs w:val="21"/>
              </w:rPr>
              <w:t>6</w:t>
            </w:r>
          </w:p>
        </w:tc>
        <w:tc>
          <w:tcPr>
            <w:tcW w:w="2757" w:type="dxa"/>
            <w:vAlign w:val="center"/>
          </w:tcPr>
          <w:p>
            <w:pPr>
              <w:topLinePunct/>
              <w:spacing w:line="288" w:lineRule="auto"/>
              <w:jc w:val="center"/>
              <w:rPr>
                <w:color w:val="000000"/>
                <w:szCs w:val="21"/>
              </w:rPr>
            </w:pPr>
            <w:r>
              <w:rPr>
                <w:color w:val="000000"/>
                <w:szCs w:val="21"/>
              </w:rPr>
              <w:t>吊车</w:t>
            </w:r>
          </w:p>
        </w:tc>
        <w:tc>
          <w:tcPr>
            <w:tcW w:w="2274" w:type="dxa"/>
            <w:vAlign w:val="center"/>
          </w:tcPr>
          <w:p>
            <w:pPr>
              <w:topLinePunct/>
              <w:spacing w:line="288" w:lineRule="auto"/>
              <w:jc w:val="center"/>
              <w:rPr>
                <w:color w:val="000000"/>
                <w:szCs w:val="21"/>
              </w:rPr>
            </w:pPr>
            <w:r>
              <w:rPr>
                <w:color w:val="000000"/>
                <w:szCs w:val="21"/>
              </w:rPr>
              <w:t>85</w:t>
            </w:r>
          </w:p>
        </w:tc>
        <w:tc>
          <w:tcPr>
            <w:tcW w:w="2245" w:type="dxa"/>
            <w:vAlign w:val="center"/>
          </w:tcPr>
          <w:p>
            <w:pPr>
              <w:topLinePunct/>
              <w:spacing w:line="288" w:lineRule="auto"/>
              <w:jc w:val="center"/>
              <w:rPr>
                <w:color w:val="000000"/>
                <w:szCs w:val="21"/>
              </w:rPr>
            </w:pPr>
            <w:r>
              <w:rPr>
                <w:color w:val="000000"/>
                <w:szCs w:val="21"/>
              </w:rPr>
              <w:t>距声源1m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670" w:type="dxa"/>
            <w:vAlign w:val="center"/>
          </w:tcPr>
          <w:p>
            <w:pPr>
              <w:topLinePunct/>
              <w:spacing w:line="288" w:lineRule="auto"/>
              <w:jc w:val="center"/>
              <w:rPr>
                <w:color w:val="000000"/>
                <w:szCs w:val="21"/>
              </w:rPr>
            </w:pPr>
            <w:r>
              <w:rPr>
                <w:color w:val="000000"/>
                <w:szCs w:val="21"/>
              </w:rPr>
              <w:t>7</w:t>
            </w:r>
          </w:p>
        </w:tc>
        <w:tc>
          <w:tcPr>
            <w:tcW w:w="2757" w:type="dxa"/>
            <w:vAlign w:val="center"/>
          </w:tcPr>
          <w:p>
            <w:pPr>
              <w:topLinePunct/>
              <w:spacing w:line="288" w:lineRule="auto"/>
              <w:jc w:val="center"/>
              <w:rPr>
                <w:color w:val="000000"/>
                <w:szCs w:val="21"/>
              </w:rPr>
            </w:pPr>
            <w:r>
              <w:rPr>
                <w:color w:val="000000"/>
                <w:szCs w:val="21"/>
              </w:rPr>
              <w:t>载重汽车</w:t>
            </w:r>
          </w:p>
        </w:tc>
        <w:tc>
          <w:tcPr>
            <w:tcW w:w="2274" w:type="dxa"/>
            <w:vAlign w:val="center"/>
          </w:tcPr>
          <w:p>
            <w:pPr>
              <w:topLinePunct/>
              <w:spacing w:line="288" w:lineRule="auto"/>
              <w:jc w:val="center"/>
              <w:rPr>
                <w:color w:val="000000"/>
                <w:szCs w:val="21"/>
              </w:rPr>
            </w:pPr>
            <w:r>
              <w:rPr>
                <w:color w:val="000000"/>
                <w:szCs w:val="21"/>
              </w:rPr>
              <w:t>85</w:t>
            </w:r>
          </w:p>
        </w:tc>
        <w:tc>
          <w:tcPr>
            <w:tcW w:w="2245" w:type="dxa"/>
            <w:vAlign w:val="center"/>
          </w:tcPr>
          <w:p>
            <w:pPr>
              <w:topLinePunct/>
              <w:spacing w:line="288" w:lineRule="auto"/>
              <w:jc w:val="center"/>
              <w:rPr>
                <w:color w:val="000000"/>
                <w:szCs w:val="21"/>
              </w:rPr>
            </w:pPr>
            <w:r>
              <w:rPr>
                <w:color w:val="000000"/>
                <w:szCs w:val="21"/>
              </w:rPr>
              <w:t>距声源1m</w:t>
            </w:r>
          </w:p>
        </w:tc>
      </w:tr>
    </w:tbl>
    <w:p>
      <w:pPr>
        <w:topLinePunct/>
        <w:spacing w:line="500" w:lineRule="exact"/>
        <w:ind w:firstLine="480" w:firstLineChars="200"/>
        <w:rPr>
          <w:color w:val="000000"/>
          <w:sz w:val="24"/>
        </w:rPr>
      </w:pPr>
      <w:r>
        <w:rPr>
          <w:color w:val="000000"/>
          <w:sz w:val="24"/>
        </w:rPr>
        <w:t>施工期间施工机械产生的噪声对环境的影响可采用点源预测模式计算，</w:t>
      </w:r>
      <w:r>
        <w:rPr>
          <w:color w:val="000000"/>
          <w:sz w:val="24"/>
          <w:lang w:val="zh-CN"/>
        </w:rPr>
        <w:t>预测公式噪声传播衰减模式为：</w:t>
      </w:r>
    </w:p>
    <w:p>
      <w:pPr>
        <w:topLinePunct/>
        <w:autoSpaceDE w:val="0"/>
        <w:adjustRightInd w:val="0"/>
        <w:spacing w:line="500" w:lineRule="exact"/>
        <w:ind w:firstLine="840"/>
        <w:rPr>
          <w:color w:val="000000"/>
          <w:sz w:val="24"/>
          <w:lang w:val="pt-PT"/>
        </w:rPr>
      </w:pPr>
      <w:r>
        <w:rPr>
          <w:color w:val="000000"/>
          <w:sz w:val="24"/>
          <w:lang w:val="pt-PT"/>
        </w:rPr>
        <w:t>L</w:t>
      </w:r>
      <w:r>
        <w:rPr>
          <w:color w:val="000000"/>
          <w:sz w:val="24"/>
          <w:vertAlign w:val="subscript"/>
          <w:lang w:val="pt-PT"/>
        </w:rPr>
        <w:t>A</w:t>
      </w:r>
      <w:r>
        <w:rPr>
          <w:color w:val="000000"/>
          <w:sz w:val="24"/>
          <w:lang w:val="pt-PT"/>
        </w:rPr>
        <w:t>(r)=L</w:t>
      </w:r>
      <w:r>
        <w:rPr>
          <w:color w:val="000000"/>
          <w:sz w:val="24"/>
          <w:vertAlign w:val="subscript"/>
          <w:lang w:val="pt-PT"/>
        </w:rPr>
        <w:t>A</w:t>
      </w:r>
      <w:r>
        <w:rPr>
          <w:color w:val="000000"/>
          <w:sz w:val="24"/>
          <w:lang w:val="pt-PT"/>
        </w:rPr>
        <w:t>(r</w:t>
      </w:r>
      <w:r>
        <w:rPr>
          <w:color w:val="000000"/>
          <w:sz w:val="24"/>
          <w:vertAlign w:val="subscript"/>
          <w:lang w:val="pt-PT"/>
        </w:rPr>
        <w:t>0</w:t>
      </w:r>
      <w:r>
        <w:rPr>
          <w:color w:val="000000"/>
          <w:sz w:val="24"/>
          <w:lang w:val="pt-PT"/>
        </w:rPr>
        <w:t>)-20lg(r/r</w:t>
      </w:r>
      <w:r>
        <w:rPr>
          <w:color w:val="000000"/>
          <w:sz w:val="24"/>
          <w:vertAlign w:val="subscript"/>
          <w:lang w:val="pt-PT"/>
        </w:rPr>
        <w:t>0</w:t>
      </w:r>
      <w:r>
        <w:rPr>
          <w:color w:val="000000"/>
          <w:sz w:val="24"/>
          <w:lang w:val="pt-PT"/>
        </w:rPr>
        <w:t>)</w:t>
      </w:r>
    </w:p>
    <w:p>
      <w:pPr>
        <w:topLinePunct/>
        <w:autoSpaceDE w:val="0"/>
        <w:adjustRightInd w:val="0"/>
        <w:spacing w:line="500" w:lineRule="exact"/>
        <w:ind w:firstLine="480" w:firstLineChars="200"/>
        <w:rPr>
          <w:color w:val="000000"/>
          <w:sz w:val="24"/>
          <w:lang w:val="pt-PT"/>
        </w:rPr>
      </w:pPr>
      <w:r>
        <w:rPr>
          <w:color w:val="000000"/>
          <w:sz w:val="24"/>
          <w:lang w:val="zh-CN"/>
        </w:rPr>
        <w:t>式中</w:t>
      </w:r>
      <w:r>
        <w:rPr>
          <w:color w:val="000000"/>
          <w:sz w:val="24"/>
          <w:lang w:val="pt-PT"/>
        </w:rPr>
        <w:t>：L</w:t>
      </w:r>
      <w:r>
        <w:rPr>
          <w:color w:val="000000"/>
          <w:sz w:val="24"/>
          <w:vertAlign w:val="subscript"/>
          <w:lang w:val="pt-PT"/>
        </w:rPr>
        <w:t>A</w:t>
      </w:r>
      <w:r>
        <w:rPr>
          <w:color w:val="000000"/>
          <w:sz w:val="24"/>
          <w:lang w:val="pt-PT"/>
        </w:rPr>
        <w:t>(r)-</w:t>
      </w:r>
      <w:r>
        <w:rPr>
          <w:color w:val="000000"/>
          <w:sz w:val="24"/>
          <w:lang w:val="zh-CN"/>
        </w:rPr>
        <w:t>距声源</w:t>
      </w:r>
      <w:r>
        <w:rPr>
          <w:color w:val="000000"/>
          <w:sz w:val="24"/>
          <w:lang w:val="pt-PT"/>
        </w:rPr>
        <w:t>r</w:t>
      </w:r>
      <w:r>
        <w:rPr>
          <w:color w:val="000000"/>
          <w:sz w:val="24"/>
          <w:lang w:val="zh-CN"/>
        </w:rPr>
        <w:t>处的</w:t>
      </w:r>
      <w:r>
        <w:rPr>
          <w:color w:val="000000"/>
          <w:sz w:val="24"/>
          <w:lang w:val="pt-PT"/>
        </w:rPr>
        <w:t>A</w:t>
      </w:r>
      <w:r>
        <w:rPr>
          <w:color w:val="000000"/>
          <w:sz w:val="24"/>
          <w:lang w:val="zh-CN"/>
        </w:rPr>
        <w:t>声级</w:t>
      </w:r>
      <w:r>
        <w:rPr>
          <w:color w:val="000000"/>
          <w:sz w:val="24"/>
          <w:lang w:val="pt-PT"/>
        </w:rPr>
        <w:t>，dB(A)</w:t>
      </w:r>
    </w:p>
    <w:p>
      <w:pPr>
        <w:topLinePunct/>
        <w:autoSpaceDE w:val="0"/>
        <w:adjustRightInd w:val="0"/>
        <w:spacing w:line="500" w:lineRule="exact"/>
        <w:ind w:firstLine="480"/>
        <w:rPr>
          <w:color w:val="000000"/>
          <w:sz w:val="24"/>
          <w:lang w:val="pt-PT"/>
        </w:rPr>
      </w:pPr>
      <w:r>
        <w:rPr>
          <w:color w:val="000000"/>
          <w:sz w:val="24"/>
          <w:lang w:val="pt-PT"/>
        </w:rPr>
        <w:t xml:space="preserve">      L</w:t>
      </w:r>
      <w:r>
        <w:rPr>
          <w:color w:val="000000"/>
          <w:sz w:val="24"/>
          <w:vertAlign w:val="subscript"/>
          <w:lang w:val="pt-PT"/>
        </w:rPr>
        <w:t>A</w:t>
      </w:r>
      <w:r>
        <w:rPr>
          <w:color w:val="000000"/>
          <w:sz w:val="24"/>
          <w:lang w:val="pt-PT"/>
        </w:rPr>
        <w:t>(r</w:t>
      </w:r>
      <w:r>
        <w:rPr>
          <w:color w:val="000000"/>
          <w:sz w:val="24"/>
          <w:vertAlign w:val="subscript"/>
          <w:lang w:val="pt-PT"/>
        </w:rPr>
        <w:t>0</w:t>
      </w:r>
      <w:r>
        <w:rPr>
          <w:color w:val="000000"/>
          <w:sz w:val="24"/>
          <w:lang w:val="pt-PT"/>
        </w:rPr>
        <w:t>)-</w:t>
      </w:r>
      <w:r>
        <w:rPr>
          <w:color w:val="000000"/>
          <w:sz w:val="24"/>
          <w:lang w:val="zh-CN"/>
        </w:rPr>
        <w:t>距声源</w:t>
      </w:r>
      <w:r>
        <w:rPr>
          <w:color w:val="000000"/>
          <w:sz w:val="24"/>
          <w:lang w:val="pt-PT"/>
        </w:rPr>
        <w:t>r</w:t>
      </w:r>
      <w:r>
        <w:rPr>
          <w:color w:val="000000"/>
          <w:sz w:val="24"/>
          <w:vertAlign w:val="subscript"/>
          <w:lang w:val="pt-PT"/>
        </w:rPr>
        <w:t>0</w:t>
      </w:r>
      <w:r>
        <w:rPr>
          <w:color w:val="000000"/>
          <w:sz w:val="24"/>
          <w:lang w:val="zh-CN"/>
        </w:rPr>
        <w:t>处的</w:t>
      </w:r>
      <w:r>
        <w:rPr>
          <w:color w:val="000000"/>
          <w:sz w:val="24"/>
          <w:lang w:val="pt-PT"/>
        </w:rPr>
        <w:t>A</w:t>
      </w:r>
      <w:r>
        <w:rPr>
          <w:color w:val="000000"/>
          <w:sz w:val="24"/>
          <w:lang w:val="zh-CN"/>
        </w:rPr>
        <w:t>声级</w:t>
      </w:r>
      <w:r>
        <w:rPr>
          <w:color w:val="000000"/>
          <w:sz w:val="24"/>
          <w:lang w:val="pt-PT"/>
        </w:rPr>
        <w:t>，dB(A)</w:t>
      </w:r>
    </w:p>
    <w:p>
      <w:pPr>
        <w:topLinePunct/>
        <w:autoSpaceDE w:val="0"/>
        <w:adjustRightInd w:val="0"/>
        <w:spacing w:line="500" w:lineRule="exact"/>
        <w:ind w:firstLine="480"/>
        <w:rPr>
          <w:color w:val="000000"/>
          <w:sz w:val="24"/>
        </w:rPr>
      </w:pPr>
      <w:r>
        <w:rPr>
          <w:color w:val="000000"/>
          <w:sz w:val="24"/>
        </w:rPr>
        <w:t>r-</w:t>
      </w:r>
      <w:r>
        <w:rPr>
          <w:color w:val="000000"/>
          <w:sz w:val="24"/>
          <w:lang w:val="zh-CN"/>
        </w:rPr>
        <w:t>预测点距噪声源距离，</w:t>
      </w:r>
      <w:r>
        <w:rPr>
          <w:color w:val="000000"/>
          <w:sz w:val="24"/>
        </w:rPr>
        <w:t>m</w:t>
      </w:r>
    </w:p>
    <w:p>
      <w:pPr>
        <w:topLinePunct/>
        <w:autoSpaceDE w:val="0"/>
        <w:adjustRightInd w:val="0"/>
        <w:spacing w:line="500" w:lineRule="exact"/>
        <w:ind w:firstLine="480"/>
        <w:rPr>
          <w:color w:val="000000"/>
          <w:sz w:val="24"/>
        </w:rPr>
      </w:pPr>
      <w:r>
        <w:rPr>
          <w:color w:val="000000"/>
          <w:sz w:val="24"/>
        </w:rPr>
        <w:t xml:space="preserve">      r</w:t>
      </w:r>
      <w:r>
        <w:rPr>
          <w:color w:val="000000"/>
          <w:sz w:val="24"/>
          <w:vertAlign w:val="subscript"/>
        </w:rPr>
        <w:t>0</w:t>
      </w:r>
      <w:r>
        <w:rPr>
          <w:color w:val="000000"/>
          <w:sz w:val="24"/>
        </w:rPr>
        <w:t>-</w:t>
      </w:r>
      <w:r>
        <w:rPr>
          <w:color w:val="000000"/>
          <w:sz w:val="24"/>
          <w:lang w:val="zh-CN"/>
        </w:rPr>
        <w:t>距噪声源的参照距离，</w:t>
      </w:r>
      <w:r>
        <w:rPr>
          <w:color w:val="000000"/>
          <w:sz w:val="24"/>
        </w:rPr>
        <w:t>m</w:t>
      </w:r>
    </w:p>
    <w:p>
      <w:pPr>
        <w:topLinePunct/>
        <w:autoSpaceDE w:val="0"/>
        <w:adjustRightInd w:val="0"/>
        <w:spacing w:line="500" w:lineRule="exact"/>
        <w:ind w:firstLine="480" w:firstLineChars="200"/>
        <w:rPr>
          <w:color w:val="000000"/>
          <w:sz w:val="24"/>
        </w:rPr>
      </w:pPr>
      <w:r>
        <w:rPr>
          <w:color w:val="000000"/>
          <w:sz w:val="24"/>
        </w:rPr>
        <w:t>主要施工机械噪声随距离的衰减情况见表4-2。</w:t>
      </w:r>
    </w:p>
    <w:p>
      <w:pPr>
        <w:topLinePunct/>
        <w:spacing w:line="600" w:lineRule="exact"/>
        <w:jc w:val="center"/>
        <w:rPr>
          <w:b/>
          <w:color w:val="000000"/>
          <w:szCs w:val="21"/>
        </w:rPr>
      </w:pPr>
      <w:r>
        <w:rPr>
          <w:b/>
          <w:color w:val="000000"/>
          <w:szCs w:val="21"/>
        </w:rPr>
        <w:t>表4-2    本项目施工期噪声源强及达标情况一览表单位：dB（A）</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66"/>
        <w:gridCol w:w="2743"/>
        <w:gridCol w:w="1750"/>
        <w:gridCol w:w="16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766" w:type="dxa"/>
            <w:vMerge w:val="restart"/>
            <w:vAlign w:val="center"/>
          </w:tcPr>
          <w:p>
            <w:pPr>
              <w:topLinePunct/>
              <w:jc w:val="center"/>
              <w:rPr>
                <w:b/>
                <w:color w:val="000000"/>
                <w:szCs w:val="21"/>
              </w:rPr>
            </w:pPr>
            <w:r>
              <w:rPr>
                <w:b/>
                <w:color w:val="000000"/>
                <w:szCs w:val="21"/>
              </w:rPr>
              <w:t>噪声设备</w:t>
            </w:r>
          </w:p>
        </w:tc>
        <w:tc>
          <w:tcPr>
            <w:tcW w:w="2743" w:type="dxa"/>
            <w:vMerge w:val="restart"/>
            <w:vAlign w:val="center"/>
          </w:tcPr>
          <w:p>
            <w:pPr>
              <w:topLinePunct/>
              <w:jc w:val="center"/>
              <w:rPr>
                <w:b/>
                <w:color w:val="000000"/>
                <w:szCs w:val="21"/>
              </w:rPr>
            </w:pPr>
            <w:r>
              <w:rPr>
                <w:b/>
                <w:color w:val="000000"/>
                <w:szCs w:val="21"/>
              </w:rPr>
              <w:t>设备噪声源强dB（A）</w:t>
            </w:r>
          </w:p>
        </w:tc>
        <w:tc>
          <w:tcPr>
            <w:tcW w:w="3437" w:type="dxa"/>
            <w:gridSpan w:val="2"/>
            <w:tcBorders>
              <w:bottom w:val="single" w:color="auto" w:sz="4" w:space="0"/>
            </w:tcBorders>
            <w:vAlign w:val="center"/>
          </w:tcPr>
          <w:p>
            <w:pPr>
              <w:topLinePunct/>
              <w:jc w:val="center"/>
              <w:rPr>
                <w:b/>
                <w:color w:val="000000"/>
                <w:szCs w:val="21"/>
              </w:rPr>
            </w:pPr>
            <w:r>
              <w:rPr>
                <w:b/>
                <w:color w:val="000000"/>
                <w:szCs w:val="21"/>
              </w:rPr>
              <w:t>达标距离m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766" w:type="dxa"/>
            <w:vMerge w:val="continue"/>
            <w:vAlign w:val="center"/>
          </w:tcPr>
          <w:p>
            <w:pPr>
              <w:topLinePunct/>
              <w:jc w:val="center"/>
              <w:rPr>
                <w:b/>
                <w:color w:val="000000"/>
                <w:szCs w:val="21"/>
              </w:rPr>
            </w:pPr>
          </w:p>
        </w:tc>
        <w:tc>
          <w:tcPr>
            <w:tcW w:w="2743" w:type="dxa"/>
            <w:vMerge w:val="continue"/>
            <w:tcBorders>
              <w:bottom w:val="single" w:color="auto" w:sz="4" w:space="0"/>
            </w:tcBorders>
            <w:vAlign w:val="center"/>
          </w:tcPr>
          <w:p>
            <w:pPr>
              <w:topLinePunct/>
              <w:jc w:val="center"/>
              <w:rPr>
                <w:b/>
                <w:color w:val="000000"/>
                <w:szCs w:val="21"/>
              </w:rPr>
            </w:pPr>
          </w:p>
        </w:tc>
        <w:tc>
          <w:tcPr>
            <w:tcW w:w="1750" w:type="dxa"/>
            <w:tcBorders>
              <w:bottom w:val="single" w:color="auto" w:sz="4" w:space="0"/>
            </w:tcBorders>
            <w:vAlign w:val="center"/>
          </w:tcPr>
          <w:p>
            <w:pPr>
              <w:topLinePunct/>
              <w:jc w:val="center"/>
              <w:rPr>
                <w:b/>
                <w:color w:val="000000"/>
                <w:szCs w:val="21"/>
              </w:rPr>
            </w:pPr>
            <w:r>
              <w:rPr>
                <w:b/>
                <w:color w:val="000000"/>
                <w:szCs w:val="21"/>
              </w:rPr>
              <w:t>昼间</w:t>
            </w:r>
          </w:p>
        </w:tc>
        <w:tc>
          <w:tcPr>
            <w:tcW w:w="1687" w:type="dxa"/>
            <w:tcBorders>
              <w:bottom w:val="single" w:color="auto" w:sz="4" w:space="0"/>
            </w:tcBorders>
            <w:vAlign w:val="center"/>
          </w:tcPr>
          <w:p>
            <w:pPr>
              <w:topLinePunct/>
              <w:jc w:val="center"/>
              <w:rPr>
                <w:b/>
                <w:color w:val="000000"/>
                <w:szCs w:val="21"/>
              </w:rPr>
            </w:pPr>
            <w:r>
              <w:rPr>
                <w:b/>
                <w:color w:val="000000"/>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766" w:type="dxa"/>
            <w:vAlign w:val="center"/>
          </w:tcPr>
          <w:p>
            <w:pPr>
              <w:topLinePunct/>
              <w:jc w:val="center"/>
              <w:rPr>
                <w:color w:val="000000"/>
                <w:szCs w:val="21"/>
              </w:rPr>
            </w:pPr>
            <w:r>
              <w:rPr>
                <w:color w:val="000000"/>
                <w:szCs w:val="21"/>
              </w:rPr>
              <w:t>挖掘机</w:t>
            </w:r>
          </w:p>
        </w:tc>
        <w:tc>
          <w:tcPr>
            <w:tcW w:w="2743" w:type="dxa"/>
            <w:vAlign w:val="center"/>
          </w:tcPr>
          <w:p>
            <w:pPr>
              <w:topLinePunct/>
              <w:jc w:val="center"/>
              <w:rPr>
                <w:color w:val="000000"/>
                <w:szCs w:val="21"/>
              </w:rPr>
            </w:pPr>
            <w:r>
              <w:rPr>
                <w:color w:val="000000"/>
                <w:szCs w:val="21"/>
              </w:rPr>
              <w:t>91</w:t>
            </w:r>
          </w:p>
        </w:tc>
        <w:tc>
          <w:tcPr>
            <w:tcW w:w="1750" w:type="dxa"/>
            <w:vAlign w:val="center"/>
          </w:tcPr>
          <w:p>
            <w:pPr>
              <w:topLinePunct/>
              <w:jc w:val="center"/>
              <w:rPr>
                <w:color w:val="000000"/>
                <w:szCs w:val="21"/>
              </w:rPr>
            </w:pPr>
            <w:r>
              <w:rPr>
                <w:color w:val="000000"/>
                <w:szCs w:val="21"/>
              </w:rPr>
              <w:t>11</w:t>
            </w:r>
          </w:p>
        </w:tc>
        <w:tc>
          <w:tcPr>
            <w:tcW w:w="1687" w:type="dxa"/>
            <w:vAlign w:val="center"/>
          </w:tcPr>
          <w:p>
            <w:pPr>
              <w:topLinePunct/>
              <w:jc w:val="center"/>
              <w:rPr>
                <w:color w:val="000000"/>
                <w:szCs w:val="21"/>
              </w:rPr>
            </w:pPr>
            <w:r>
              <w:rPr>
                <w:color w:val="000000"/>
                <w:szCs w:val="21"/>
              </w:rPr>
              <w:t>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766" w:type="dxa"/>
            <w:vAlign w:val="center"/>
          </w:tcPr>
          <w:p>
            <w:pPr>
              <w:topLinePunct/>
              <w:jc w:val="center"/>
              <w:rPr>
                <w:color w:val="000000"/>
                <w:szCs w:val="21"/>
              </w:rPr>
            </w:pPr>
            <w:r>
              <w:rPr>
                <w:color w:val="000000"/>
                <w:szCs w:val="21"/>
              </w:rPr>
              <w:t>推土机</w:t>
            </w:r>
          </w:p>
        </w:tc>
        <w:tc>
          <w:tcPr>
            <w:tcW w:w="2743" w:type="dxa"/>
            <w:vAlign w:val="center"/>
          </w:tcPr>
          <w:p>
            <w:pPr>
              <w:topLinePunct/>
              <w:jc w:val="center"/>
              <w:rPr>
                <w:color w:val="000000"/>
                <w:szCs w:val="21"/>
              </w:rPr>
            </w:pPr>
            <w:r>
              <w:rPr>
                <w:color w:val="000000"/>
                <w:szCs w:val="21"/>
              </w:rPr>
              <w:t>90</w:t>
            </w:r>
          </w:p>
        </w:tc>
        <w:tc>
          <w:tcPr>
            <w:tcW w:w="1750" w:type="dxa"/>
            <w:vAlign w:val="center"/>
          </w:tcPr>
          <w:p>
            <w:pPr>
              <w:topLinePunct/>
              <w:jc w:val="center"/>
              <w:rPr>
                <w:color w:val="000000"/>
                <w:szCs w:val="21"/>
              </w:rPr>
            </w:pPr>
            <w:r>
              <w:rPr>
                <w:color w:val="000000"/>
                <w:szCs w:val="21"/>
              </w:rPr>
              <w:t>10</w:t>
            </w:r>
          </w:p>
        </w:tc>
        <w:tc>
          <w:tcPr>
            <w:tcW w:w="1687" w:type="dxa"/>
            <w:vAlign w:val="center"/>
          </w:tcPr>
          <w:p>
            <w:pPr>
              <w:topLinePunct/>
              <w:jc w:val="center"/>
              <w:rPr>
                <w:color w:val="000000"/>
                <w:szCs w:val="21"/>
              </w:rPr>
            </w:pPr>
            <w:r>
              <w:rPr>
                <w:color w:val="000000"/>
                <w:szCs w:val="21"/>
              </w:rPr>
              <w:t>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766" w:type="dxa"/>
            <w:vAlign w:val="center"/>
          </w:tcPr>
          <w:p>
            <w:pPr>
              <w:topLinePunct/>
              <w:jc w:val="center"/>
              <w:rPr>
                <w:color w:val="000000"/>
                <w:szCs w:val="21"/>
              </w:rPr>
            </w:pPr>
            <w:r>
              <w:rPr>
                <w:color w:val="000000"/>
                <w:szCs w:val="21"/>
              </w:rPr>
              <w:t>振捣棒</w:t>
            </w:r>
          </w:p>
        </w:tc>
        <w:tc>
          <w:tcPr>
            <w:tcW w:w="2743" w:type="dxa"/>
            <w:vAlign w:val="center"/>
          </w:tcPr>
          <w:p>
            <w:pPr>
              <w:topLinePunct/>
              <w:jc w:val="center"/>
              <w:rPr>
                <w:color w:val="000000"/>
                <w:szCs w:val="21"/>
              </w:rPr>
            </w:pPr>
            <w:r>
              <w:rPr>
                <w:color w:val="000000"/>
                <w:szCs w:val="21"/>
              </w:rPr>
              <w:t>100</w:t>
            </w:r>
          </w:p>
        </w:tc>
        <w:tc>
          <w:tcPr>
            <w:tcW w:w="1750" w:type="dxa"/>
            <w:vAlign w:val="center"/>
          </w:tcPr>
          <w:p>
            <w:pPr>
              <w:topLinePunct/>
              <w:jc w:val="center"/>
              <w:rPr>
                <w:color w:val="000000"/>
                <w:szCs w:val="21"/>
              </w:rPr>
            </w:pPr>
            <w:r>
              <w:rPr>
                <w:color w:val="000000"/>
                <w:szCs w:val="21"/>
              </w:rPr>
              <w:t>31.6</w:t>
            </w:r>
          </w:p>
        </w:tc>
        <w:tc>
          <w:tcPr>
            <w:tcW w:w="1687" w:type="dxa"/>
            <w:vAlign w:val="center"/>
          </w:tcPr>
          <w:p>
            <w:pPr>
              <w:topLinePunct/>
              <w:jc w:val="center"/>
              <w:rPr>
                <w:color w:val="000000"/>
                <w:szCs w:val="21"/>
              </w:rPr>
            </w:pPr>
            <w:r>
              <w:rPr>
                <w:color w:val="000000"/>
                <w:szCs w:val="21"/>
              </w:rPr>
              <w:t>177.8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766" w:type="dxa"/>
            <w:vAlign w:val="center"/>
          </w:tcPr>
          <w:p>
            <w:pPr>
              <w:topLinePunct/>
              <w:jc w:val="center"/>
              <w:rPr>
                <w:color w:val="000000"/>
                <w:szCs w:val="21"/>
              </w:rPr>
            </w:pPr>
            <w:r>
              <w:rPr>
                <w:color w:val="000000"/>
                <w:szCs w:val="21"/>
              </w:rPr>
              <w:t>切割机</w:t>
            </w:r>
          </w:p>
        </w:tc>
        <w:tc>
          <w:tcPr>
            <w:tcW w:w="2743" w:type="dxa"/>
            <w:vAlign w:val="center"/>
          </w:tcPr>
          <w:p>
            <w:pPr>
              <w:topLinePunct/>
              <w:jc w:val="center"/>
              <w:rPr>
                <w:color w:val="000000"/>
                <w:szCs w:val="21"/>
              </w:rPr>
            </w:pPr>
            <w:r>
              <w:rPr>
                <w:color w:val="000000"/>
                <w:szCs w:val="21"/>
              </w:rPr>
              <w:t>95</w:t>
            </w:r>
          </w:p>
        </w:tc>
        <w:tc>
          <w:tcPr>
            <w:tcW w:w="1750" w:type="dxa"/>
            <w:vAlign w:val="center"/>
          </w:tcPr>
          <w:p>
            <w:pPr>
              <w:topLinePunct/>
              <w:jc w:val="center"/>
              <w:rPr>
                <w:color w:val="000000"/>
                <w:szCs w:val="21"/>
              </w:rPr>
            </w:pPr>
            <w:r>
              <w:rPr>
                <w:color w:val="000000"/>
                <w:szCs w:val="21"/>
              </w:rPr>
              <w:t>17.8</w:t>
            </w:r>
          </w:p>
        </w:tc>
        <w:tc>
          <w:tcPr>
            <w:tcW w:w="1687" w:type="dxa"/>
            <w:vAlign w:val="center"/>
          </w:tcPr>
          <w:p>
            <w:pPr>
              <w:topLinePunct/>
              <w:jc w:val="center"/>
              <w:rPr>
                <w:color w:val="000000"/>
                <w:szCs w:val="21"/>
              </w:rPr>
            </w:pPr>
            <w:r>
              <w:rPr>
                <w:color w:val="000000"/>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766" w:type="dxa"/>
            <w:vAlign w:val="center"/>
          </w:tcPr>
          <w:p>
            <w:pPr>
              <w:topLinePunct/>
              <w:jc w:val="center"/>
              <w:rPr>
                <w:color w:val="000000"/>
                <w:szCs w:val="21"/>
              </w:rPr>
            </w:pPr>
            <w:r>
              <w:rPr>
                <w:color w:val="000000"/>
                <w:szCs w:val="21"/>
              </w:rPr>
              <w:t>电钻</w:t>
            </w:r>
          </w:p>
        </w:tc>
        <w:tc>
          <w:tcPr>
            <w:tcW w:w="2743" w:type="dxa"/>
            <w:vAlign w:val="center"/>
          </w:tcPr>
          <w:p>
            <w:pPr>
              <w:topLinePunct/>
              <w:jc w:val="center"/>
              <w:rPr>
                <w:color w:val="000000"/>
                <w:szCs w:val="21"/>
              </w:rPr>
            </w:pPr>
            <w:r>
              <w:rPr>
                <w:color w:val="000000"/>
                <w:szCs w:val="21"/>
              </w:rPr>
              <w:t>92</w:t>
            </w:r>
          </w:p>
        </w:tc>
        <w:tc>
          <w:tcPr>
            <w:tcW w:w="1750" w:type="dxa"/>
            <w:vAlign w:val="center"/>
          </w:tcPr>
          <w:p>
            <w:pPr>
              <w:topLinePunct/>
              <w:jc w:val="center"/>
              <w:rPr>
                <w:color w:val="000000"/>
                <w:szCs w:val="21"/>
              </w:rPr>
            </w:pPr>
            <w:r>
              <w:rPr>
                <w:color w:val="000000"/>
                <w:szCs w:val="21"/>
              </w:rPr>
              <w:t>12.6</w:t>
            </w:r>
          </w:p>
        </w:tc>
        <w:tc>
          <w:tcPr>
            <w:tcW w:w="1687" w:type="dxa"/>
            <w:vAlign w:val="center"/>
          </w:tcPr>
          <w:p>
            <w:pPr>
              <w:topLinePunct/>
              <w:jc w:val="center"/>
              <w:rPr>
                <w:color w:val="000000"/>
                <w:szCs w:val="21"/>
              </w:rPr>
            </w:pPr>
            <w:r>
              <w:rPr>
                <w:color w:val="000000"/>
                <w:szCs w:val="21"/>
              </w:rPr>
              <w:t>70.8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766" w:type="dxa"/>
            <w:vAlign w:val="center"/>
          </w:tcPr>
          <w:p>
            <w:pPr>
              <w:topLinePunct/>
              <w:jc w:val="center"/>
              <w:rPr>
                <w:color w:val="000000"/>
                <w:szCs w:val="21"/>
              </w:rPr>
            </w:pPr>
            <w:r>
              <w:rPr>
                <w:color w:val="000000"/>
                <w:szCs w:val="21"/>
              </w:rPr>
              <w:t>吊车</w:t>
            </w:r>
          </w:p>
        </w:tc>
        <w:tc>
          <w:tcPr>
            <w:tcW w:w="2743" w:type="dxa"/>
            <w:vAlign w:val="center"/>
          </w:tcPr>
          <w:p>
            <w:pPr>
              <w:topLinePunct/>
              <w:jc w:val="center"/>
              <w:rPr>
                <w:color w:val="000000"/>
                <w:szCs w:val="21"/>
              </w:rPr>
            </w:pPr>
            <w:r>
              <w:rPr>
                <w:color w:val="000000"/>
                <w:szCs w:val="21"/>
              </w:rPr>
              <w:t>85</w:t>
            </w:r>
          </w:p>
        </w:tc>
        <w:tc>
          <w:tcPr>
            <w:tcW w:w="1750" w:type="dxa"/>
            <w:vAlign w:val="center"/>
          </w:tcPr>
          <w:p>
            <w:pPr>
              <w:topLinePunct/>
              <w:jc w:val="center"/>
              <w:rPr>
                <w:color w:val="000000"/>
                <w:szCs w:val="21"/>
              </w:rPr>
            </w:pPr>
            <w:r>
              <w:rPr>
                <w:color w:val="000000"/>
                <w:szCs w:val="21"/>
              </w:rPr>
              <w:t>5.6</w:t>
            </w:r>
          </w:p>
        </w:tc>
        <w:tc>
          <w:tcPr>
            <w:tcW w:w="1687" w:type="dxa"/>
            <w:vAlign w:val="center"/>
          </w:tcPr>
          <w:p>
            <w:pPr>
              <w:topLinePunct/>
              <w:jc w:val="center"/>
              <w:rPr>
                <w:color w:val="000000"/>
                <w:szCs w:val="21"/>
              </w:rPr>
            </w:pPr>
            <w:r>
              <w:rPr>
                <w:color w:val="000000"/>
                <w:szCs w:val="21"/>
              </w:rPr>
              <w:t>31.6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766" w:type="dxa"/>
            <w:vAlign w:val="center"/>
          </w:tcPr>
          <w:p>
            <w:pPr>
              <w:topLinePunct/>
              <w:jc w:val="center"/>
              <w:rPr>
                <w:color w:val="000000"/>
                <w:szCs w:val="21"/>
              </w:rPr>
            </w:pPr>
            <w:r>
              <w:rPr>
                <w:color w:val="000000"/>
                <w:szCs w:val="21"/>
              </w:rPr>
              <w:t>载重卡车</w:t>
            </w:r>
          </w:p>
        </w:tc>
        <w:tc>
          <w:tcPr>
            <w:tcW w:w="2743" w:type="dxa"/>
            <w:vAlign w:val="center"/>
          </w:tcPr>
          <w:p>
            <w:pPr>
              <w:topLinePunct/>
              <w:jc w:val="center"/>
              <w:rPr>
                <w:color w:val="000000"/>
                <w:szCs w:val="21"/>
              </w:rPr>
            </w:pPr>
            <w:r>
              <w:rPr>
                <w:color w:val="000000"/>
                <w:szCs w:val="21"/>
              </w:rPr>
              <w:t>85</w:t>
            </w:r>
          </w:p>
        </w:tc>
        <w:tc>
          <w:tcPr>
            <w:tcW w:w="1750" w:type="dxa"/>
            <w:vAlign w:val="center"/>
          </w:tcPr>
          <w:p>
            <w:pPr>
              <w:topLinePunct/>
              <w:jc w:val="center"/>
              <w:rPr>
                <w:color w:val="000000"/>
                <w:szCs w:val="21"/>
              </w:rPr>
            </w:pPr>
            <w:r>
              <w:rPr>
                <w:color w:val="000000"/>
                <w:szCs w:val="21"/>
              </w:rPr>
              <w:t>5.6</w:t>
            </w:r>
          </w:p>
        </w:tc>
        <w:tc>
          <w:tcPr>
            <w:tcW w:w="1687" w:type="dxa"/>
            <w:vAlign w:val="center"/>
          </w:tcPr>
          <w:p>
            <w:pPr>
              <w:topLinePunct/>
              <w:jc w:val="center"/>
              <w:rPr>
                <w:color w:val="000000"/>
                <w:szCs w:val="21"/>
              </w:rPr>
            </w:pPr>
            <w:r>
              <w:rPr>
                <w:color w:val="000000"/>
                <w:szCs w:val="21"/>
              </w:rPr>
              <w:t>31.6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766" w:type="dxa"/>
            <w:vAlign w:val="center"/>
          </w:tcPr>
          <w:p>
            <w:pPr>
              <w:topLinePunct/>
              <w:jc w:val="center"/>
              <w:rPr>
                <w:b/>
                <w:color w:val="000000"/>
                <w:szCs w:val="21"/>
              </w:rPr>
            </w:pPr>
            <w:r>
              <w:rPr>
                <w:b/>
                <w:color w:val="000000"/>
                <w:szCs w:val="21"/>
              </w:rPr>
              <w:t>设备叠加噪声值</w:t>
            </w:r>
          </w:p>
        </w:tc>
        <w:tc>
          <w:tcPr>
            <w:tcW w:w="2743" w:type="dxa"/>
            <w:vAlign w:val="center"/>
          </w:tcPr>
          <w:p>
            <w:pPr>
              <w:topLinePunct/>
              <w:jc w:val="center"/>
              <w:rPr>
                <w:color w:val="000000"/>
                <w:szCs w:val="21"/>
              </w:rPr>
            </w:pPr>
            <w:r>
              <w:rPr>
                <w:color w:val="000000"/>
                <w:szCs w:val="21"/>
              </w:rPr>
              <w:t>102.46</w:t>
            </w:r>
          </w:p>
        </w:tc>
        <w:tc>
          <w:tcPr>
            <w:tcW w:w="1750" w:type="dxa"/>
            <w:vAlign w:val="center"/>
          </w:tcPr>
          <w:p>
            <w:pPr>
              <w:topLinePunct/>
              <w:jc w:val="center"/>
              <w:rPr>
                <w:color w:val="000000"/>
                <w:szCs w:val="21"/>
              </w:rPr>
            </w:pPr>
            <w:r>
              <w:rPr>
                <w:color w:val="000000"/>
                <w:szCs w:val="21"/>
              </w:rPr>
              <w:t>42</w:t>
            </w:r>
          </w:p>
        </w:tc>
        <w:tc>
          <w:tcPr>
            <w:tcW w:w="1687" w:type="dxa"/>
            <w:vAlign w:val="center"/>
          </w:tcPr>
          <w:p>
            <w:pPr>
              <w:topLinePunct/>
              <w:jc w:val="center"/>
              <w:rPr>
                <w:color w:val="000000"/>
                <w:szCs w:val="21"/>
              </w:rPr>
            </w:pPr>
            <w:r>
              <w:rPr>
                <w:color w:val="000000"/>
                <w:szCs w:val="21"/>
              </w:rPr>
              <w:t>236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8946" w:type="dxa"/>
            <w:gridSpan w:val="4"/>
            <w:vAlign w:val="center"/>
          </w:tcPr>
          <w:p>
            <w:pPr>
              <w:topLinePunct/>
              <w:jc w:val="center"/>
              <w:rPr>
                <w:color w:val="000000"/>
                <w:szCs w:val="21"/>
              </w:rPr>
            </w:pPr>
            <w:r>
              <w:rPr>
                <w:color w:val="000000"/>
                <w:szCs w:val="21"/>
              </w:rPr>
              <w:t>《建筑施工场界环境噪声排放标准》（GB12523-2011）（昼间</w:t>
            </w:r>
            <w:r>
              <w:rPr>
                <w:color w:val="000000"/>
                <w:kern w:val="0"/>
                <w:szCs w:val="21"/>
              </w:rPr>
              <w:t>70dB(A)、夜间55dB(A)）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8946" w:type="dxa"/>
            <w:gridSpan w:val="4"/>
            <w:vAlign w:val="center"/>
          </w:tcPr>
          <w:p>
            <w:pPr>
              <w:topLinePunct/>
              <w:ind w:firstLine="420" w:firstLineChars="200"/>
              <w:jc w:val="center"/>
              <w:rPr>
                <w:color w:val="000000"/>
                <w:szCs w:val="21"/>
              </w:rPr>
            </w:pPr>
            <w:r>
              <w:rPr>
                <w:color w:val="000000"/>
                <w:szCs w:val="21"/>
              </w:rPr>
              <w:t>备注：本项目只在昼间施工，夜间不施工。</w:t>
            </w:r>
          </w:p>
        </w:tc>
      </w:tr>
    </w:tbl>
    <w:p>
      <w:pPr>
        <w:topLinePunct/>
        <w:spacing w:line="600" w:lineRule="exact"/>
        <w:rPr>
          <w:color w:val="000000"/>
          <w:sz w:val="24"/>
        </w:rPr>
      </w:pPr>
      <w:r>
        <w:rPr>
          <w:color w:val="000000"/>
          <w:sz w:val="24"/>
        </w:rPr>
        <w:t>4.1.2.2施工期声环境影响分析</w:t>
      </w:r>
    </w:p>
    <w:p>
      <w:pPr>
        <w:topLinePunct/>
        <w:spacing w:line="520" w:lineRule="exact"/>
        <w:ind w:firstLine="480" w:firstLineChars="200"/>
        <w:rPr>
          <w:color w:val="000000"/>
          <w:sz w:val="24"/>
        </w:rPr>
      </w:pPr>
      <w:r>
        <w:rPr>
          <w:color w:val="000000"/>
          <w:sz w:val="24"/>
        </w:rPr>
        <w:t>项目施工期噪声执行《建筑施工场界环境噪声排放标准》（GB12523-2011），见表4-3。从表4-2中可看出，土石方施工阶段推土机、装载机、挖掘机昼间噪声超标的情况出现在距声源40m范围内，夜间施工噪声超标情况出现在100m范围内；混凝土振捣棒、切割机昼间噪声超标的情况出现在距声源40m范围内，夜间施工噪声超标情况出现在150m范围内。</w:t>
      </w:r>
    </w:p>
    <w:p>
      <w:pPr>
        <w:topLinePunct/>
        <w:spacing w:beforeLines="50" w:afterLines="50"/>
        <w:ind w:firstLine="413" w:firstLineChars="196"/>
        <w:jc w:val="center"/>
        <w:rPr>
          <w:b/>
          <w:color w:val="000000"/>
          <w:szCs w:val="21"/>
        </w:rPr>
      </w:pPr>
      <w:r>
        <w:rPr>
          <w:b/>
          <w:bCs/>
          <w:color w:val="000000"/>
          <w:szCs w:val="21"/>
        </w:rPr>
        <w:t>表4-3   建筑施工场界环境噪声排放限值    单位dB(A)</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28"/>
        <w:gridCol w:w="45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428" w:type="dxa"/>
            <w:vAlign w:val="center"/>
          </w:tcPr>
          <w:p>
            <w:pPr>
              <w:tabs>
                <w:tab w:val="left" w:pos="360"/>
                <w:tab w:val="left" w:pos="540"/>
              </w:tabs>
              <w:topLinePunct/>
              <w:jc w:val="center"/>
              <w:rPr>
                <w:b/>
                <w:color w:val="000000"/>
                <w:szCs w:val="21"/>
              </w:rPr>
            </w:pPr>
            <w:r>
              <w:rPr>
                <w:b/>
                <w:color w:val="000000"/>
                <w:szCs w:val="21"/>
              </w:rPr>
              <w:t>昼间</w:t>
            </w:r>
          </w:p>
        </w:tc>
        <w:tc>
          <w:tcPr>
            <w:tcW w:w="4518" w:type="dxa"/>
            <w:vAlign w:val="center"/>
          </w:tcPr>
          <w:p>
            <w:pPr>
              <w:tabs>
                <w:tab w:val="left" w:pos="360"/>
                <w:tab w:val="left" w:pos="540"/>
              </w:tabs>
              <w:topLinePunct/>
              <w:jc w:val="center"/>
              <w:rPr>
                <w:b/>
                <w:color w:val="000000"/>
                <w:szCs w:val="21"/>
              </w:rPr>
            </w:pPr>
            <w:r>
              <w:rPr>
                <w:b/>
                <w:color w:val="000000"/>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428" w:type="dxa"/>
            <w:vAlign w:val="center"/>
          </w:tcPr>
          <w:p>
            <w:pPr>
              <w:tabs>
                <w:tab w:val="left" w:pos="360"/>
                <w:tab w:val="left" w:pos="540"/>
              </w:tabs>
              <w:topLinePunct/>
              <w:jc w:val="center"/>
              <w:rPr>
                <w:color w:val="000000"/>
                <w:szCs w:val="21"/>
              </w:rPr>
            </w:pPr>
            <w:r>
              <w:rPr>
                <w:color w:val="000000"/>
                <w:szCs w:val="21"/>
              </w:rPr>
              <w:t>70</w:t>
            </w:r>
          </w:p>
        </w:tc>
        <w:tc>
          <w:tcPr>
            <w:tcW w:w="4518" w:type="dxa"/>
            <w:vAlign w:val="center"/>
          </w:tcPr>
          <w:p>
            <w:pPr>
              <w:tabs>
                <w:tab w:val="left" w:pos="360"/>
                <w:tab w:val="left" w:pos="540"/>
              </w:tabs>
              <w:topLinePunct/>
              <w:jc w:val="center"/>
              <w:rPr>
                <w:color w:val="000000"/>
                <w:szCs w:val="21"/>
              </w:rPr>
            </w:pPr>
            <w:r>
              <w:rPr>
                <w:color w:val="000000"/>
                <w:szCs w:val="21"/>
              </w:rPr>
              <w:t>55</w:t>
            </w:r>
          </w:p>
        </w:tc>
      </w:tr>
    </w:tbl>
    <w:p>
      <w:pPr>
        <w:topLinePunct/>
        <w:spacing w:line="520" w:lineRule="exact"/>
        <w:ind w:firstLine="480" w:firstLineChars="200"/>
        <w:rPr>
          <w:color w:val="000000"/>
          <w:sz w:val="24"/>
        </w:rPr>
      </w:pPr>
      <w:r>
        <w:rPr>
          <w:color w:val="000000"/>
          <w:sz w:val="24"/>
        </w:rPr>
        <w:t>距场界最近的居民点为</w:t>
      </w:r>
      <w:r>
        <w:rPr>
          <w:rFonts w:hint="eastAsia"/>
          <w:color w:val="000000" w:themeColor="text1"/>
          <w:sz w:val="24"/>
          <w:lang w:val="zh-CN"/>
        </w:rPr>
        <w:t>东南</w:t>
      </w:r>
      <w:r>
        <w:rPr>
          <w:color w:val="000000" w:themeColor="text1"/>
          <w:sz w:val="24"/>
          <w:lang w:val="zh-CN"/>
        </w:rPr>
        <w:t>侧</w:t>
      </w:r>
      <w:r>
        <w:rPr>
          <w:rFonts w:hint="eastAsia"/>
          <w:color w:val="000000" w:themeColor="text1"/>
          <w:sz w:val="24"/>
          <w:lang w:eastAsia="zh-CN"/>
        </w:rPr>
        <w:t>507</w:t>
      </w:r>
      <w:r>
        <w:rPr>
          <w:color w:val="000000" w:themeColor="text1"/>
          <w:sz w:val="24"/>
          <w:lang w:val="zh-CN"/>
        </w:rPr>
        <w:t>m处的</w:t>
      </w:r>
      <w:r>
        <w:rPr>
          <w:rFonts w:hint="eastAsia"/>
          <w:color w:val="000000" w:themeColor="text1"/>
          <w:sz w:val="24"/>
          <w:lang w:val="zh-CN"/>
        </w:rPr>
        <w:t>邢寨村</w:t>
      </w:r>
      <w:r>
        <w:rPr>
          <w:color w:val="000000"/>
          <w:sz w:val="24"/>
        </w:rPr>
        <w:t>。施工噪声在经过距离衰减后达到《声环境质量标准》（GB3096－2008）中的2类标准昼间标准要求的最大距离范围为100m，达到夜间标准要求的最大达标范围为300m。因此项目施工期噪声对周围敏感点影响较小。</w:t>
      </w:r>
    </w:p>
    <w:p>
      <w:pPr>
        <w:topLinePunct/>
        <w:spacing w:line="520" w:lineRule="exact"/>
        <w:ind w:firstLine="480" w:firstLineChars="200"/>
        <w:rPr>
          <w:color w:val="000000"/>
          <w:sz w:val="24"/>
        </w:rPr>
      </w:pPr>
      <w:r>
        <w:rPr>
          <w:color w:val="000000"/>
          <w:sz w:val="24"/>
        </w:rPr>
        <w:t>评价建议施工单位应合理安排施工时间，施工时应尽量避免在中午（12时至14时）和晚上（22时至次日6时）休息时间进行高噪声施工作业；采取合理的施工方式，优先选用低噪声的施工设备，减少高噪声设备机械的同时运行。</w:t>
      </w:r>
    </w:p>
    <w:p>
      <w:pPr>
        <w:topLinePunct/>
        <w:spacing w:line="500" w:lineRule="exact"/>
        <w:ind w:firstLine="480" w:firstLineChars="200"/>
        <w:rPr>
          <w:color w:val="000000"/>
          <w:sz w:val="24"/>
        </w:rPr>
      </w:pPr>
      <w:r>
        <w:rPr>
          <w:color w:val="000000"/>
          <w:sz w:val="24"/>
        </w:rPr>
        <w:t>在采取合理措施后，可尽量减轻项目施工噪声对居民正常生活的影响。加之施工是短时期的，因此施工过程中对区域声环境的影响是暂时的，将随着施工的结束而消失。</w:t>
      </w:r>
    </w:p>
    <w:p>
      <w:pPr>
        <w:topLinePunct/>
        <w:spacing w:line="600" w:lineRule="exact"/>
        <w:outlineLvl w:val="2"/>
        <w:rPr>
          <w:b/>
          <w:color w:val="000000"/>
          <w:sz w:val="24"/>
        </w:rPr>
      </w:pPr>
      <w:r>
        <w:rPr>
          <w:b/>
          <w:color w:val="000000"/>
          <w:sz w:val="24"/>
        </w:rPr>
        <w:t>4.1.3 施工期废水环境影响分析</w:t>
      </w:r>
    </w:p>
    <w:p>
      <w:pPr>
        <w:topLinePunct/>
        <w:spacing w:line="500" w:lineRule="exact"/>
        <w:ind w:firstLine="480" w:firstLineChars="200"/>
        <w:rPr>
          <w:color w:val="000000"/>
          <w:sz w:val="24"/>
        </w:rPr>
      </w:pPr>
      <w:r>
        <w:rPr>
          <w:color w:val="000000"/>
          <w:sz w:val="24"/>
        </w:rPr>
        <w:t>施工期废水主要为施工人员的生活污水、施工废水等。</w:t>
      </w:r>
      <w:r>
        <w:rPr>
          <w:bCs/>
          <w:color w:val="000000"/>
          <w:sz w:val="24"/>
        </w:rPr>
        <w:t>其中工程施工废水包括施工机械冷却水及洗涤用水、施工现场清洗、建材清洗、混凝土浇筑、养护、冲洗等，这部分废水有一定量的油污和泥沙。施工人员的生活污水含有一定量的有机物。另外，雨季作业场地的地面径流水，含有大量的泥土和高浓度的悬浮物。</w:t>
      </w:r>
    </w:p>
    <w:p>
      <w:pPr>
        <w:topLinePunct/>
        <w:spacing w:line="500" w:lineRule="exact"/>
        <w:ind w:firstLine="480" w:firstLineChars="200"/>
        <w:rPr>
          <w:color w:val="000000"/>
          <w:sz w:val="24"/>
        </w:rPr>
      </w:pPr>
      <w:r>
        <w:rPr>
          <w:bCs/>
          <w:color w:val="000000"/>
          <w:sz w:val="24"/>
        </w:rPr>
        <w:t>环评要求施工单位在易出现漏油的机械设备下方设集油槽（池），收集后外售处理，并在施工现场设置临时集水池、沉砂池等临时性污水简易处理设施，将施工废水进行处理后</w:t>
      </w:r>
      <w:r>
        <w:rPr>
          <w:color w:val="000000"/>
          <w:sz w:val="24"/>
        </w:rPr>
        <w:t>用于拌和土和水泥。施工场地建旱厕，生活污水用于浇灌附近农田。</w:t>
      </w:r>
    </w:p>
    <w:p>
      <w:pPr>
        <w:topLinePunct/>
        <w:spacing w:line="600" w:lineRule="exact"/>
        <w:outlineLvl w:val="2"/>
        <w:rPr>
          <w:b/>
          <w:color w:val="000000"/>
          <w:sz w:val="24"/>
        </w:rPr>
      </w:pPr>
      <w:r>
        <w:rPr>
          <w:b/>
          <w:color w:val="000000"/>
          <w:sz w:val="24"/>
        </w:rPr>
        <w:t>4.1.</w:t>
      </w:r>
      <w:bookmarkStart w:id="263" w:name="_Toc298705398"/>
      <w:r>
        <w:rPr>
          <w:b/>
          <w:color w:val="000000"/>
          <w:sz w:val="24"/>
        </w:rPr>
        <w:t>4 施工期固体废物环境影响分析</w:t>
      </w:r>
      <w:bookmarkEnd w:id="263"/>
    </w:p>
    <w:p>
      <w:pPr>
        <w:topLinePunct/>
        <w:spacing w:line="500" w:lineRule="exact"/>
        <w:ind w:firstLine="480" w:firstLineChars="200"/>
        <w:rPr>
          <w:color w:val="000000"/>
          <w:sz w:val="24"/>
        </w:rPr>
      </w:pPr>
      <w:r>
        <w:rPr>
          <w:color w:val="000000"/>
          <w:sz w:val="24"/>
        </w:rPr>
        <w:t>施工期固体废物主要来源于施工过程中产生的建筑垃圾、弃土，以及施工人员产生的生活垃圾。施工期的弃土、建筑垃圾应及时外运，按当地环保要求运至垃圾填埋场；施工期的生活垃圾量很少，定期送至城市垃圾处理场统一处理，预计施工期固体废弃物对周围环境影响不大。</w:t>
      </w:r>
    </w:p>
    <w:p>
      <w:pPr>
        <w:topLinePunct/>
        <w:spacing w:line="600" w:lineRule="exact"/>
        <w:outlineLvl w:val="2"/>
        <w:rPr>
          <w:b/>
          <w:color w:val="000000"/>
          <w:sz w:val="24"/>
        </w:rPr>
      </w:pPr>
      <w:r>
        <w:rPr>
          <w:b/>
          <w:color w:val="000000"/>
          <w:sz w:val="24"/>
        </w:rPr>
        <w:t>4.1.5 施工期生态环境影响分析</w:t>
      </w:r>
    </w:p>
    <w:p>
      <w:pPr>
        <w:topLinePunct/>
        <w:spacing w:line="520" w:lineRule="exact"/>
        <w:ind w:firstLine="480" w:firstLineChars="200"/>
        <w:rPr>
          <w:color w:val="000000"/>
          <w:sz w:val="24"/>
        </w:rPr>
      </w:pPr>
      <w:r>
        <w:rPr>
          <w:color w:val="000000"/>
          <w:sz w:val="24"/>
        </w:rPr>
        <w:t>项目区地势平坦，在施工过程中因降雨、地表开挖和弃土弃渣处置不当，可能会引起不同程度的水土流失及生态破坏。</w:t>
      </w:r>
    </w:p>
    <w:p>
      <w:pPr>
        <w:topLinePunct/>
        <w:spacing w:line="520" w:lineRule="exact"/>
        <w:rPr>
          <w:color w:val="000000"/>
          <w:kern w:val="0"/>
          <w:sz w:val="24"/>
        </w:rPr>
      </w:pPr>
      <w:r>
        <w:rPr>
          <w:color w:val="000000"/>
          <w:kern w:val="0"/>
          <w:sz w:val="24"/>
        </w:rPr>
        <w:t>4.1.5.1 生态破坏</w:t>
      </w:r>
    </w:p>
    <w:p>
      <w:pPr>
        <w:topLinePunct/>
        <w:spacing w:line="500" w:lineRule="exact"/>
        <w:ind w:firstLine="480" w:firstLineChars="200"/>
        <w:rPr>
          <w:color w:val="000000"/>
          <w:sz w:val="24"/>
        </w:rPr>
      </w:pPr>
      <w:r>
        <w:rPr>
          <w:color w:val="000000"/>
          <w:sz w:val="24"/>
        </w:rPr>
        <w:t>在项目建设过程中，评价区的植被将受到不同程度的占压或毁坏。在施工过程中，开挖处或者清理的植被均遭到永久性毁坏，对生物生境造成破坏，影响动物的正常生长。同时，项目建成后，由于永久占地的影响，使得项目占地范围内的土地用途发生改变，场区内原有植被破坏，原有野生动物生境发生改变。经分析，项目生态破坏主要表现在以下几个方面：</w:t>
      </w:r>
    </w:p>
    <w:p>
      <w:pPr>
        <w:topLinePunct/>
        <w:spacing w:line="500" w:lineRule="exact"/>
        <w:ind w:firstLine="480" w:firstLineChars="200"/>
        <w:rPr>
          <w:color w:val="000000"/>
          <w:kern w:val="0"/>
          <w:sz w:val="24"/>
        </w:rPr>
      </w:pPr>
      <w:r>
        <w:rPr>
          <w:color w:val="000000"/>
          <w:kern w:val="0"/>
          <w:sz w:val="24"/>
        </w:rPr>
        <w:t>（1）土地功能变化</w:t>
      </w:r>
    </w:p>
    <w:p>
      <w:pPr>
        <w:topLinePunct/>
        <w:spacing w:line="500" w:lineRule="exact"/>
        <w:ind w:firstLine="480" w:firstLineChars="200"/>
        <w:rPr>
          <w:color w:val="000000"/>
          <w:kern w:val="0"/>
          <w:sz w:val="24"/>
        </w:rPr>
      </w:pPr>
      <w:r>
        <w:rPr>
          <w:color w:val="000000"/>
          <w:kern w:val="0"/>
          <w:sz w:val="24"/>
        </w:rPr>
        <w:t>根据现状调查，本项目用地原为一般农田</w:t>
      </w:r>
      <w:r>
        <w:rPr>
          <w:color w:val="000000"/>
          <w:sz w:val="24"/>
        </w:rPr>
        <w:t>，</w:t>
      </w:r>
      <w:r>
        <w:rPr>
          <w:color w:val="000000"/>
          <w:kern w:val="0"/>
          <w:sz w:val="24"/>
        </w:rPr>
        <w:t>项目建成后将完全改变土地利用状况，变为养殖场区建设用地，失去其原有功能。</w:t>
      </w:r>
    </w:p>
    <w:p>
      <w:pPr>
        <w:topLinePunct/>
        <w:spacing w:line="500" w:lineRule="exact"/>
        <w:ind w:firstLine="480" w:firstLineChars="200"/>
        <w:rPr>
          <w:color w:val="000000"/>
          <w:sz w:val="24"/>
        </w:rPr>
      </w:pPr>
      <w:r>
        <w:rPr>
          <w:color w:val="000000"/>
          <w:kern w:val="0"/>
          <w:sz w:val="24"/>
        </w:rPr>
        <w:t>（2）</w:t>
      </w:r>
      <w:r>
        <w:rPr>
          <w:color w:val="000000"/>
          <w:sz w:val="24"/>
        </w:rPr>
        <w:t>对植被的影响</w:t>
      </w:r>
    </w:p>
    <w:p>
      <w:pPr>
        <w:topLinePunct/>
        <w:spacing w:line="500" w:lineRule="exact"/>
        <w:ind w:firstLine="480" w:firstLineChars="200"/>
        <w:rPr>
          <w:color w:val="000000"/>
          <w:sz w:val="24"/>
        </w:rPr>
      </w:pPr>
      <w:r>
        <w:rPr>
          <w:color w:val="000000"/>
          <w:kern w:val="0"/>
          <w:sz w:val="24"/>
        </w:rPr>
        <w:t>项目建设过程中场地开挖和清理及建成后各建筑物的占用，对项目区内及附近的植被将造成不同程度的占压和毁坏，致使区内原有的植被生态系统不复存在，造成永久性的毁坏。</w:t>
      </w:r>
      <w:r>
        <w:rPr>
          <w:color w:val="000000"/>
          <w:sz w:val="24"/>
        </w:rPr>
        <w:t>项目建成后，将对场区内进行绿化，能在一定程度上补偿对原有生态的影响，并能使项目与周围环境更加协调，起到美化环境的效果。</w:t>
      </w:r>
    </w:p>
    <w:p>
      <w:pPr>
        <w:topLinePunct/>
        <w:spacing w:line="500" w:lineRule="exact"/>
        <w:ind w:firstLine="480" w:firstLineChars="200"/>
        <w:rPr>
          <w:color w:val="000000"/>
          <w:sz w:val="24"/>
        </w:rPr>
      </w:pPr>
      <w:r>
        <w:rPr>
          <w:color w:val="000000"/>
          <w:sz w:val="24"/>
        </w:rPr>
        <w:t>（3）对动物的影响</w:t>
      </w:r>
    </w:p>
    <w:p>
      <w:pPr>
        <w:topLinePunct/>
        <w:spacing w:line="500" w:lineRule="exact"/>
        <w:ind w:firstLine="480" w:firstLineChars="200"/>
        <w:rPr>
          <w:color w:val="000000"/>
          <w:kern w:val="0"/>
          <w:sz w:val="24"/>
        </w:rPr>
      </w:pPr>
      <w:r>
        <w:rPr>
          <w:color w:val="000000"/>
          <w:sz w:val="24"/>
        </w:rPr>
        <w:t>项目的建设，引起项目区及周边人员活动增加，交通噪声、废气、废水等污染物的排放增加，必然使原有野生动物生境发生改变，对区域原有的动物产生严重的影响，同时，项目永久占地促使当地原有对环境比较敏感的野生动物将进行迁移，远离该区域，但一些适应能力较强的野生动物则会增加，对当地的野生生态系统产生一定程度的影响，并改变区域生态系统结构，但由于项目场区所占面积相对区域面积而言，比例很小，因此对动物生态系统影响有限。</w:t>
      </w:r>
    </w:p>
    <w:p>
      <w:pPr>
        <w:topLinePunct/>
        <w:spacing w:line="500" w:lineRule="exact"/>
        <w:ind w:firstLine="480" w:firstLineChars="200"/>
        <w:rPr>
          <w:color w:val="000000"/>
          <w:sz w:val="24"/>
        </w:rPr>
      </w:pPr>
      <w:r>
        <w:rPr>
          <w:color w:val="000000"/>
          <w:sz w:val="24"/>
        </w:rPr>
        <w:t>（4）</w:t>
      </w:r>
      <w:r>
        <w:rPr>
          <w:color w:val="000000"/>
          <w:kern w:val="0"/>
          <w:sz w:val="24"/>
        </w:rPr>
        <w:t>生态结构与功能变化</w:t>
      </w:r>
    </w:p>
    <w:p>
      <w:pPr>
        <w:topLinePunct/>
        <w:spacing w:line="520" w:lineRule="exact"/>
        <w:ind w:firstLine="480" w:firstLineChars="200"/>
        <w:rPr>
          <w:color w:val="000000"/>
          <w:sz w:val="24"/>
        </w:rPr>
      </w:pPr>
      <w:r>
        <w:rPr>
          <w:snapToGrid w:val="0"/>
          <w:color w:val="000000"/>
          <w:sz w:val="24"/>
        </w:rPr>
        <w:t>项目建成后，局部地块农业生态系统消失，系统中原有的以种植农作物产生的能流、物流、信息流将消失，取而代之的是新的系统，并将超过原有农业生态系统，更超过自然生态系统。根据对当地种植情况的调查，目前平舆县地区种植为一年两</w:t>
      </w:r>
      <w:r>
        <w:rPr>
          <w:color w:val="000000"/>
          <w:sz w:val="24"/>
        </w:rPr>
        <w:t>熟，夏季收获以小麦为主、秋季收获以玉米为主，每亩土地年产值约为2700元。根据牧原公司预测，本项目建成后，每亩地年产值约为4万元，大大提高了单位面积土地的生产能力。</w:t>
      </w:r>
    </w:p>
    <w:p>
      <w:pPr>
        <w:topLinePunct/>
        <w:spacing w:line="520" w:lineRule="exact"/>
        <w:ind w:firstLine="480" w:firstLineChars="200"/>
        <w:rPr>
          <w:snapToGrid w:val="0"/>
          <w:color w:val="000000"/>
          <w:sz w:val="24"/>
        </w:rPr>
      </w:pPr>
      <w:r>
        <w:rPr>
          <w:snapToGrid w:val="0"/>
          <w:color w:val="000000"/>
          <w:sz w:val="24"/>
        </w:rPr>
        <w:t>原来农业生态系统</w:t>
      </w:r>
      <w:r>
        <w:rPr>
          <w:color w:val="000000"/>
          <w:sz w:val="24"/>
        </w:rPr>
        <w:t>施肥可能破坏水体功能，施肥过量将会污染土壤，改变土地结构，传播疫病，随着项目生态</w:t>
      </w:r>
      <w:r>
        <w:rPr>
          <w:snapToGrid w:val="0"/>
          <w:color w:val="000000"/>
          <w:sz w:val="24"/>
        </w:rPr>
        <w:t>系统开放度扩大，能量、物质信息的输入、输出与城市生态系统各组分之间都存在很大的联系性和依赖性，系统的功能和生产力将大大增强，同时能源、物质的消耗，向环境排放的污染物也会增多。</w:t>
      </w:r>
    </w:p>
    <w:p>
      <w:pPr>
        <w:topLinePunct/>
        <w:spacing w:line="520" w:lineRule="exact"/>
        <w:ind w:firstLine="480" w:firstLineChars="200"/>
        <w:rPr>
          <w:snapToGrid w:val="0"/>
          <w:color w:val="000000"/>
          <w:sz w:val="24"/>
        </w:rPr>
      </w:pPr>
      <w:r>
        <w:rPr>
          <w:snapToGrid w:val="0"/>
          <w:color w:val="000000"/>
          <w:sz w:val="24"/>
        </w:rPr>
        <w:t>农业生态系统是一个开放的系统，依靠灌溉、施肥等物质和能量的输入；农产品的输出维持其系统，它将经济再生产、自然再生产交织在一起，构成与社会经济区互相反馈的生态经济系统。养殖场按照科学管理进行施肥，合理安排施肥时间和频次，能够避免对区域造成污染危害。</w:t>
      </w:r>
    </w:p>
    <w:p>
      <w:pPr>
        <w:topLinePunct/>
        <w:spacing w:line="520" w:lineRule="exact"/>
        <w:rPr>
          <w:color w:val="000000"/>
          <w:kern w:val="0"/>
          <w:sz w:val="24"/>
        </w:rPr>
      </w:pPr>
      <w:r>
        <w:rPr>
          <w:color w:val="000000"/>
          <w:kern w:val="0"/>
          <w:sz w:val="24"/>
        </w:rPr>
        <w:t>4.1.5.2 水土流失</w:t>
      </w:r>
    </w:p>
    <w:p>
      <w:pPr>
        <w:topLinePunct/>
        <w:spacing w:line="520" w:lineRule="exact"/>
        <w:ind w:firstLine="480" w:firstLineChars="200"/>
        <w:rPr>
          <w:color w:val="000000"/>
          <w:sz w:val="24"/>
        </w:rPr>
      </w:pPr>
      <w:r>
        <w:rPr>
          <w:color w:val="000000"/>
          <w:sz w:val="24"/>
        </w:rPr>
        <w:t>（1）工程建设区水土流失概况</w:t>
      </w:r>
    </w:p>
    <w:p>
      <w:pPr>
        <w:topLinePunct/>
        <w:spacing w:line="520" w:lineRule="exact"/>
        <w:ind w:firstLine="480" w:firstLineChars="200"/>
        <w:rPr>
          <w:color w:val="000000"/>
          <w:sz w:val="24"/>
        </w:rPr>
      </w:pPr>
      <w:r>
        <w:rPr>
          <w:color w:val="000000"/>
          <w:sz w:val="24"/>
        </w:rPr>
        <w:t>项目区内地形平坦，水土流失形式主要为水力侵蚀，主要类型包括面蚀、雨滴溅蚀等。根据该区水土流失强度分级图、《土壤侵蚀分类分级标准》（SLl90-2007）和通过现场查勘、调查，依据地质报告及以往同类工程进行类比，确定工程建设区内土壤多年平均侵蚀模数为1500t/（km</w:t>
      </w:r>
      <w:r>
        <w:rPr>
          <w:color w:val="000000"/>
          <w:sz w:val="24"/>
          <w:vertAlign w:val="superscript"/>
        </w:rPr>
        <w:t>2</w:t>
      </w:r>
      <w:r>
        <w:rPr>
          <w:color w:val="000000"/>
          <w:sz w:val="24"/>
        </w:rPr>
        <w:t>·a）。</w:t>
      </w:r>
    </w:p>
    <w:p>
      <w:pPr>
        <w:topLinePunct/>
        <w:spacing w:line="520" w:lineRule="exact"/>
        <w:ind w:firstLine="480" w:firstLineChars="200"/>
        <w:rPr>
          <w:color w:val="000000"/>
          <w:sz w:val="24"/>
        </w:rPr>
      </w:pPr>
      <w:r>
        <w:rPr>
          <w:color w:val="000000"/>
          <w:sz w:val="24"/>
        </w:rPr>
        <w:t>（2）引起水土流失的原因</w:t>
      </w:r>
    </w:p>
    <w:p>
      <w:pPr>
        <w:topLinePunct/>
        <w:spacing w:line="520" w:lineRule="exact"/>
        <w:ind w:firstLine="480" w:firstLineChars="200"/>
        <w:rPr>
          <w:color w:val="000000"/>
          <w:sz w:val="24"/>
        </w:rPr>
      </w:pPr>
      <w:r>
        <w:rPr>
          <w:color w:val="000000"/>
          <w:sz w:val="24"/>
        </w:rPr>
        <w:t>自然因素和人为因素是造成该区水土流失的主要原因。</w:t>
      </w:r>
    </w:p>
    <w:p>
      <w:pPr>
        <w:spacing w:line="500" w:lineRule="exact"/>
        <w:ind w:firstLine="480" w:firstLineChars="200"/>
        <w:rPr>
          <w:color w:val="000000"/>
          <w:sz w:val="24"/>
        </w:rPr>
      </w:pPr>
      <w:r>
        <w:rPr>
          <w:color w:val="000000"/>
          <w:sz w:val="24"/>
        </w:rPr>
        <w:t>自然因素有地形地貌、地面组成物质、植被及降雨等。项目区地势较为平坦，林草植被覆盖多，年均降雨量约594.4mm，年内分布很不均匀，多集中在数次暴雨。形成水土流失的主要自然因素是暴雨。</w:t>
      </w:r>
    </w:p>
    <w:p>
      <w:pPr>
        <w:topLinePunct/>
        <w:spacing w:line="520" w:lineRule="exact"/>
        <w:ind w:firstLine="480" w:firstLineChars="200"/>
        <w:rPr>
          <w:color w:val="000000"/>
          <w:sz w:val="24"/>
        </w:rPr>
      </w:pPr>
      <w:r>
        <w:rPr>
          <w:color w:val="000000"/>
          <w:sz w:val="24"/>
        </w:rPr>
        <w:t>人为因素：由于项目工程建设，土方开挖和料物堆砌损坏了原有的地形地貌和植被，施工活动扰动了原有的土体结构，致使土体抗侵蚀能力降低，造成区域加速侵蚀。</w:t>
      </w:r>
    </w:p>
    <w:p>
      <w:pPr>
        <w:topLinePunct/>
        <w:spacing w:line="520" w:lineRule="exact"/>
        <w:ind w:firstLine="480" w:firstLineChars="200"/>
        <w:rPr>
          <w:color w:val="000000"/>
          <w:sz w:val="24"/>
        </w:rPr>
      </w:pPr>
      <w:r>
        <w:rPr>
          <w:color w:val="000000"/>
          <w:sz w:val="24"/>
        </w:rPr>
        <w:t>（3）可能产生的水土流失情况</w:t>
      </w:r>
    </w:p>
    <w:p>
      <w:pPr>
        <w:topLinePunct/>
        <w:spacing w:line="520" w:lineRule="exact"/>
        <w:ind w:firstLine="480" w:firstLineChars="200"/>
        <w:rPr>
          <w:color w:val="000000"/>
          <w:sz w:val="24"/>
        </w:rPr>
      </w:pPr>
      <w:r>
        <w:rPr>
          <w:color w:val="000000"/>
          <w:sz w:val="24"/>
        </w:rPr>
        <w:t>由于工程建设过程中破坏地貌植被，对该区生态环境造成破坏，同时使自然状况下的土体稳定平衡和土壤结构遭到破坏，土体疏散，土壤可蚀性增加，必然导致水土流失增加。</w:t>
      </w:r>
    </w:p>
    <w:p>
      <w:pPr>
        <w:topLinePunct/>
        <w:spacing w:line="520" w:lineRule="exact"/>
        <w:ind w:firstLine="480" w:firstLineChars="200"/>
        <w:rPr>
          <w:color w:val="000000"/>
          <w:sz w:val="24"/>
        </w:rPr>
      </w:pPr>
      <w:r>
        <w:rPr>
          <w:color w:val="000000"/>
          <w:sz w:val="24"/>
        </w:rPr>
        <w:t>（4）水土保持措施</w:t>
      </w:r>
    </w:p>
    <w:p>
      <w:pPr>
        <w:topLinePunct/>
        <w:spacing w:line="500" w:lineRule="exact"/>
        <w:ind w:firstLine="480" w:firstLineChars="200"/>
        <w:rPr>
          <w:color w:val="000000"/>
          <w:sz w:val="24"/>
        </w:rPr>
      </w:pPr>
      <w:r>
        <w:rPr>
          <w:rFonts w:hint="eastAsia" w:ascii="宋体" w:hAnsi="宋体" w:cs="宋体"/>
          <w:color w:val="000000"/>
          <w:sz w:val="24"/>
        </w:rPr>
        <w:t>①</w:t>
      </w:r>
      <w:r>
        <w:rPr>
          <w:color w:val="000000"/>
          <w:sz w:val="24"/>
        </w:rPr>
        <w:t>主体工程防治区</w:t>
      </w:r>
    </w:p>
    <w:p>
      <w:pPr>
        <w:topLinePunct/>
        <w:spacing w:line="500" w:lineRule="exact"/>
        <w:ind w:firstLine="480" w:firstLineChars="200"/>
        <w:rPr>
          <w:color w:val="000000"/>
          <w:sz w:val="24"/>
        </w:rPr>
      </w:pPr>
      <w:r>
        <w:rPr>
          <w:color w:val="000000"/>
          <w:sz w:val="24"/>
        </w:rPr>
        <w:t>主体及辅助工程开挖完工后及时对边坡进行固化护坡，在坡脚撒播草籽对裸露地表进行绿化，对进厂道路进行固化，完善排水设施，使水土流失降到最低水平。</w:t>
      </w:r>
    </w:p>
    <w:p>
      <w:pPr>
        <w:topLinePunct/>
        <w:spacing w:line="500" w:lineRule="exact"/>
        <w:ind w:firstLine="480" w:firstLineChars="200"/>
        <w:rPr>
          <w:color w:val="000000"/>
          <w:sz w:val="24"/>
        </w:rPr>
      </w:pPr>
      <w:r>
        <w:rPr>
          <w:rFonts w:hint="eastAsia" w:ascii="宋体" w:hAnsi="宋体" w:cs="宋体"/>
          <w:color w:val="000000"/>
          <w:sz w:val="24"/>
        </w:rPr>
        <w:t>②</w:t>
      </w:r>
      <w:r>
        <w:rPr>
          <w:color w:val="000000"/>
          <w:sz w:val="24"/>
        </w:rPr>
        <w:t>施工临时工程防治区</w:t>
      </w:r>
    </w:p>
    <w:p>
      <w:pPr>
        <w:topLinePunct/>
        <w:spacing w:line="500" w:lineRule="exact"/>
        <w:ind w:firstLine="480" w:firstLineChars="200"/>
        <w:rPr>
          <w:color w:val="000000"/>
          <w:sz w:val="24"/>
        </w:rPr>
      </w:pPr>
      <w:r>
        <w:rPr>
          <w:color w:val="000000"/>
          <w:sz w:val="24"/>
        </w:rPr>
        <w:t>施工临时工程主要包括施工道路和施工生产区。施工完工后，应对临时地面建筑进行清理，对土地进行平整并硬化，同时设置必要的绿化带来缓解水土流失的影响。</w:t>
      </w:r>
    </w:p>
    <w:p>
      <w:pPr>
        <w:topLinePunct/>
        <w:spacing w:line="500" w:lineRule="exact"/>
        <w:ind w:firstLine="480" w:firstLineChars="200"/>
        <w:rPr>
          <w:color w:val="000000"/>
          <w:sz w:val="24"/>
        </w:rPr>
      </w:pPr>
      <w:r>
        <w:rPr>
          <w:rFonts w:hint="eastAsia" w:ascii="宋体" w:hAnsi="宋体" w:cs="宋体"/>
          <w:color w:val="000000"/>
          <w:sz w:val="24"/>
        </w:rPr>
        <w:t>③</w:t>
      </w:r>
      <w:r>
        <w:rPr>
          <w:color w:val="000000"/>
          <w:sz w:val="24"/>
        </w:rPr>
        <w:t>进场道路区</w:t>
      </w:r>
    </w:p>
    <w:p>
      <w:pPr>
        <w:topLinePunct/>
        <w:spacing w:line="500" w:lineRule="exact"/>
        <w:ind w:firstLine="480" w:firstLineChars="200"/>
        <w:rPr>
          <w:color w:val="000000"/>
          <w:sz w:val="24"/>
        </w:rPr>
      </w:pPr>
      <w:r>
        <w:rPr>
          <w:color w:val="000000"/>
          <w:sz w:val="24"/>
        </w:rPr>
        <w:t>本工程设永久进场道路，进场道路进行硬化，两侧设混凝土路边排水沟，并种植高大植物予以绿化。</w:t>
      </w:r>
    </w:p>
    <w:p>
      <w:pPr>
        <w:topLinePunct/>
        <w:spacing w:line="500" w:lineRule="exact"/>
        <w:ind w:firstLine="480" w:firstLineChars="200"/>
        <w:rPr>
          <w:color w:val="000000"/>
          <w:sz w:val="24"/>
        </w:rPr>
      </w:pPr>
      <w:r>
        <w:rPr>
          <w:color w:val="000000"/>
          <w:sz w:val="24"/>
        </w:rPr>
        <w:t>通过水土流失治理措施的实施，可基本控制项目建设责任范围内因工程活动引起的水土流失，项目区域的绿化可为项目责任范围内经济的可持续发展创造良好的生态环境基础。</w:t>
      </w:r>
    </w:p>
    <w:p>
      <w:pPr>
        <w:topLinePunct/>
        <w:spacing w:line="500" w:lineRule="exact"/>
        <w:ind w:firstLine="480" w:firstLineChars="200"/>
        <w:rPr>
          <w:color w:val="000000"/>
          <w:sz w:val="24"/>
        </w:rPr>
      </w:pPr>
      <w:r>
        <w:rPr>
          <w:rFonts w:hint="eastAsia" w:ascii="宋体" w:hAnsi="宋体" w:cs="宋体"/>
          <w:color w:val="000000"/>
          <w:sz w:val="24"/>
        </w:rPr>
        <w:t>④</w:t>
      </w:r>
      <w:r>
        <w:rPr>
          <w:color w:val="000000"/>
          <w:sz w:val="24"/>
        </w:rPr>
        <w:t>沼液管网施工区</w:t>
      </w:r>
    </w:p>
    <w:p>
      <w:pPr>
        <w:topLinePunct/>
        <w:spacing w:line="500" w:lineRule="exact"/>
        <w:ind w:firstLine="480" w:firstLineChars="200"/>
        <w:rPr>
          <w:color w:val="000000"/>
          <w:sz w:val="24"/>
        </w:rPr>
      </w:pPr>
      <w:r>
        <w:rPr>
          <w:color w:val="000000"/>
          <w:sz w:val="24"/>
        </w:rPr>
        <w:t>本项目配套建设有沼液消纳管网将场内处理过的沼液作为液态有机肥输送到周边农田。管网采用160mm、110mm和75mm的PVC管为主，管网的铺设采用人工开挖管渠-放管-覆土的方法进行。由于管径较小，工程量不大并且采用人工开挖施工，为尽量减少与防止施工期造成水土流失的影响，建议采取以下措施：</w:t>
      </w:r>
    </w:p>
    <w:p>
      <w:pPr>
        <w:topLinePunct/>
        <w:spacing w:line="500" w:lineRule="exact"/>
        <w:ind w:firstLine="480" w:firstLineChars="200"/>
        <w:rPr>
          <w:color w:val="000000"/>
          <w:sz w:val="24"/>
        </w:rPr>
      </w:pPr>
      <w:r>
        <w:rPr>
          <w:color w:val="000000"/>
          <w:sz w:val="24"/>
        </w:rPr>
        <w:t>A. 工程施工时注意合理分配施工时段，尽量避开降雨集中时段施工。</w:t>
      </w:r>
    </w:p>
    <w:p>
      <w:pPr>
        <w:topLinePunct/>
        <w:spacing w:line="500" w:lineRule="exact"/>
        <w:ind w:firstLine="480" w:firstLineChars="200"/>
        <w:rPr>
          <w:bCs/>
          <w:color w:val="000000"/>
          <w:sz w:val="24"/>
        </w:rPr>
      </w:pPr>
      <w:r>
        <w:rPr>
          <w:color w:val="000000"/>
          <w:sz w:val="24"/>
        </w:rPr>
        <w:t>B.</w:t>
      </w:r>
      <w:r>
        <w:rPr>
          <w:bCs/>
          <w:color w:val="000000"/>
          <w:sz w:val="24"/>
        </w:rPr>
        <w:t xml:space="preserve"> 加强施工人员的环保意识，规范其在施工当中的行为，严禁肆意破坏与工程无关的土壤、植被。</w:t>
      </w:r>
    </w:p>
    <w:p>
      <w:pPr>
        <w:topLinePunct/>
        <w:spacing w:line="500" w:lineRule="exact"/>
        <w:ind w:firstLine="480" w:firstLineChars="200"/>
        <w:rPr>
          <w:color w:val="000000"/>
          <w:sz w:val="24"/>
        </w:rPr>
      </w:pPr>
      <w:r>
        <w:rPr>
          <w:bCs/>
          <w:color w:val="000000"/>
          <w:sz w:val="24"/>
        </w:rPr>
        <w:t>C.</w:t>
      </w:r>
      <w:r>
        <w:rPr>
          <w:color w:val="000000"/>
          <w:sz w:val="24"/>
        </w:rPr>
        <w:t xml:space="preserve"> 施工期间，开挖的土石方、裸露土做好防治措施，减少开挖断面宽度，禁止肆意破坏；施工结束后，做好施工便道等临时占地的平整工作，以原有土壤表层作为表层回填、平整，以保持土壤肥力。</w:t>
      </w:r>
    </w:p>
    <w:p>
      <w:pPr>
        <w:topLinePunct/>
        <w:spacing w:line="500" w:lineRule="exact"/>
        <w:ind w:firstLine="480" w:firstLineChars="200"/>
        <w:rPr>
          <w:color w:val="000000"/>
          <w:sz w:val="24"/>
        </w:rPr>
      </w:pPr>
      <w:r>
        <w:rPr>
          <w:color w:val="000000"/>
          <w:sz w:val="24"/>
        </w:rPr>
        <w:t>综上分析，本项目在施工期间对生态环境产生一定的影响，通过采取相应的生态保护和恢复措施，尤其是通过施工管理和强化施工期的保护和恢复，则本项目建设对生态环境影响是可接受的。</w:t>
      </w:r>
    </w:p>
    <w:p>
      <w:pPr>
        <w:pStyle w:val="4"/>
        <w:spacing w:before="156" w:after="156"/>
        <w:rPr>
          <w:rFonts w:hAnsi="Times New Roman"/>
          <w:color w:val="000000"/>
        </w:rPr>
      </w:pPr>
      <w:bookmarkStart w:id="264" w:name="_Toc3019536"/>
      <w:bookmarkStart w:id="265" w:name="_Toc488572570"/>
      <w:r>
        <w:rPr>
          <w:rFonts w:hAnsi="Times New Roman"/>
          <w:color w:val="000000"/>
        </w:rPr>
        <w:t>4.2</w:t>
      </w:r>
      <w:bookmarkStart w:id="266" w:name="_Toc303632174"/>
      <w:r>
        <w:rPr>
          <w:rFonts w:hAnsi="Times New Roman"/>
          <w:color w:val="000000"/>
        </w:rPr>
        <w:t>营运期环境影响预测与评价</w:t>
      </w:r>
      <w:bookmarkEnd w:id="262"/>
      <w:bookmarkEnd w:id="264"/>
      <w:bookmarkEnd w:id="265"/>
      <w:bookmarkEnd w:id="266"/>
    </w:p>
    <w:p>
      <w:pPr>
        <w:adjustRightInd w:val="0"/>
        <w:snapToGrid w:val="0"/>
        <w:spacing w:after="120" w:line="600" w:lineRule="exact"/>
        <w:outlineLvl w:val="2"/>
        <w:rPr>
          <w:b/>
          <w:color w:val="000000"/>
          <w:sz w:val="24"/>
        </w:rPr>
      </w:pPr>
      <w:r>
        <w:rPr>
          <w:b/>
          <w:color w:val="000000"/>
          <w:sz w:val="24"/>
        </w:rPr>
        <w:t>4.2.</w:t>
      </w:r>
      <w:bookmarkStart w:id="267" w:name="_Toc298705421"/>
      <w:r>
        <w:rPr>
          <w:b/>
          <w:color w:val="000000"/>
          <w:sz w:val="24"/>
        </w:rPr>
        <w:t xml:space="preserve">1 </w:t>
      </w:r>
      <w:bookmarkEnd w:id="267"/>
      <w:r>
        <w:rPr>
          <w:b/>
          <w:color w:val="000000"/>
          <w:sz w:val="24"/>
        </w:rPr>
        <w:t>大气环境影响预测与评价</w:t>
      </w:r>
    </w:p>
    <w:p>
      <w:pPr>
        <w:adjustRightInd w:val="0"/>
        <w:snapToGrid w:val="0"/>
        <w:spacing w:line="500" w:lineRule="exact"/>
        <w:rPr>
          <w:color w:val="000000"/>
          <w:sz w:val="24"/>
        </w:rPr>
      </w:pPr>
      <w:r>
        <w:rPr>
          <w:color w:val="000000"/>
          <w:sz w:val="24"/>
        </w:rPr>
        <w:t>4.2.1.1 气象参数</w:t>
      </w:r>
    </w:p>
    <w:p>
      <w:pPr>
        <w:adjustRightInd w:val="0"/>
        <w:snapToGrid w:val="0"/>
        <w:spacing w:line="500" w:lineRule="exact"/>
        <w:ind w:firstLine="472" w:firstLineChars="200"/>
        <w:rPr>
          <w:bCs/>
          <w:color w:val="000000"/>
          <w:sz w:val="24"/>
        </w:rPr>
      </w:pPr>
      <w:r>
        <w:rPr>
          <w:bCs/>
          <w:color w:val="000000"/>
          <w:spacing w:val="-2"/>
          <w:sz w:val="24"/>
        </w:rPr>
        <w:t>地面气象资料来源于平舆县气象观测站，</w:t>
      </w:r>
      <w:r>
        <w:rPr>
          <w:bCs/>
          <w:color w:val="000000"/>
          <w:sz w:val="24"/>
        </w:rPr>
        <w:t>本项目场址距平舆县气象站约</w:t>
      </w:r>
      <w:r>
        <w:rPr>
          <w:rFonts w:hint="eastAsia"/>
          <w:bCs/>
          <w:color w:val="000000"/>
          <w:sz w:val="24"/>
        </w:rPr>
        <w:t>17.4</w:t>
      </w:r>
      <w:r>
        <w:rPr>
          <w:bCs/>
          <w:color w:val="000000"/>
          <w:sz w:val="24"/>
        </w:rPr>
        <w:t>km，两地均属平原地区，受相同气候系统的影响和控制，其常规气象资料可以反映项目区域的基本气候特征。</w:t>
      </w:r>
    </w:p>
    <w:p>
      <w:pPr>
        <w:adjustRightInd w:val="0"/>
        <w:snapToGrid w:val="0"/>
        <w:spacing w:line="500" w:lineRule="exact"/>
        <w:rPr>
          <w:sz w:val="24"/>
        </w:rPr>
      </w:pPr>
      <w:r>
        <w:rPr>
          <w:sz w:val="24"/>
        </w:rPr>
        <w:t>（1）</w:t>
      </w:r>
      <w:r>
        <w:rPr>
          <w:bCs/>
          <w:sz w:val="24"/>
        </w:rPr>
        <w:t>气象</w:t>
      </w:r>
      <w:r>
        <w:rPr>
          <w:sz w:val="24"/>
        </w:rPr>
        <w:t>资料来源</w:t>
      </w:r>
    </w:p>
    <w:p>
      <w:pPr>
        <w:spacing w:line="520" w:lineRule="exact"/>
        <w:ind w:firstLine="480" w:firstLineChars="200"/>
        <w:rPr>
          <w:bCs/>
          <w:sz w:val="24"/>
        </w:rPr>
      </w:pPr>
      <w:r>
        <w:rPr>
          <w:bCs/>
          <w:sz w:val="24"/>
        </w:rPr>
        <w:t>地面气象资料来源于平舆县气象观测站，平舆县气象观测站距离本工程厂址约</w:t>
      </w:r>
      <w:r>
        <w:rPr>
          <w:rFonts w:hint="eastAsia"/>
          <w:bCs/>
          <w:sz w:val="24"/>
        </w:rPr>
        <w:t>17.4</w:t>
      </w:r>
      <w:r>
        <w:rPr>
          <w:bCs/>
          <w:sz w:val="24"/>
        </w:rPr>
        <w:t>km，其常规气象资料可以反应出项目区域的基本气候特征。</w:t>
      </w:r>
    </w:p>
    <w:p>
      <w:pPr>
        <w:adjustRightInd w:val="0"/>
        <w:snapToGrid w:val="0"/>
        <w:spacing w:line="500" w:lineRule="exact"/>
        <w:rPr>
          <w:sz w:val="24"/>
        </w:rPr>
      </w:pPr>
      <w:r>
        <w:rPr>
          <w:sz w:val="24"/>
        </w:rPr>
        <w:t>（2）</w:t>
      </w:r>
      <w:r>
        <w:rPr>
          <w:bCs/>
          <w:sz w:val="24"/>
        </w:rPr>
        <w:t>气象</w:t>
      </w:r>
      <w:r>
        <w:rPr>
          <w:sz w:val="24"/>
        </w:rPr>
        <w:t>资料分析</w:t>
      </w:r>
    </w:p>
    <w:p>
      <w:pPr>
        <w:spacing w:line="520" w:lineRule="exact"/>
        <w:ind w:firstLine="480" w:firstLineChars="200"/>
        <w:rPr>
          <w:sz w:val="24"/>
        </w:rPr>
      </w:pPr>
      <w:r>
        <w:rPr>
          <w:sz w:val="24"/>
        </w:rPr>
        <w:t>平舆县属暖温带大陆性季风气候区。境内气候差异很小，气候特点四季分明，春季气温多变，夏热冬冷，秋季降温较快，雨热同季，干湿冷暖适中。光、热、水资源丰富，但雨水集中，易旱、易涝。光照充足，全年无霜期220天。多年平均气温17.5</w:t>
      </w:r>
      <w:r>
        <w:rPr>
          <w:rFonts w:hint="eastAsia" w:ascii="宋体" w:hAnsi="宋体" w:cs="宋体"/>
          <w:sz w:val="24"/>
        </w:rPr>
        <w:t>℃</w:t>
      </w:r>
      <w:r>
        <w:rPr>
          <w:sz w:val="24"/>
        </w:rPr>
        <w:t>，最高气温42.2</w:t>
      </w:r>
      <w:r>
        <w:rPr>
          <w:rFonts w:hint="eastAsia" w:ascii="宋体" w:hAnsi="宋体" w:cs="宋体"/>
          <w:sz w:val="24"/>
        </w:rPr>
        <w:t>℃</w:t>
      </w:r>
      <w:r>
        <w:rPr>
          <w:sz w:val="24"/>
        </w:rPr>
        <w:t>。年平均风速1.89m/s，全年以SSE风为主，据多年的统计资料，极端最大风速20.7m/s，春夏偏南风，秋冬偏北风。降水量年内分布不均，年平均降水量为755.2mm，降水多集中在夏季，降水量为382.8mm，冬季降水量最小为41.9mm。年蒸发量为1744.8mm，相对湿度为71.6%。</w:t>
      </w:r>
    </w:p>
    <w:p>
      <w:pPr>
        <w:adjustRightInd w:val="0"/>
        <w:snapToGrid w:val="0"/>
        <w:spacing w:line="500" w:lineRule="exact"/>
        <w:ind w:firstLine="480" w:firstLineChars="200"/>
      </w:pPr>
      <w:r>
        <w:rPr>
          <w:sz w:val="24"/>
        </w:rPr>
        <w:t>平舆县近30年历史气象资料统计结果详见表4-4。</w:t>
      </w:r>
    </w:p>
    <w:p>
      <w:pPr>
        <w:spacing w:line="520" w:lineRule="exact"/>
        <w:ind w:left="97" w:leftChars="46" w:firstLine="1544" w:firstLineChars="641"/>
        <w:rPr>
          <w:rFonts w:eastAsia="黑体"/>
          <w:b/>
          <w:sz w:val="24"/>
        </w:rPr>
      </w:pPr>
      <w:r>
        <w:rPr>
          <w:b/>
          <w:sz w:val="24"/>
        </w:rPr>
        <w:t>表4-4</w:t>
      </w:r>
      <w:r>
        <w:rPr>
          <w:rFonts w:eastAsia="黑体"/>
          <w:b/>
          <w:sz w:val="24"/>
        </w:rPr>
        <w:t>平舆县近30年历史气候资料统计结果</w:t>
      </w:r>
    </w:p>
    <w:tbl>
      <w:tblPr>
        <w:tblStyle w:val="44"/>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3088"/>
        <w:gridCol w:w="223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Cs w:val="21"/>
              </w:rPr>
            </w:pPr>
            <w:r>
              <w:rPr>
                <w:b/>
                <w:szCs w:val="21"/>
              </w:rPr>
              <w:t>序号</w:t>
            </w:r>
          </w:p>
        </w:tc>
        <w:tc>
          <w:tcPr>
            <w:tcW w:w="30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Cs w:val="21"/>
              </w:rPr>
            </w:pPr>
            <w:r>
              <w:rPr>
                <w:b/>
                <w:szCs w:val="21"/>
              </w:rPr>
              <w:t>项目</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Cs w:val="21"/>
              </w:rPr>
            </w:pPr>
            <w:r>
              <w:rPr>
                <w:b/>
                <w:szCs w:val="21"/>
              </w:rPr>
              <w:t>单位</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
                <w:szCs w:val="21"/>
              </w:rPr>
            </w:pPr>
            <w:r>
              <w:rPr>
                <w:b/>
                <w:szCs w:val="21"/>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1</w:t>
            </w:r>
          </w:p>
        </w:tc>
        <w:tc>
          <w:tcPr>
            <w:tcW w:w="30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平均气温</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rFonts w:hint="eastAsia" w:ascii="宋体" w:hAnsi="宋体" w:cs="宋体"/>
                <w:szCs w:val="21"/>
              </w:rPr>
              <w:t>℃</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2</w:t>
            </w:r>
          </w:p>
        </w:tc>
        <w:tc>
          <w:tcPr>
            <w:tcW w:w="30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极端最高气温</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rFonts w:hint="eastAsia" w:ascii="宋体" w:hAnsi="宋体" w:cs="宋体"/>
                <w:szCs w:val="21"/>
              </w:rPr>
              <w:t>℃</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3</w:t>
            </w:r>
          </w:p>
        </w:tc>
        <w:tc>
          <w:tcPr>
            <w:tcW w:w="30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极端最低气温</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rFonts w:hint="eastAsia" w:ascii="宋体" w:hAnsi="宋体" w:cs="宋体"/>
                <w:szCs w:val="21"/>
              </w:rPr>
              <w:t>℃</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4</w:t>
            </w:r>
          </w:p>
        </w:tc>
        <w:tc>
          <w:tcPr>
            <w:tcW w:w="30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年平均相对湿度</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5</w:t>
            </w:r>
          </w:p>
        </w:tc>
        <w:tc>
          <w:tcPr>
            <w:tcW w:w="30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多年平均降水量</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mm</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755.2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6</w:t>
            </w:r>
          </w:p>
        </w:tc>
        <w:tc>
          <w:tcPr>
            <w:tcW w:w="30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多年平均蒸发量</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mm</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1744.8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7</w:t>
            </w:r>
          </w:p>
        </w:tc>
        <w:tc>
          <w:tcPr>
            <w:tcW w:w="30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多年平均气压</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hPa</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979.1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8</w:t>
            </w:r>
          </w:p>
        </w:tc>
        <w:tc>
          <w:tcPr>
            <w:tcW w:w="30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多年平均风速</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m/s</w:t>
            </w:r>
          </w:p>
        </w:tc>
        <w:tc>
          <w:tcPr>
            <w:tcW w:w="22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Cs w:val="21"/>
              </w:rPr>
            </w:pPr>
            <w:r>
              <w:rPr>
                <w:szCs w:val="21"/>
              </w:rPr>
              <w:t>1.89</w:t>
            </w:r>
          </w:p>
        </w:tc>
      </w:tr>
    </w:tbl>
    <w:p>
      <w:pPr>
        <w:numPr>
          <w:ilvl w:val="0"/>
          <w:numId w:val="3"/>
        </w:numPr>
        <w:tabs>
          <w:tab w:val="left" w:pos="840"/>
        </w:tabs>
        <w:adjustRightInd w:val="0"/>
        <w:snapToGrid w:val="0"/>
        <w:spacing w:line="520" w:lineRule="exact"/>
        <w:ind w:left="0" w:firstLine="480" w:firstLineChars="200"/>
        <w:rPr>
          <w:sz w:val="24"/>
        </w:rPr>
      </w:pPr>
      <w:r>
        <w:rPr>
          <w:sz w:val="24"/>
        </w:rPr>
        <w:t>温度</w:t>
      </w:r>
    </w:p>
    <w:p>
      <w:pPr>
        <w:adjustRightInd w:val="0"/>
        <w:snapToGrid w:val="0"/>
        <w:spacing w:line="520" w:lineRule="exact"/>
        <w:ind w:firstLine="480" w:firstLineChars="200"/>
        <w:rPr>
          <w:kern w:val="0"/>
          <w:sz w:val="24"/>
        </w:rPr>
      </w:pPr>
      <w:r>
        <w:rPr>
          <w:snapToGrid w:val="0"/>
          <w:kern w:val="0"/>
          <w:sz w:val="24"/>
        </w:rPr>
        <w:t>当地年平均气温月变化情况见表</w:t>
      </w:r>
      <w:r>
        <w:rPr>
          <w:kern w:val="0"/>
          <w:sz w:val="24"/>
        </w:rPr>
        <w:t>4-5</w:t>
      </w:r>
      <w:r>
        <w:rPr>
          <w:snapToGrid w:val="0"/>
          <w:kern w:val="0"/>
          <w:sz w:val="24"/>
        </w:rPr>
        <w:t>，年平均气温月变化曲线见图</w:t>
      </w:r>
      <w:r>
        <w:rPr>
          <w:kern w:val="0"/>
          <w:sz w:val="24"/>
        </w:rPr>
        <w:t>4-1</w:t>
      </w:r>
      <w:r>
        <w:rPr>
          <w:snapToGrid w:val="0"/>
          <w:kern w:val="0"/>
          <w:sz w:val="24"/>
        </w:rPr>
        <w:t>。从年平均气温月变化资料中可以看出平舆县</w:t>
      </w:r>
      <w:r>
        <w:rPr>
          <w:kern w:val="0"/>
          <w:sz w:val="24"/>
        </w:rPr>
        <w:t>7</w:t>
      </w:r>
      <w:r>
        <w:rPr>
          <w:snapToGrid w:val="0"/>
          <w:kern w:val="0"/>
          <w:sz w:val="24"/>
        </w:rPr>
        <w:t>月份平均气温最高（</w:t>
      </w:r>
      <w:r>
        <w:rPr>
          <w:kern w:val="0"/>
          <w:sz w:val="24"/>
        </w:rPr>
        <w:t>27.6</w:t>
      </w:r>
      <w:r>
        <w:rPr>
          <w:kern w:val="0"/>
          <w:sz w:val="24"/>
          <w:vertAlign w:val="superscript"/>
        </w:rPr>
        <w:t>º</w:t>
      </w:r>
      <w:r>
        <w:rPr>
          <w:kern w:val="0"/>
          <w:sz w:val="24"/>
        </w:rPr>
        <w:t>C</w:t>
      </w:r>
      <w:r>
        <w:rPr>
          <w:snapToGrid w:val="0"/>
          <w:kern w:val="0"/>
          <w:sz w:val="24"/>
        </w:rPr>
        <w:t>），</w:t>
      </w:r>
      <w:r>
        <w:rPr>
          <w:kern w:val="0"/>
          <w:sz w:val="24"/>
        </w:rPr>
        <w:t>2</w:t>
      </w:r>
      <w:r>
        <w:rPr>
          <w:snapToGrid w:val="0"/>
          <w:kern w:val="0"/>
          <w:sz w:val="24"/>
        </w:rPr>
        <w:t>月份气温平均最低（</w:t>
      </w:r>
      <w:r>
        <w:rPr>
          <w:kern w:val="0"/>
          <w:sz w:val="24"/>
        </w:rPr>
        <w:t>3.1</w:t>
      </w:r>
      <w:r>
        <w:rPr>
          <w:kern w:val="0"/>
          <w:sz w:val="24"/>
          <w:vertAlign w:val="superscript"/>
        </w:rPr>
        <w:t>º</w:t>
      </w:r>
      <w:r>
        <w:rPr>
          <w:kern w:val="0"/>
          <w:sz w:val="24"/>
        </w:rPr>
        <w:t>C</w:t>
      </w:r>
      <w:r>
        <w:rPr>
          <w:snapToGrid w:val="0"/>
          <w:kern w:val="0"/>
          <w:sz w:val="24"/>
        </w:rPr>
        <w:t>）。</w:t>
      </w:r>
    </w:p>
    <w:p>
      <w:pPr>
        <w:adjustRightInd w:val="0"/>
        <w:snapToGrid w:val="0"/>
        <w:spacing w:line="520" w:lineRule="exact"/>
        <w:ind w:firstLine="1928" w:firstLineChars="800"/>
        <w:rPr>
          <w:rFonts w:eastAsia="黑体"/>
          <w:b/>
          <w:sz w:val="24"/>
        </w:rPr>
      </w:pPr>
      <w:r>
        <w:rPr>
          <w:rFonts w:eastAsia="黑体"/>
          <w:b/>
          <w:sz w:val="24"/>
          <w:szCs w:val="22"/>
        </w:rPr>
        <w:t>表4-5          年平均温度月变化</w:t>
      </w:r>
    </w:p>
    <w:tbl>
      <w:tblPr>
        <w:tblStyle w:val="44"/>
        <w:tblW w:w="8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645"/>
        <w:gridCol w:w="527"/>
        <w:gridCol w:w="645"/>
        <w:gridCol w:w="645"/>
        <w:gridCol w:w="645"/>
        <w:gridCol w:w="645"/>
        <w:gridCol w:w="645"/>
        <w:gridCol w:w="645"/>
        <w:gridCol w:w="645"/>
        <w:gridCol w:w="645"/>
        <w:gridCol w:w="587"/>
        <w:gridCol w:w="587"/>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b/>
                <w:szCs w:val="21"/>
              </w:rPr>
            </w:pPr>
            <w:r>
              <w:rPr>
                <w:b/>
                <w:szCs w:val="21"/>
              </w:rPr>
              <w:t>月份</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b/>
                <w:szCs w:val="21"/>
              </w:rPr>
            </w:pPr>
            <w:r>
              <w:rPr>
                <w:b/>
                <w:szCs w:val="21"/>
              </w:rPr>
              <w:t>1月</w:t>
            </w:r>
          </w:p>
        </w:tc>
        <w:tc>
          <w:tcPr>
            <w:tcW w:w="52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b/>
                <w:szCs w:val="21"/>
              </w:rPr>
            </w:pPr>
            <w:r>
              <w:rPr>
                <w:b/>
                <w:szCs w:val="21"/>
              </w:rPr>
              <w:t>2月</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b/>
                <w:szCs w:val="21"/>
              </w:rPr>
            </w:pPr>
            <w:r>
              <w:rPr>
                <w:b/>
                <w:szCs w:val="21"/>
              </w:rPr>
              <w:t>3月</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b/>
                <w:szCs w:val="21"/>
              </w:rPr>
            </w:pPr>
            <w:r>
              <w:rPr>
                <w:b/>
                <w:szCs w:val="21"/>
              </w:rPr>
              <w:t>4月</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b/>
                <w:szCs w:val="21"/>
              </w:rPr>
            </w:pPr>
            <w:r>
              <w:rPr>
                <w:b/>
                <w:szCs w:val="21"/>
              </w:rPr>
              <w:t>5月</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b/>
                <w:szCs w:val="21"/>
              </w:rPr>
            </w:pPr>
            <w:r>
              <w:rPr>
                <w:b/>
                <w:szCs w:val="21"/>
              </w:rPr>
              <w:t>6月</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b/>
                <w:szCs w:val="21"/>
              </w:rPr>
            </w:pPr>
            <w:r>
              <w:rPr>
                <w:b/>
                <w:szCs w:val="21"/>
              </w:rPr>
              <w:t>7月</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b/>
                <w:szCs w:val="21"/>
              </w:rPr>
            </w:pPr>
            <w:r>
              <w:rPr>
                <w:b/>
                <w:szCs w:val="21"/>
              </w:rPr>
              <w:t>8月</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b/>
                <w:szCs w:val="21"/>
              </w:rPr>
            </w:pPr>
            <w:r>
              <w:rPr>
                <w:b/>
                <w:szCs w:val="21"/>
              </w:rPr>
              <w:t>9月</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b/>
                <w:szCs w:val="21"/>
              </w:rPr>
            </w:pPr>
            <w:r>
              <w:rPr>
                <w:b/>
                <w:szCs w:val="21"/>
              </w:rPr>
              <w:t>10月</w:t>
            </w:r>
          </w:p>
        </w:tc>
        <w:tc>
          <w:tcPr>
            <w:tcW w:w="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b/>
                <w:szCs w:val="21"/>
              </w:rPr>
            </w:pPr>
            <w:r>
              <w:rPr>
                <w:b/>
                <w:szCs w:val="21"/>
              </w:rPr>
              <w:t>11月</w:t>
            </w:r>
          </w:p>
        </w:tc>
        <w:tc>
          <w:tcPr>
            <w:tcW w:w="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b/>
                <w:szCs w:val="21"/>
              </w:rPr>
            </w:pPr>
            <w:r>
              <w:rPr>
                <w:b/>
                <w:szCs w:val="21"/>
              </w:rPr>
              <w:t>12月</w:t>
            </w:r>
          </w:p>
        </w:tc>
        <w:tc>
          <w:tcPr>
            <w:tcW w:w="6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b/>
                <w:szCs w:val="21"/>
              </w:rPr>
            </w:pPr>
            <w:r>
              <w:rPr>
                <w:b/>
                <w:szCs w:val="21"/>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spacing w:line="360" w:lineRule="exact"/>
              <w:jc w:val="center"/>
              <w:rPr>
                <w:szCs w:val="21"/>
              </w:rPr>
            </w:pPr>
            <w:r>
              <w:rPr>
                <w:szCs w:val="21"/>
              </w:rPr>
              <w:t>温度</w:t>
            </w:r>
          </w:p>
          <w:p>
            <w:pPr>
              <w:spacing w:line="360" w:lineRule="exact"/>
              <w:jc w:val="center"/>
              <w:rPr>
                <w:szCs w:val="21"/>
              </w:rPr>
            </w:pPr>
            <w:r>
              <w:rPr>
                <w:szCs w:val="21"/>
              </w:rPr>
              <w:t>(°C)</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szCs w:val="21"/>
              </w:rPr>
            </w:pPr>
            <w:r>
              <w:rPr>
                <w:szCs w:val="21"/>
              </w:rPr>
              <w:t>-1.93</w:t>
            </w:r>
          </w:p>
        </w:tc>
        <w:tc>
          <w:tcPr>
            <w:tcW w:w="52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szCs w:val="21"/>
              </w:rPr>
            </w:pPr>
            <w:r>
              <w:rPr>
                <w:szCs w:val="21"/>
              </w:rPr>
              <w:t>0.51</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szCs w:val="21"/>
              </w:rPr>
            </w:pPr>
            <w:r>
              <w:rPr>
                <w:szCs w:val="21"/>
              </w:rPr>
              <w:t>10.18</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szCs w:val="21"/>
              </w:rPr>
            </w:pPr>
            <w:r>
              <w:rPr>
                <w:szCs w:val="21"/>
              </w:rPr>
              <w:t>14.74</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szCs w:val="21"/>
              </w:rPr>
            </w:pPr>
            <w:r>
              <w:rPr>
                <w:szCs w:val="21"/>
              </w:rPr>
              <w:t>21.30</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szCs w:val="21"/>
              </w:rPr>
            </w:pPr>
            <w:r>
              <w:rPr>
                <w:szCs w:val="21"/>
              </w:rPr>
              <w:t>24.23</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szCs w:val="21"/>
              </w:rPr>
            </w:pPr>
            <w:r>
              <w:rPr>
                <w:szCs w:val="21"/>
              </w:rPr>
              <w:t>25.73</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szCs w:val="21"/>
              </w:rPr>
            </w:pPr>
            <w:r>
              <w:rPr>
                <w:szCs w:val="21"/>
              </w:rPr>
              <w:t>25.56</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szCs w:val="21"/>
              </w:rPr>
            </w:pPr>
            <w:r>
              <w:rPr>
                <w:szCs w:val="21"/>
              </w:rPr>
              <w:t>20.95</w:t>
            </w:r>
          </w:p>
        </w:tc>
        <w:tc>
          <w:tcPr>
            <w:tcW w:w="6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szCs w:val="21"/>
              </w:rPr>
            </w:pPr>
            <w:r>
              <w:rPr>
                <w:szCs w:val="21"/>
              </w:rPr>
              <w:t>16.12</w:t>
            </w:r>
          </w:p>
        </w:tc>
        <w:tc>
          <w:tcPr>
            <w:tcW w:w="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szCs w:val="21"/>
              </w:rPr>
            </w:pPr>
            <w:r>
              <w:rPr>
                <w:szCs w:val="21"/>
              </w:rPr>
              <w:t>8.48</w:t>
            </w:r>
          </w:p>
        </w:tc>
        <w:tc>
          <w:tcPr>
            <w:tcW w:w="58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szCs w:val="21"/>
              </w:rPr>
            </w:pPr>
            <w:r>
              <w:rPr>
                <w:szCs w:val="21"/>
              </w:rPr>
              <w:t>1.86</w:t>
            </w:r>
          </w:p>
        </w:tc>
        <w:tc>
          <w:tcPr>
            <w:tcW w:w="6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spacing w:line="360" w:lineRule="exact"/>
              <w:jc w:val="center"/>
              <w:rPr>
                <w:szCs w:val="21"/>
              </w:rPr>
            </w:pPr>
            <w:r>
              <w:rPr>
                <w:szCs w:val="21"/>
              </w:rPr>
              <w:t>14.02</w:t>
            </w:r>
          </w:p>
        </w:tc>
      </w:tr>
    </w:tbl>
    <w:p>
      <w:pPr>
        <w:adjustRightInd w:val="0"/>
        <w:snapToGrid w:val="0"/>
        <w:spacing w:beforeLines="100" w:afterLines="50"/>
        <w:jc w:val="center"/>
        <w:rPr>
          <w:snapToGrid w:val="0"/>
          <w:kern w:val="0"/>
          <w:sz w:val="24"/>
        </w:rPr>
      </w:pPr>
      <w:r>
        <w:drawing>
          <wp:inline distT="0" distB="0" distL="0" distR="0">
            <wp:extent cx="5381625" cy="1771650"/>
            <wp:effectExtent l="19050" t="0" r="9525"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noChangeArrowheads="1"/>
                    </pic:cNvPicPr>
                  </pic:nvPicPr>
                  <pic:blipFill>
                    <a:blip r:embed="rId32" cstate="print"/>
                    <a:srcRect l="1225" t="13983" r="1523" b="2942"/>
                    <a:stretch>
                      <a:fillRect/>
                    </a:stretch>
                  </pic:blipFill>
                  <pic:spPr>
                    <a:xfrm>
                      <a:off x="0" y="0"/>
                      <a:ext cx="5381625" cy="1771650"/>
                    </a:xfrm>
                    <a:prstGeom prst="rect">
                      <a:avLst/>
                    </a:prstGeom>
                    <a:noFill/>
                    <a:ln w="9525">
                      <a:noFill/>
                      <a:miter lim="800000"/>
                      <a:headEnd/>
                      <a:tailEnd/>
                    </a:ln>
                  </pic:spPr>
                </pic:pic>
              </a:graphicData>
            </a:graphic>
          </wp:inline>
        </w:drawing>
      </w:r>
    </w:p>
    <w:p>
      <w:pPr>
        <w:spacing w:line="520" w:lineRule="exact"/>
        <w:jc w:val="center"/>
        <w:rPr>
          <w:rFonts w:eastAsia="黑体"/>
          <w:bCs/>
          <w:sz w:val="24"/>
        </w:rPr>
      </w:pPr>
      <w:r>
        <w:rPr>
          <w:rFonts w:eastAsia="黑体"/>
          <w:bCs/>
          <w:sz w:val="24"/>
        </w:rPr>
        <w:t>图4-1 年平均温度月变化图</w:t>
      </w:r>
    </w:p>
    <w:p>
      <w:pPr>
        <w:numPr>
          <w:ilvl w:val="0"/>
          <w:numId w:val="3"/>
        </w:numPr>
        <w:adjustRightInd w:val="0"/>
        <w:snapToGrid w:val="0"/>
        <w:spacing w:line="520" w:lineRule="exact"/>
        <w:ind w:left="0" w:firstLine="480" w:firstLineChars="200"/>
        <w:rPr>
          <w:bCs/>
          <w:kern w:val="0"/>
          <w:sz w:val="24"/>
        </w:rPr>
      </w:pPr>
      <w:r>
        <w:rPr>
          <w:bCs/>
          <w:snapToGrid w:val="0"/>
          <w:kern w:val="0"/>
          <w:sz w:val="24"/>
        </w:rPr>
        <w:t>风速</w:t>
      </w:r>
    </w:p>
    <w:p>
      <w:pPr>
        <w:adjustRightInd w:val="0"/>
        <w:snapToGrid w:val="0"/>
        <w:spacing w:line="520" w:lineRule="exact"/>
        <w:ind w:firstLine="480" w:firstLineChars="200"/>
        <w:rPr>
          <w:bCs/>
          <w:kern w:val="0"/>
          <w:sz w:val="24"/>
        </w:rPr>
      </w:pPr>
      <w:r>
        <w:rPr>
          <w:bCs/>
          <w:snapToGrid w:val="0"/>
          <w:kern w:val="0"/>
          <w:sz w:val="24"/>
        </w:rPr>
        <w:t>月平均风速随月份的变化和季小时平均风速的日变化情况分别见表</w:t>
      </w:r>
      <w:r>
        <w:rPr>
          <w:bCs/>
          <w:kern w:val="0"/>
          <w:sz w:val="24"/>
        </w:rPr>
        <w:t>4-6</w:t>
      </w:r>
      <w:r>
        <w:rPr>
          <w:bCs/>
          <w:snapToGrid w:val="0"/>
          <w:kern w:val="0"/>
          <w:sz w:val="24"/>
        </w:rPr>
        <w:t>和表</w:t>
      </w:r>
      <w:r>
        <w:rPr>
          <w:bCs/>
          <w:kern w:val="0"/>
          <w:sz w:val="24"/>
        </w:rPr>
        <w:t>4-7</w:t>
      </w:r>
      <w:r>
        <w:rPr>
          <w:bCs/>
          <w:snapToGrid w:val="0"/>
          <w:kern w:val="0"/>
          <w:sz w:val="24"/>
        </w:rPr>
        <w:t>，月平均风速、各季小时的平均风速变化曲线见表</w:t>
      </w:r>
      <w:r>
        <w:rPr>
          <w:bCs/>
          <w:kern w:val="0"/>
          <w:sz w:val="24"/>
        </w:rPr>
        <w:t>4-2</w:t>
      </w:r>
      <w:r>
        <w:rPr>
          <w:bCs/>
          <w:snapToGrid w:val="0"/>
          <w:kern w:val="0"/>
          <w:sz w:val="24"/>
        </w:rPr>
        <w:t>和图</w:t>
      </w:r>
      <w:r>
        <w:rPr>
          <w:bCs/>
          <w:kern w:val="0"/>
          <w:sz w:val="24"/>
        </w:rPr>
        <w:t>4-3</w:t>
      </w:r>
      <w:r>
        <w:rPr>
          <w:bCs/>
          <w:snapToGrid w:val="0"/>
          <w:kern w:val="0"/>
          <w:sz w:val="24"/>
        </w:rPr>
        <w:t>。</w:t>
      </w:r>
    </w:p>
    <w:p>
      <w:pPr>
        <w:pStyle w:val="17"/>
        <w:widowControl/>
        <w:adjustRightInd w:val="0"/>
        <w:snapToGrid w:val="0"/>
        <w:spacing w:line="520" w:lineRule="exact"/>
        <w:ind w:firstLine="482" w:firstLineChars="200"/>
        <w:rPr>
          <w:rFonts w:eastAsia="黑体"/>
          <w:b/>
          <w:sz w:val="24"/>
        </w:rPr>
      </w:pPr>
      <w:r>
        <w:rPr>
          <w:rFonts w:eastAsia="黑体"/>
          <w:b/>
          <w:sz w:val="24"/>
        </w:rPr>
        <w:t xml:space="preserve"> 表4-6                   年平均风速月变化</w:t>
      </w:r>
    </w:p>
    <w:tbl>
      <w:tblPr>
        <w:tblStyle w:val="44"/>
        <w:tblW w:w="87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644"/>
        <w:gridCol w:w="630"/>
        <w:gridCol w:w="630"/>
        <w:gridCol w:w="630"/>
        <w:gridCol w:w="683"/>
        <w:gridCol w:w="569"/>
        <w:gridCol w:w="569"/>
        <w:gridCol w:w="569"/>
        <w:gridCol w:w="569"/>
        <w:gridCol w:w="633"/>
        <w:gridCol w:w="633"/>
        <w:gridCol w:w="633"/>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spacing w:line="360" w:lineRule="exact"/>
              <w:jc w:val="center"/>
              <w:textAlignment w:val="bottom"/>
              <w:rPr>
                <w:b/>
                <w:kern w:val="0"/>
                <w:szCs w:val="21"/>
              </w:rPr>
            </w:pPr>
            <w:r>
              <w:rPr>
                <w:b/>
                <w:kern w:val="0"/>
                <w:szCs w:val="21"/>
              </w:rPr>
              <w:t>月份</w:t>
            </w:r>
          </w:p>
        </w:tc>
        <w:tc>
          <w:tcPr>
            <w:tcW w:w="64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spacing w:line="360" w:lineRule="exact"/>
              <w:jc w:val="center"/>
              <w:textAlignment w:val="bottom"/>
              <w:rPr>
                <w:b/>
                <w:kern w:val="0"/>
                <w:szCs w:val="21"/>
              </w:rPr>
            </w:pPr>
            <w:r>
              <w:rPr>
                <w:b/>
                <w:kern w:val="0"/>
                <w:szCs w:val="21"/>
              </w:rPr>
              <w:t>1月</w:t>
            </w:r>
          </w:p>
        </w:tc>
        <w:tc>
          <w:tcPr>
            <w:tcW w:w="63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spacing w:line="360" w:lineRule="exact"/>
              <w:jc w:val="center"/>
              <w:textAlignment w:val="bottom"/>
              <w:rPr>
                <w:b/>
                <w:kern w:val="0"/>
                <w:szCs w:val="21"/>
              </w:rPr>
            </w:pPr>
            <w:r>
              <w:rPr>
                <w:b/>
                <w:kern w:val="0"/>
                <w:szCs w:val="21"/>
              </w:rPr>
              <w:t>2月</w:t>
            </w:r>
          </w:p>
        </w:tc>
        <w:tc>
          <w:tcPr>
            <w:tcW w:w="63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spacing w:line="360" w:lineRule="exact"/>
              <w:jc w:val="center"/>
              <w:textAlignment w:val="bottom"/>
              <w:rPr>
                <w:b/>
                <w:kern w:val="0"/>
                <w:szCs w:val="21"/>
              </w:rPr>
            </w:pPr>
            <w:r>
              <w:rPr>
                <w:b/>
                <w:kern w:val="0"/>
                <w:szCs w:val="21"/>
              </w:rPr>
              <w:t>3月</w:t>
            </w:r>
          </w:p>
        </w:tc>
        <w:tc>
          <w:tcPr>
            <w:tcW w:w="63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spacing w:line="360" w:lineRule="exact"/>
              <w:jc w:val="center"/>
              <w:textAlignment w:val="bottom"/>
              <w:rPr>
                <w:b/>
                <w:kern w:val="0"/>
                <w:szCs w:val="21"/>
              </w:rPr>
            </w:pPr>
            <w:r>
              <w:rPr>
                <w:b/>
                <w:kern w:val="0"/>
                <w:szCs w:val="21"/>
              </w:rPr>
              <w:t>4月</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spacing w:line="360" w:lineRule="exact"/>
              <w:jc w:val="center"/>
              <w:textAlignment w:val="bottom"/>
              <w:rPr>
                <w:b/>
                <w:kern w:val="0"/>
                <w:szCs w:val="21"/>
              </w:rPr>
            </w:pPr>
            <w:r>
              <w:rPr>
                <w:b/>
                <w:kern w:val="0"/>
                <w:szCs w:val="21"/>
              </w:rPr>
              <w:t>5月</w:t>
            </w:r>
          </w:p>
        </w:tc>
        <w:tc>
          <w:tcPr>
            <w:tcW w:w="56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spacing w:line="360" w:lineRule="exact"/>
              <w:jc w:val="center"/>
              <w:textAlignment w:val="bottom"/>
              <w:rPr>
                <w:b/>
                <w:kern w:val="0"/>
                <w:szCs w:val="21"/>
              </w:rPr>
            </w:pPr>
            <w:r>
              <w:rPr>
                <w:b/>
                <w:kern w:val="0"/>
                <w:szCs w:val="21"/>
              </w:rPr>
              <w:t>6月</w:t>
            </w:r>
          </w:p>
        </w:tc>
        <w:tc>
          <w:tcPr>
            <w:tcW w:w="56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spacing w:line="360" w:lineRule="exact"/>
              <w:jc w:val="center"/>
              <w:textAlignment w:val="bottom"/>
              <w:rPr>
                <w:b/>
                <w:kern w:val="0"/>
                <w:szCs w:val="21"/>
              </w:rPr>
            </w:pPr>
            <w:r>
              <w:rPr>
                <w:b/>
                <w:kern w:val="0"/>
                <w:szCs w:val="21"/>
              </w:rPr>
              <w:t>7月</w:t>
            </w:r>
          </w:p>
        </w:tc>
        <w:tc>
          <w:tcPr>
            <w:tcW w:w="56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spacing w:line="360" w:lineRule="exact"/>
              <w:jc w:val="center"/>
              <w:textAlignment w:val="bottom"/>
              <w:rPr>
                <w:b/>
                <w:kern w:val="0"/>
                <w:szCs w:val="21"/>
              </w:rPr>
            </w:pPr>
            <w:r>
              <w:rPr>
                <w:b/>
                <w:kern w:val="0"/>
                <w:szCs w:val="21"/>
              </w:rPr>
              <w:t>8月</w:t>
            </w:r>
          </w:p>
        </w:tc>
        <w:tc>
          <w:tcPr>
            <w:tcW w:w="56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spacing w:line="360" w:lineRule="exact"/>
              <w:jc w:val="center"/>
              <w:textAlignment w:val="bottom"/>
              <w:rPr>
                <w:b/>
                <w:kern w:val="0"/>
                <w:szCs w:val="21"/>
              </w:rPr>
            </w:pPr>
            <w:r>
              <w:rPr>
                <w:b/>
                <w:kern w:val="0"/>
                <w:szCs w:val="21"/>
              </w:rPr>
              <w:t>9月</w:t>
            </w:r>
          </w:p>
        </w:tc>
        <w:tc>
          <w:tcPr>
            <w:tcW w:w="63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spacing w:line="360" w:lineRule="exact"/>
              <w:jc w:val="center"/>
              <w:textAlignment w:val="bottom"/>
              <w:rPr>
                <w:b/>
                <w:kern w:val="0"/>
                <w:szCs w:val="21"/>
              </w:rPr>
            </w:pPr>
            <w:r>
              <w:rPr>
                <w:b/>
                <w:kern w:val="0"/>
                <w:szCs w:val="21"/>
              </w:rPr>
              <w:t>10月</w:t>
            </w:r>
          </w:p>
        </w:tc>
        <w:tc>
          <w:tcPr>
            <w:tcW w:w="63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spacing w:line="360" w:lineRule="exact"/>
              <w:jc w:val="center"/>
              <w:textAlignment w:val="bottom"/>
              <w:rPr>
                <w:b/>
                <w:kern w:val="0"/>
                <w:szCs w:val="21"/>
              </w:rPr>
            </w:pPr>
            <w:r>
              <w:rPr>
                <w:b/>
                <w:kern w:val="0"/>
                <w:szCs w:val="21"/>
              </w:rPr>
              <w:t>11月</w:t>
            </w:r>
          </w:p>
        </w:tc>
        <w:tc>
          <w:tcPr>
            <w:tcW w:w="63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spacing w:line="360" w:lineRule="exact"/>
              <w:jc w:val="center"/>
              <w:textAlignment w:val="bottom"/>
              <w:rPr>
                <w:b/>
                <w:kern w:val="0"/>
                <w:szCs w:val="21"/>
              </w:rPr>
            </w:pPr>
            <w:r>
              <w:rPr>
                <w:b/>
                <w:kern w:val="0"/>
                <w:szCs w:val="21"/>
              </w:rPr>
              <w:t>12月</w:t>
            </w:r>
          </w:p>
        </w:tc>
        <w:tc>
          <w:tcPr>
            <w:tcW w:w="56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spacing w:line="360" w:lineRule="exact"/>
              <w:jc w:val="center"/>
              <w:textAlignment w:val="bottom"/>
              <w:rPr>
                <w:b/>
                <w:kern w:val="0"/>
                <w:szCs w:val="21"/>
              </w:rPr>
            </w:pPr>
            <w:r>
              <w:rPr>
                <w:b/>
                <w:kern w:val="0"/>
                <w:szCs w:val="21"/>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widowControl/>
              <w:adjustRightInd w:val="0"/>
              <w:snapToGrid w:val="0"/>
              <w:spacing w:line="360" w:lineRule="exact"/>
              <w:jc w:val="center"/>
              <w:textAlignment w:val="bottom"/>
              <w:rPr>
                <w:kern w:val="0"/>
                <w:szCs w:val="21"/>
              </w:rPr>
            </w:pPr>
            <w:r>
              <w:rPr>
                <w:kern w:val="0"/>
                <w:szCs w:val="21"/>
              </w:rPr>
              <w:t>风速(m/s)</w:t>
            </w:r>
          </w:p>
        </w:tc>
        <w:tc>
          <w:tcPr>
            <w:tcW w:w="644"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adjustRightInd w:val="0"/>
              <w:snapToGrid w:val="0"/>
              <w:spacing w:line="360" w:lineRule="exact"/>
              <w:jc w:val="center"/>
              <w:textAlignment w:val="bottom"/>
              <w:rPr>
                <w:kern w:val="0"/>
                <w:szCs w:val="21"/>
              </w:rPr>
            </w:pPr>
            <w:r>
              <w:rPr>
                <w:kern w:val="0"/>
                <w:szCs w:val="21"/>
              </w:rPr>
              <w:t>1.46</w:t>
            </w:r>
          </w:p>
        </w:tc>
        <w:tc>
          <w:tcPr>
            <w:tcW w:w="630"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adjustRightInd w:val="0"/>
              <w:snapToGrid w:val="0"/>
              <w:spacing w:line="360" w:lineRule="exact"/>
              <w:jc w:val="center"/>
              <w:textAlignment w:val="bottom"/>
              <w:rPr>
                <w:kern w:val="0"/>
                <w:szCs w:val="21"/>
              </w:rPr>
            </w:pPr>
            <w:r>
              <w:rPr>
                <w:kern w:val="0"/>
                <w:szCs w:val="21"/>
              </w:rPr>
              <w:t>1.62</w:t>
            </w:r>
          </w:p>
        </w:tc>
        <w:tc>
          <w:tcPr>
            <w:tcW w:w="630"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adjustRightInd w:val="0"/>
              <w:snapToGrid w:val="0"/>
              <w:spacing w:line="360" w:lineRule="exact"/>
              <w:jc w:val="center"/>
              <w:textAlignment w:val="bottom"/>
              <w:rPr>
                <w:kern w:val="0"/>
                <w:szCs w:val="21"/>
              </w:rPr>
            </w:pPr>
            <w:r>
              <w:rPr>
                <w:kern w:val="0"/>
                <w:szCs w:val="21"/>
              </w:rPr>
              <w:t>1.72</w:t>
            </w:r>
          </w:p>
        </w:tc>
        <w:tc>
          <w:tcPr>
            <w:tcW w:w="630"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adjustRightInd w:val="0"/>
              <w:snapToGrid w:val="0"/>
              <w:spacing w:line="360" w:lineRule="exact"/>
              <w:jc w:val="center"/>
              <w:textAlignment w:val="bottom"/>
              <w:rPr>
                <w:kern w:val="0"/>
                <w:szCs w:val="21"/>
              </w:rPr>
            </w:pPr>
            <w:r>
              <w:rPr>
                <w:kern w:val="0"/>
                <w:szCs w:val="21"/>
              </w:rPr>
              <w:t>1.34</w:t>
            </w:r>
          </w:p>
        </w:tc>
        <w:tc>
          <w:tcPr>
            <w:tcW w:w="68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adjustRightInd w:val="0"/>
              <w:snapToGrid w:val="0"/>
              <w:spacing w:line="360" w:lineRule="exact"/>
              <w:jc w:val="center"/>
              <w:textAlignment w:val="bottom"/>
              <w:rPr>
                <w:kern w:val="0"/>
                <w:szCs w:val="21"/>
              </w:rPr>
            </w:pPr>
            <w:r>
              <w:rPr>
                <w:kern w:val="0"/>
                <w:szCs w:val="21"/>
              </w:rPr>
              <w:t>1.71</w:t>
            </w:r>
          </w:p>
        </w:tc>
        <w:tc>
          <w:tcPr>
            <w:tcW w:w="569"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adjustRightInd w:val="0"/>
              <w:snapToGrid w:val="0"/>
              <w:spacing w:line="360" w:lineRule="exact"/>
              <w:jc w:val="center"/>
              <w:textAlignment w:val="bottom"/>
              <w:rPr>
                <w:kern w:val="0"/>
                <w:szCs w:val="21"/>
              </w:rPr>
            </w:pPr>
            <w:r>
              <w:rPr>
                <w:kern w:val="0"/>
                <w:szCs w:val="21"/>
              </w:rPr>
              <w:t>1.32</w:t>
            </w:r>
          </w:p>
        </w:tc>
        <w:tc>
          <w:tcPr>
            <w:tcW w:w="569"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adjustRightInd w:val="0"/>
              <w:snapToGrid w:val="0"/>
              <w:spacing w:line="360" w:lineRule="exact"/>
              <w:jc w:val="center"/>
              <w:textAlignment w:val="bottom"/>
              <w:rPr>
                <w:kern w:val="0"/>
                <w:szCs w:val="21"/>
              </w:rPr>
            </w:pPr>
            <w:r>
              <w:rPr>
                <w:kern w:val="0"/>
                <w:szCs w:val="21"/>
              </w:rPr>
              <w:t>1.11</w:t>
            </w:r>
          </w:p>
        </w:tc>
        <w:tc>
          <w:tcPr>
            <w:tcW w:w="569"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adjustRightInd w:val="0"/>
              <w:snapToGrid w:val="0"/>
              <w:spacing w:line="360" w:lineRule="exact"/>
              <w:jc w:val="center"/>
              <w:textAlignment w:val="bottom"/>
              <w:rPr>
                <w:kern w:val="0"/>
                <w:szCs w:val="21"/>
              </w:rPr>
            </w:pPr>
            <w:r>
              <w:rPr>
                <w:kern w:val="0"/>
                <w:szCs w:val="21"/>
              </w:rPr>
              <w:t>1.01</w:t>
            </w:r>
          </w:p>
        </w:tc>
        <w:tc>
          <w:tcPr>
            <w:tcW w:w="569"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adjustRightInd w:val="0"/>
              <w:snapToGrid w:val="0"/>
              <w:spacing w:line="360" w:lineRule="exact"/>
              <w:jc w:val="center"/>
              <w:textAlignment w:val="bottom"/>
              <w:rPr>
                <w:kern w:val="0"/>
                <w:szCs w:val="21"/>
              </w:rPr>
            </w:pPr>
            <w:r>
              <w:rPr>
                <w:kern w:val="0"/>
                <w:szCs w:val="21"/>
              </w:rPr>
              <w:t>1.11</w:t>
            </w:r>
          </w:p>
        </w:tc>
        <w:tc>
          <w:tcPr>
            <w:tcW w:w="63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adjustRightInd w:val="0"/>
              <w:snapToGrid w:val="0"/>
              <w:spacing w:line="360" w:lineRule="exact"/>
              <w:jc w:val="center"/>
              <w:textAlignment w:val="bottom"/>
              <w:rPr>
                <w:kern w:val="0"/>
                <w:szCs w:val="21"/>
              </w:rPr>
            </w:pPr>
            <w:r>
              <w:rPr>
                <w:kern w:val="0"/>
                <w:szCs w:val="21"/>
              </w:rPr>
              <w:t>1.29</w:t>
            </w:r>
          </w:p>
        </w:tc>
        <w:tc>
          <w:tcPr>
            <w:tcW w:w="63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adjustRightInd w:val="0"/>
              <w:snapToGrid w:val="0"/>
              <w:spacing w:line="360" w:lineRule="exact"/>
              <w:jc w:val="center"/>
              <w:textAlignment w:val="bottom"/>
              <w:rPr>
                <w:kern w:val="0"/>
                <w:szCs w:val="21"/>
              </w:rPr>
            </w:pPr>
            <w:r>
              <w:rPr>
                <w:kern w:val="0"/>
                <w:szCs w:val="21"/>
              </w:rPr>
              <w:t>1.59</w:t>
            </w:r>
          </w:p>
        </w:tc>
        <w:tc>
          <w:tcPr>
            <w:tcW w:w="633"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adjustRightInd w:val="0"/>
              <w:snapToGrid w:val="0"/>
              <w:spacing w:line="360" w:lineRule="exact"/>
              <w:jc w:val="center"/>
              <w:textAlignment w:val="bottom"/>
              <w:rPr>
                <w:kern w:val="0"/>
                <w:szCs w:val="21"/>
              </w:rPr>
            </w:pPr>
            <w:r>
              <w:rPr>
                <w:kern w:val="0"/>
                <w:szCs w:val="21"/>
              </w:rPr>
              <w:t>1.30</w:t>
            </w:r>
          </w:p>
        </w:tc>
        <w:tc>
          <w:tcPr>
            <w:tcW w:w="56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pPr>
              <w:widowControl/>
              <w:adjustRightInd w:val="0"/>
              <w:snapToGrid w:val="0"/>
              <w:spacing w:line="360" w:lineRule="exact"/>
              <w:jc w:val="center"/>
              <w:textAlignment w:val="bottom"/>
              <w:rPr>
                <w:kern w:val="0"/>
                <w:szCs w:val="21"/>
              </w:rPr>
            </w:pPr>
            <w:r>
              <w:rPr>
                <w:kern w:val="0"/>
                <w:szCs w:val="21"/>
              </w:rPr>
              <w:t>1.38</w:t>
            </w:r>
          </w:p>
        </w:tc>
      </w:tr>
    </w:tbl>
    <w:p>
      <w:pPr>
        <w:adjustRightInd w:val="0"/>
        <w:snapToGrid w:val="0"/>
        <w:spacing w:beforeLines="100" w:afterLines="50"/>
        <w:jc w:val="center"/>
        <w:rPr>
          <w:rFonts w:eastAsia="黑体"/>
          <w:sz w:val="24"/>
        </w:rPr>
      </w:pPr>
      <w:r>
        <w:drawing>
          <wp:inline distT="0" distB="0" distL="0" distR="0">
            <wp:extent cx="5419725" cy="1781175"/>
            <wp:effectExtent l="19050" t="19050" r="28575" b="2857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noChangeArrowheads="1"/>
                    </pic:cNvPicPr>
                  </pic:nvPicPr>
                  <pic:blipFill>
                    <a:blip r:embed="rId33" cstate="print"/>
                    <a:srcRect l="882" t="13882" r="1352" b="2856"/>
                    <a:stretch>
                      <a:fillRect/>
                    </a:stretch>
                  </pic:blipFill>
                  <pic:spPr>
                    <a:xfrm>
                      <a:off x="0" y="0"/>
                      <a:ext cx="5419725" cy="1781175"/>
                    </a:xfrm>
                    <a:prstGeom prst="rect">
                      <a:avLst/>
                    </a:prstGeom>
                    <a:noFill/>
                    <a:ln w="6350" cmpd="sng">
                      <a:solidFill>
                        <a:srgbClr val="000000"/>
                      </a:solidFill>
                      <a:miter lim="800000"/>
                      <a:headEnd/>
                      <a:tailEnd/>
                    </a:ln>
                    <a:effectLst/>
                  </pic:spPr>
                </pic:pic>
              </a:graphicData>
            </a:graphic>
          </wp:inline>
        </w:drawing>
      </w:r>
      <w:r>
        <w:rPr>
          <w:rFonts w:eastAsia="黑体"/>
          <w:bCs/>
          <w:sz w:val="24"/>
        </w:rPr>
        <w:t>图4-2  年平均风速月变化图</w:t>
      </w:r>
    </w:p>
    <w:p>
      <w:pPr>
        <w:pStyle w:val="17"/>
        <w:widowControl/>
        <w:spacing w:after="0" w:line="520" w:lineRule="exact"/>
        <w:ind w:left="105" w:leftChars="50" w:firstLine="482" w:firstLineChars="200"/>
        <w:rPr>
          <w:b/>
          <w:sz w:val="24"/>
          <w:szCs w:val="24"/>
        </w:rPr>
      </w:pPr>
      <w:r>
        <w:rPr>
          <w:rFonts w:eastAsia="黑体"/>
          <w:b/>
          <w:sz w:val="24"/>
          <w:szCs w:val="24"/>
        </w:rPr>
        <w:t xml:space="preserve">表4-7            季小时平均风速的日变化                </w:t>
      </w:r>
      <w:r>
        <w:rPr>
          <w:b/>
          <w:sz w:val="24"/>
          <w:szCs w:val="24"/>
        </w:rPr>
        <w:t>单位：m/s</w:t>
      </w:r>
    </w:p>
    <w:tbl>
      <w:tblPr>
        <w:tblStyle w:val="44"/>
        <w:tblW w:w="8786"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941"/>
        <w:gridCol w:w="653"/>
        <w:gridCol w:w="653"/>
        <w:gridCol w:w="653"/>
        <w:gridCol w:w="654"/>
        <w:gridCol w:w="654"/>
        <w:gridCol w:w="654"/>
        <w:gridCol w:w="654"/>
        <w:gridCol w:w="654"/>
        <w:gridCol w:w="654"/>
        <w:gridCol w:w="654"/>
        <w:gridCol w:w="654"/>
        <w:gridCol w:w="654"/>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1" w:type="dxa"/>
            <w:tcBorders>
              <w:top w:val="single" w:color="auto" w:sz="2" w:space="0"/>
              <w:left w:val="single" w:color="auto" w:sz="2" w:space="0"/>
              <w:bottom w:val="single" w:color="auto" w:sz="6" w:space="0"/>
              <w:right w:val="single" w:color="auto" w:sz="6" w:space="0"/>
            </w:tcBorders>
            <w:tcMar>
              <w:top w:w="0" w:type="dxa"/>
              <w:left w:w="28" w:type="dxa"/>
              <w:bottom w:w="0" w:type="dxa"/>
              <w:right w:w="28" w:type="dxa"/>
            </w:tcMar>
            <w:vAlign w:val="center"/>
          </w:tcPr>
          <w:p>
            <w:pPr>
              <w:widowControl/>
              <w:spacing w:line="360" w:lineRule="exact"/>
              <w:jc w:val="center"/>
              <w:textAlignment w:val="bottom"/>
              <w:rPr>
                <w:b/>
                <w:kern w:val="0"/>
                <w:szCs w:val="21"/>
              </w:rPr>
            </w:pPr>
            <w:r>
              <w:rPr>
                <w:b/>
                <w:kern w:val="0"/>
                <w:szCs w:val="21"/>
              </w:rPr>
              <w:t>小时（h）</w:t>
            </w:r>
          </w:p>
        </w:tc>
        <w:tc>
          <w:tcPr>
            <w:tcW w:w="653" w:type="dxa"/>
            <w:tcBorders>
              <w:top w:val="single" w:color="auto" w:sz="2"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b/>
                <w:kern w:val="0"/>
                <w:szCs w:val="21"/>
              </w:rPr>
            </w:pPr>
            <w:r>
              <w:rPr>
                <w:b/>
                <w:kern w:val="0"/>
                <w:szCs w:val="21"/>
              </w:rPr>
              <w:t>1</w:t>
            </w:r>
          </w:p>
        </w:tc>
        <w:tc>
          <w:tcPr>
            <w:tcW w:w="653" w:type="dxa"/>
            <w:tcBorders>
              <w:top w:val="single" w:color="auto" w:sz="2"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b/>
                <w:kern w:val="0"/>
                <w:szCs w:val="21"/>
              </w:rPr>
            </w:pPr>
            <w:r>
              <w:rPr>
                <w:b/>
                <w:kern w:val="0"/>
                <w:szCs w:val="21"/>
              </w:rPr>
              <w:t>2</w:t>
            </w:r>
          </w:p>
        </w:tc>
        <w:tc>
          <w:tcPr>
            <w:tcW w:w="653" w:type="dxa"/>
            <w:tcBorders>
              <w:top w:val="single" w:color="auto" w:sz="2"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b/>
                <w:kern w:val="0"/>
                <w:szCs w:val="21"/>
              </w:rPr>
            </w:pPr>
            <w:r>
              <w:rPr>
                <w:b/>
                <w:kern w:val="0"/>
                <w:szCs w:val="21"/>
              </w:rPr>
              <w:t>3</w:t>
            </w:r>
          </w:p>
        </w:tc>
        <w:tc>
          <w:tcPr>
            <w:tcW w:w="654" w:type="dxa"/>
            <w:tcBorders>
              <w:top w:val="single" w:color="auto" w:sz="2"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b/>
                <w:kern w:val="0"/>
                <w:szCs w:val="21"/>
              </w:rPr>
            </w:pPr>
            <w:r>
              <w:rPr>
                <w:b/>
                <w:kern w:val="0"/>
                <w:szCs w:val="21"/>
              </w:rPr>
              <w:t>4</w:t>
            </w:r>
          </w:p>
        </w:tc>
        <w:tc>
          <w:tcPr>
            <w:tcW w:w="654" w:type="dxa"/>
            <w:tcBorders>
              <w:top w:val="single" w:color="auto" w:sz="2"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b/>
                <w:kern w:val="0"/>
                <w:szCs w:val="21"/>
              </w:rPr>
            </w:pPr>
            <w:r>
              <w:rPr>
                <w:b/>
                <w:kern w:val="0"/>
                <w:szCs w:val="21"/>
              </w:rPr>
              <w:t>5</w:t>
            </w:r>
          </w:p>
        </w:tc>
        <w:tc>
          <w:tcPr>
            <w:tcW w:w="654" w:type="dxa"/>
            <w:tcBorders>
              <w:top w:val="single" w:color="auto" w:sz="2"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b/>
                <w:kern w:val="0"/>
                <w:szCs w:val="21"/>
              </w:rPr>
            </w:pPr>
            <w:r>
              <w:rPr>
                <w:b/>
                <w:kern w:val="0"/>
                <w:szCs w:val="21"/>
              </w:rPr>
              <w:t>6</w:t>
            </w:r>
          </w:p>
        </w:tc>
        <w:tc>
          <w:tcPr>
            <w:tcW w:w="654" w:type="dxa"/>
            <w:tcBorders>
              <w:top w:val="single" w:color="auto" w:sz="2"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b/>
                <w:kern w:val="0"/>
                <w:szCs w:val="21"/>
              </w:rPr>
            </w:pPr>
            <w:r>
              <w:rPr>
                <w:b/>
                <w:kern w:val="0"/>
                <w:szCs w:val="21"/>
              </w:rPr>
              <w:t>7</w:t>
            </w:r>
          </w:p>
        </w:tc>
        <w:tc>
          <w:tcPr>
            <w:tcW w:w="654" w:type="dxa"/>
            <w:tcBorders>
              <w:top w:val="single" w:color="auto" w:sz="2"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b/>
                <w:kern w:val="0"/>
                <w:szCs w:val="21"/>
              </w:rPr>
            </w:pPr>
            <w:r>
              <w:rPr>
                <w:b/>
                <w:kern w:val="0"/>
                <w:szCs w:val="21"/>
              </w:rPr>
              <w:t>8</w:t>
            </w:r>
          </w:p>
        </w:tc>
        <w:tc>
          <w:tcPr>
            <w:tcW w:w="654" w:type="dxa"/>
            <w:tcBorders>
              <w:top w:val="single" w:color="auto" w:sz="2"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b/>
                <w:kern w:val="0"/>
                <w:szCs w:val="21"/>
              </w:rPr>
            </w:pPr>
            <w:r>
              <w:rPr>
                <w:b/>
                <w:kern w:val="0"/>
                <w:szCs w:val="21"/>
              </w:rPr>
              <w:t>9</w:t>
            </w:r>
          </w:p>
        </w:tc>
        <w:tc>
          <w:tcPr>
            <w:tcW w:w="654" w:type="dxa"/>
            <w:tcBorders>
              <w:top w:val="single" w:color="auto" w:sz="2"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b/>
                <w:kern w:val="0"/>
                <w:szCs w:val="21"/>
              </w:rPr>
            </w:pPr>
            <w:r>
              <w:rPr>
                <w:b/>
                <w:kern w:val="0"/>
                <w:szCs w:val="21"/>
              </w:rPr>
              <w:t>10</w:t>
            </w:r>
          </w:p>
        </w:tc>
        <w:tc>
          <w:tcPr>
            <w:tcW w:w="654" w:type="dxa"/>
            <w:tcBorders>
              <w:top w:val="single" w:color="auto" w:sz="2"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b/>
                <w:szCs w:val="21"/>
              </w:rPr>
            </w:pPr>
            <w:r>
              <w:rPr>
                <w:b/>
                <w:szCs w:val="21"/>
              </w:rPr>
              <w:t>11</w:t>
            </w:r>
          </w:p>
        </w:tc>
        <w:tc>
          <w:tcPr>
            <w:tcW w:w="654" w:type="dxa"/>
            <w:tcBorders>
              <w:top w:val="single" w:color="auto" w:sz="2" w:space="0"/>
              <w:left w:val="single" w:color="auto" w:sz="6" w:space="0"/>
              <w:bottom w:val="single" w:color="auto" w:sz="6" w:space="0"/>
              <w:right w:val="single" w:color="auto" w:sz="2" w:space="0"/>
            </w:tcBorders>
            <w:shd w:val="clear" w:color="auto" w:fill="FFFFFF"/>
            <w:tcMar>
              <w:top w:w="0" w:type="dxa"/>
              <w:left w:w="28" w:type="dxa"/>
              <w:bottom w:w="0" w:type="dxa"/>
              <w:right w:w="28" w:type="dxa"/>
            </w:tcMar>
            <w:vAlign w:val="center"/>
          </w:tcPr>
          <w:p>
            <w:pPr>
              <w:spacing w:line="360" w:lineRule="exact"/>
              <w:jc w:val="center"/>
              <w:rPr>
                <w:b/>
                <w:szCs w:val="21"/>
              </w:rPr>
            </w:pPr>
            <w:r>
              <w:rPr>
                <w:b/>
                <w:szCs w:val="21"/>
              </w:rPr>
              <w:t>12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1" w:type="dxa"/>
            <w:tcBorders>
              <w:top w:val="single" w:color="auto" w:sz="6" w:space="0"/>
              <w:left w:val="single" w:color="auto" w:sz="2" w:space="0"/>
              <w:bottom w:val="single" w:color="auto" w:sz="6" w:space="0"/>
              <w:right w:val="single" w:color="auto" w:sz="6" w:space="0"/>
            </w:tcBorders>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春季</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1.23</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1.66</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2"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1" w:type="dxa"/>
            <w:tcBorders>
              <w:top w:val="single" w:color="auto" w:sz="6" w:space="0"/>
              <w:left w:val="single" w:color="auto" w:sz="2" w:space="0"/>
              <w:bottom w:val="single" w:color="auto" w:sz="6" w:space="0"/>
              <w:right w:val="single" w:color="auto" w:sz="6" w:space="0"/>
            </w:tcBorders>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夏季</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0.72</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1.38</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2"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1" w:type="dxa"/>
            <w:tcBorders>
              <w:top w:val="single" w:color="auto" w:sz="6" w:space="0"/>
              <w:left w:val="single" w:color="auto" w:sz="2" w:space="0"/>
              <w:bottom w:val="single" w:color="auto" w:sz="6" w:space="0"/>
              <w:right w:val="single" w:color="auto" w:sz="6" w:space="0"/>
            </w:tcBorders>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秋季</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1.01</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1.42</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2"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1" w:type="dxa"/>
            <w:tcBorders>
              <w:top w:val="single" w:color="auto" w:sz="6" w:space="0"/>
              <w:left w:val="single" w:color="auto" w:sz="2" w:space="0"/>
              <w:bottom w:val="single" w:color="auto" w:sz="6" w:space="0"/>
              <w:right w:val="single" w:color="auto" w:sz="6" w:space="0"/>
            </w:tcBorders>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冬季</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1.27</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1.38</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2"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1" w:type="dxa"/>
            <w:tcBorders>
              <w:top w:val="single" w:color="auto" w:sz="6" w:space="0"/>
              <w:left w:val="single" w:color="auto" w:sz="2" w:space="0"/>
              <w:bottom w:val="single" w:color="auto" w:sz="6" w:space="0"/>
              <w:right w:val="single" w:color="auto" w:sz="6" w:space="0"/>
            </w:tcBorders>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小时（h）</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13</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14</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15</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16</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17</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18</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19</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20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21</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22</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23</w:t>
            </w:r>
          </w:p>
        </w:tc>
        <w:tc>
          <w:tcPr>
            <w:tcW w:w="654" w:type="dxa"/>
            <w:tcBorders>
              <w:top w:val="single" w:color="auto" w:sz="6" w:space="0"/>
              <w:left w:val="single" w:color="auto" w:sz="6" w:space="0"/>
              <w:bottom w:val="single" w:color="auto" w:sz="6" w:space="0"/>
              <w:right w:val="single" w:color="auto" w:sz="2" w:space="0"/>
            </w:tcBorders>
            <w:shd w:val="clear" w:color="auto" w:fill="FFFFFF"/>
            <w:tcMar>
              <w:top w:w="0" w:type="dxa"/>
              <w:left w:w="28" w:type="dxa"/>
              <w:bottom w:w="0" w:type="dxa"/>
              <w:right w:w="28" w:type="dxa"/>
            </w:tcMar>
            <w:vAlign w:val="center"/>
          </w:tcPr>
          <w:p>
            <w:pPr>
              <w:widowControl/>
              <w:spacing w:line="360" w:lineRule="exact"/>
              <w:jc w:val="center"/>
              <w:textAlignment w:val="bottom"/>
              <w:rPr>
                <w:kern w:val="0"/>
                <w:szCs w:val="21"/>
              </w:rPr>
            </w:pPr>
            <w:r>
              <w:rPr>
                <w:kern w:val="0"/>
                <w:szCs w:val="21"/>
              </w:rPr>
              <w:t>24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1" w:type="dxa"/>
            <w:tcBorders>
              <w:top w:val="single" w:color="auto" w:sz="6" w:space="0"/>
              <w:left w:val="single" w:color="auto" w:sz="2" w:space="0"/>
              <w:bottom w:val="single" w:color="auto" w:sz="6" w:space="0"/>
              <w:right w:val="single" w:color="auto" w:sz="6" w:space="0"/>
            </w:tcBorders>
            <w:tcMar>
              <w:top w:w="0" w:type="dxa"/>
              <w:left w:w="28" w:type="dxa"/>
              <w:bottom w:w="0" w:type="dxa"/>
              <w:right w:w="28" w:type="dxa"/>
            </w:tcMar>
            <w:vAlign w:val="center"/>
          </w:tcPr>
          <w:p>
            <w:pPr>
              <w:spacing w:line="360" w:lineRule="exact"/>
              <w:jc w:val="center"/>
              <w:rPr>
                <w:szCs w:val="21"/>
              </w:rPr>
            </w:pPr>
            <w:r>
              <w:rPr>
                <w:szCs w:val="21"/>
              </w:rPr>
              <w:t>春季</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2.38</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1.11</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2"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1" w:type="dxa"/>
            <w:tcBorders>
              <w:top w:val="single" w:color="auto" w:sz="6" w:space="0"/>
              <w:left w:val="single" w:color="auto" w:sz="2" w:space="0"/>
              <w:bottom w:val="single" w:color="auto" w:sz="6" w:space="0"/>
              <w:right w:val="single" w:color="auto" w:sz="6" w:space="0"/>
            </w:tcBorders>
            <w:tcMar>
              <w:top w:w="0" w:type="dxa"/>
              <w:left w:w="28" w:type="dxa"/>
              <w:bottom w:w="0" w:type="dxa"/>
              <w:right w:w="28" w:type="dxa"/>
            </w:tcMar>
            <w:vAlign w:val="center"/>
          </w:tcPr>
          <w:p>
            <w:pPr>
              <w:spacing w:line="360" w:lineRule="exact"/>
              <w:jc w:val="center"/>
              <w:rPr>
                <w:szCs w:val="21"/>
              </w:rPr>
            </w:pPr>
            <w:r>
              <w:rPr>
                <w:szCs w:val="21"/>
              </w:rPr>
              <w:t>夏季</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1.79</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0.70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2"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1" w:type="dxa"/>
            <w:tcBorders>
              <w:top w:val="single" w:color="auto" w:sz="6" w:space="0"/>
              <w:left w:val="single" w:color="auto" w:sz="2" w:space="0"/>
              <w:bottom w:val="single" w:color="auto" w:sz="6" w:space="0"/>
              <w:right w:val="single" w:color="auto" w:sz="6" w:space="0"/>
            </w:tcBorders>
            <w:tcMar>
              <w:top w:w="0" w:type="dxa"/>
              <w:left w:w="28" w:type="dxa"/>
              <w:bottom w:w="0" w:type="dxa"/>
              <w:right w:w="28" w:type="dxa"/>
            </w:tcMar>
            <w:vAlign w:val="center"/>
          </w:tcPr>
          <w:p>
            <w:pPr>
              <w:spacing w:line="360" w:lineRule="exact"/>
              <w:jc w:val="center"/>
              <w:rPr>
                <w:szCs w:val="21"/>
              </w:rPr>
            </w:pPr>
            <w:r>
              <w:rPr>
                <w:szCs w:val="21"/>
              </w:rPr>
              <w:t>秋季</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1.99</w:t>
            </w:r>
          </w:p>
        </w:tc>
        <w:tc>
          <w:tcPr>
            <w:tcW w:w="653"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0.91</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6" w:space="0"/>
              <w:right w:val="single" w:color="auto" w:sz="2"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41" w:type="dxa"/>
            <w:tcBorders>
              <w:top w:val="single" w:color="auto" w:sz="6" w:space="0"/>
              <w:left w:val="single" w:color="auto" w:sz="2" w:space="0"/>
              <w:bottom w:val="single" w:color="auto" w:sz="2" w:space="0"/>
              <w:right w:val="single" w:color="auto" w:sz="6" w:space="0"/>
            </w:tcBorders>
            <w:tcMar>
              <w:top w:w="0" w:type="dxa"/>
              <w:left w:w="28" w:type="dxa"/>
              <w:bottom w:w="0" w:type="dxa"/>
              <w:right w:w="28" w:type="dxa"/>
            </w:tcMar>
            <w:vAlign w:val="center"/>
          </w:tcPr>
          <w:p>
            <w:pPr>
              <w:spacing w:line="360" w:lineRule="exact"/>
              <w:jc w:val="center"/>
              <w:rPr>
                <w:szCs w:val="21"/>
              </w:rPr>
            </w:pPr>
            <w:r>
              <w:rPr>
                <w:szCs w:val="21"/>
              </w:rPr>
              <w:t>冬季</w:t>
            </w:r>
          </w:p>
        </w:tc>
        <w:tc>
          <w:tcPr>
            <w:tcW w:w="653" w:type="dxa"/>
            <w:tcBorders>
              <w:top w:val="single" w:color="auto" w:sz="6" w:space="0"/>
              <w:left w:val="single" w:color="auto" w:sz="6" w:space="0"/>
              <w:bottom w:val="single" w:color="auto" w:sz="2"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3" w:type="dxa"/>
            <w:tcBorders>
              <w:top w:val="single" w:color="auto" w:sz="6" w:space="0"/>
              <w:left w:val="single" w:color="auto" w:sz="6" w:space="0"/>
              <w:bottom w:val="single" w:color="auto" w:sz="2"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2.12</w:t>
            </w:r>
          </w:p>
        </w:tc>
        <w:tc>
          <w:tcPr>
            <w:tcW w:w="653" w:type="dxa"/>
            <w:tcBorders>
              <w:top w:val="single" w:color="auto" w:sz="6" w:space="0"/>
              <w:left w:val="single" w:color="auto" w:sz="6" w:space="0"/>
              <w:bottom w:val="single" w:color="auto" w:sz="2"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2"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2"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2"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2"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2"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1.05</w:t>
            </w:r>
          </w:p>
        </w:tc>
        <w:tc>
          <w:tcPr>
            <w:tcW w:w="654" w:type="dxa"/>
            <w:tcBorders>
              <w:top w:val="single" w:color="auto" w:sz="6" w:space="0"/>
              <w:left w:val="single" w:color="auto" w:sz="6" w:space="0"/>
              <w:bottom w:val="single" w:color="auto" w:sz="2"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2"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2" w:space="0"/>
              <w:right w:val="single" w:color="auto" w:sz="6"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c>
          <w:tcPr>
            <w:tcW w:w="654" w:type="dxa"/>
            <w:tcBorders>
              <w:top w:val="single" w:color="auto" w:sz="6" w:space="0"/>
              <w:left w:val="single" w:color="auto" w:sz="6" w:space="0"/>
              <w:bottom w:val="single" w:color="auto" w:sz="2" w:space="0"/>
              <w:right w:val="single" w:color="auto" w:sz="2" w:space="0"/>
            </w:tcBorders>
            <w:shd w:val="clear" w:color="auto" w:fill="FFFFFF"/>
            <w:tcMar>
              <w:top w:w="0" w:type="dxa"/>
              <w:left w:w="28" w:type="dxa"/>
              <w:bottom w:w="0" w:type="dxa"/>
              <w:right w:w="28" w:type="dxa"/>
            </w:tcMar>
            <w:vAlign w:val="center"/>
          </w:tcPr>
          <w:p>
            <w:pPr>
              <w:spacing w:line="360" w:lineRule="exact"/>
              <w:jc w:val="center"/>
              <w:rPr>
                <w:szCs w:val="21"/>
              </w:rPr>
            </w:pPr>
            <w:r>
              <w:rPr>
                <w:szCs w:val="21"/>
              </w:rPr>
              <w:t>0.00</w:t>
            </w:r>
          </w:p>
        </w:tc>
      </w:tr>
    </w:tbl>
    <w:p>
      <w:pPr>
        <w:spacing w:beforeLines="100" w:afterLines="50"/>
        <w:jc w:val="center"/>
        <w:rPr>
          <w:b/>
          <w:szCs w:val="21"/>
        </w:rPr>
      </w:pPr>
      <w:r>
        <w:drawing>
          <wp:inline distT="0" distB="0" distL="0" distR="0">
            <wp:extent cx="5448300" cy="2105025"/>
            <wp:effectExtent l="0" t="0" r="0" b="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noChangeArrowheads="1"/>
                    </pic:cNvPicPr>
                  </pic:nvPicPr>
                  <pic:blipFill>
                    <a:blip r:embed="rId34" cstate="print"/>
                    <a:srcRect/>
                    <a:stretch>
                      <a:fillRect/>
                    </a:stretch>
                  </pic:blipFill>
                  <pic:spPr>
                    <a:xfrm>
                      <a:off x="0" y="0"/>
                      <a:ext cx="5448300" cy="2105025"/>
                    </a:xfrm>
                    <a:prstGeom prst="rect">
                      <a:avLst/>
                    </a:prstGeom>
                    <a:noFill/>
                    <a:ln w="9525">
                      <a:noFill/>
                      <a:miter lim="800000"/>
                      <a:headEnd/>
                      <a:tailEnd/>
                    </a:ln>
                  </pic:spPr>
                </pic:pic>
              </a:graphicData>
            </a:graphic>
          </wp:inline>
        </w:drawing>
      </w:r>
      <w:r>
        <w:rPr>
          <w:rFonts w:eastAsia="黑体"/>
          <w:bCs/>
          <w:sz w:val="24"/>
        </w:rPr>
        <w:t>图4-3 季小时平均风速日变化图</w:t>
      </w:r>
    </w:p>
    <w:p>
      <w:pPr>
        <w:adjustRightInd w:val="0"/>
        <w:snapToGrid w:val="0"/>
        <w:spacing w:line="520" w:lineRule="exact"/>
        <w:ind w:firstLine="480" w:firstLineChars="200"/>
        <w:rPr>
          <w:bCs/>
          <w:kern w:val="0"/>
          <w:sz w:val="24"/>
        </w:rPr>
      </w:pPr>
      <w:r>
        <w:rPr>
          <w:bCs/>
          <w:snapToGrid w:val="0"/>
          <w:kern w:val="0"/>
          <w:sz w:val="24"/>
        </w:rPr>
        <w:t>从月平均风速统计资料中可以看出平舆县</w:t>
      </w:r>
      <w:r>
        <w:rPr>
          <w:bCs/>
          <w:kern w:val="0"/>
          <w:sz w:val="24"/>
        </w:rPr>
        <w:t>5</w:t>
      </w:r>
      <w:r>
        <w:rPr>
          <w:bCs/>
          <w:snapToGrid w:val="0"/>
          <w:kern w:val="0"/>
          <w:sz w:val="24"/>
        </w:rPr>
        <w:t>月份平均风速最高（</w:t>
      </w:r>
      <w:r>
        <w:rPr>
          <w:bCs/>
          <w:kern w:val="0"/>
          <w:sz w:val="24"/>
        </w:rPr>
        <w:t>1.71m/s</w:t>
      </w:r>
      <w:r>
        <w:rPr>
          <w:bCs/>
          <w:snapToGrid w:val="0"/>
          <w:kern w:val="0"/>
          <w:sz w:val="24"/>
        </w:rPr>
        <w:t>），</w:t>
      </w:r>
      <w:r>
        <w:rPr>
          <w:bCs/>
          <w:kern w:val="0"/>
          <w:sz w:val="24"/>
        </w:rPr>
        <w:t>8</w:t>
      </w:r>
      <w:r>
        <w:rPr>
          <w:bCs/>
          <w:snapToGrid w:val="0"/>
          <w:kern w:val="0"/>
          <w:sz w:val="24"/>
        </w:rPr>
        <w:t>月份平均风速最低（</w:t>
      </w:r>
      <w:r>
        <w:rPr>
          <w:bCs/>
          <w:kern w:val="0"/>
          <w:sz w:val="24"/>
        </w:rPr>
        <w:t>1.01m/s</w:t>
      </w:r>
      <w:r>
        <w:rPr>
          <w:bCs/>
          <w:snapToGrid w:val="0"/>
          <w:kern w:val="0"/>
          <w:sz w:val="24"/>
        </w:rPr>
        <w:t>）；从各季小时月平均风速统计资料中可以看出平舆县在春季最高，夏季风速最低，一天内</w:t>
      </w:r>
      <w:r>
        <w:rPr>
          <w:bCs/>
          <w:kern w:val="0"/>
          <w:sz w:val="24"/>
        </w:rPr>
        <w:t>14</w:t>
      </w:r>
      <w:r>
        <w:rPr>
          <w:bCs/>
          <w:snapToGrid w:val="0"/>
          <w:kern w:val="0"/>
          <w:sz w:val="24"/>
        </w:rPr>
        <w:t>：</w:t>
      </w:r>
      <w:r>
        <w:rPr>
          <w:bCs/>
          <w:kern w:val="0"/>
          <w:sz w:val="24"/>
        </w:rPr>
        <w:t>00</w:t>
      </w:r>
      <w:r>
        <w:rPr>
          <w:bCs/>
          <w:snapToGrid w:val="0"/>
          <w:kern w:val="0"/>
          <w:sz w:val="24"/>
        </w:rPr>
        <w:t>的平均风速最高。</w:t>
      </w:r>
    </w:p>
    <w:p>
      <w:pPr>
        <w:numPr>
          <w:ilvl w:val="0"/>
          <w:numId w:val="3"/>
        </w:numPr>
        <w:adjustRightInd w:val="0"/>
        <w:snapToGrid w:val="0"/>
        <w:spacing w:line="520" w:lineRule="exact"/>
        <w:rPr>
          <w:bCs/>
          <w:kern w:val="0"/>
          <w:sz w:val="24"/>
        </w:rPr>
      </w:pPr>
      <w:r>
        <w:rPr>
          <w:bCs/>
          <w:snapToGrid w:val="0"/>
          <w:kern w:val="0"/>
          <w:sz w:val="24"/>
        </w:rPr>
        <w:t xml:space="preserve"> 风向、风频</w:t>
      </w:r>
    </w:p>
    <w:p>
      <w:pPr>
        <w:adjustRightInd w:val="0"/>
        <w:snapToGrid w:val="0"/>
        <w:spacing w:line="520" w:lineRule="exact"/>
        <w:ind w:firstLine="480" w:firstLineChars="200"/>
        <w:rPr>
          <w:bCs/>
          <w:kern w:val="0"/>
          <w:sz w:val="24"/>
        </w:rPr>
      </w:pPr>
      <w:r>
        <w:rPr>
          <w:bCs/>
          <w:snapToGrid w:val="0"/>
          <w:kern w:val="0"/>
          <w:sz w:val="24"/>
        </w:rPr>
        <w:t>每月、各季及长期平均各向风频变化情况见表</w:t>
      </w:r>
      <w:r>
        <w:rPr>
          <w:bCs/>
          <w:kern w:val="0"/>
          <w:sz w:val="24"/>
        </w:rPr>
        <w:t>4-8</w:t>
      </w:r>
      <w:r>
        <w:rPr>
          <w:bCs/>
          <w:snapToGrid w:val="0"/>
          <w:kern w:val="0"/>
          <w:sz w:val="24"/>
        </w:rPr>
        <w:t>和表</w:t>
      </w:r>
      <w:r>
        <w:rPr>
          <w:bCs/>
          <w:kern w:val="0"/>
          <w:sz w:val="24"/>
        </w:rPr>
        <w:t>4-9</w:t>
      </w:r>
      <w:r>
        <w:rPr>
          <w:bCs/>
          <w:snapToGrid w:val="0"/>
          <w:kern w:val="0"/>
          <w:sz w:val="24"/>
        </w:rPr>
        <w:t>。</w:t>
      </w:r>
    </w:p>
    <w:p>
      <w:pPr>
        <w:spacing w:beforeLines="50" w:line="520" w:lineRule="exact"/>
        <w:ind w:firstLine="1072" w:firstLineChars="445"/>
        <w:rPr>
          <w:b/>
          <w:sz w:val="24"/>
        </w:rPr>
      </w:pPr>
      <w:r>
        <w:rPr>
          <w:b/>
          <w:sz w:val="24"/>
        </w:rPr>
        <w:t>表4-8                 年平均风频的月变化               单位：%</w:t>
      </w:r>
    </w:p>
    <w:tbl>
      <w:tblPr>
        <w:tblStyle w:val="44"/>
        <w:tblW w:w="8943" w:type="dxa"/>
        <w:tblInd w:w="-204"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57" w:type="dxa"/>
          <w:bottom w:w="0" w:type="dxa"/>
          <w:right w:w="57" w:type="dxa"/>
        </w:tblCellMar>
      </w:tblPr>
      <w:tblGrid>
        <w:gridCol w:w="660"/>
        <w:gridCol w:w="600"/>
        <w:gridCol w:w="540"/>
        <w:gridCol w:w="465"/>
        <w:gridCol w:w="570"/>
        <w:gridCol w:w="570"/>
        <w:gridCol w:w="574"/>
        <w:gridCol w:w="432"/>
        <w:gridCol w:w="432"/>
        <w:gridCol w:w="432"/>
        <w:gridCol w:w="432"/>
        <w:gridCol w:w="432"/>
        <w:gridCol w:w="432"/>
        <w:gridCol w:w="538"/>
        <w:gridCol w:w="432"/>
        <w:gridCol w:w="432"/>
        <w:gridCol w:w="432"/>
        <w:gridCol w:w="53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660"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widowControl/>
              <w:spacing w:line="360" w:lineRule="exact"/>
              <w:jc w:val="center"/>
              <w:rPr>
                <w:kern w:val="0"/>
                <w:szCs w:val="21"/>
              </w:rPr>
            </w:pPr>
            <w:r>
              <w:rPr>
                <w:kern w:val="0"/>
                <w:szCs w:val="21"/>
              </w:rPr>
              <w:t>风频</w:t>
            </w:r>
          </w:p>
          <w:p>
            <w:pPr>
              <w:widowControl/>
              <w:spacing w:line="360" w:lineRule="exact"/>
              <w:jc w:val="center"/>
              <w:rPr>
                <w:kern w:val="0"/>
                <w:szCs w:val="21"/>
              </w:rPr>
            </w:pPr>
            <w:r>
              <w:rPr>
                <w:kern w:val="0"/>
                <w:szCs w:val="21"/>
              </w:rPr>
              <w:t>(%)</w:t>
            </w:r>
          </w:p>
        </w:tc>
        <w:tc>
          <w:tcPr>
            <w:tcW w:w="60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N</w:t>
            </w:r>
          </w:p>
        </w:tc>
        <w:tc>
          <w:tcPr>
            <w:tcW w:w="54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NNE</w:t>
            </w:r>
          </w:p>
        </w:tc>
        <w:tc>
          <w:tcPr>
            <w:tcW w:w="465"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NE</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ENE</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E</w:t>
            </w:r>
          </w:p>
        </w:tc>
        <w:tc>
          <w:tcPr>
            <w:tcW w:w="574"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ESE</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SE</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SSE</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S</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SSW</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SW</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WSW</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W</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WNW</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NW</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NNW</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widowControl/>
              <w:spacing w:line="360" w:lineRule="exact"/>
              <w:jc w:val="center"/>
              <w:textAlignment w:val="bottom"/>
              <w:rPr>
                <w:kern w:val="0"/>
                <w:szCs w:val="21"/>
              </w:rPr>
            </w:pPr>
            <w:r>
              <w:rPr>
                <w:kern w:val="0"/>
                <w:szCs w:val="21"/>
              </w:rPr>
              <w:t>C</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660"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widowControl/>
              <w:spacing w:line="360" w:lineRule="exact"/>
              <w:jc w:val="center"/>
              <w:rPr>
                <w:kern w:val="0"/>
                <w:szCs w:val="21"/>
              </w:rPr>
            </w:pPr>
            <w:r>
              <w:rPr>
                <w:kern w:val="0"/>
                <w:szCs w:val="21"/>
              </w:rPr>
              <w:t>一月</w:t>
            </w:r>
          </w:p>
        </w:tc>
        <w:tc>
          <w:tcPr>
            <w:tcW w:w="60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15.32</w:t>
            </w:r>
          </w:p>
        </w:tc>
        <w:tc>
          <w:tcPr>
            <w:tcW w:w="54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7.26</w:t>
            </w:r>
          </w:p>
        </w:tc>
        <w:tc>
          <w:tcPr>
            <w:tcW w:w="465"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6.45</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6.45</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6.45</w:t>
            </w:r>
          </w:p>
        </w:tc>
        <w:tc>
          <w:tcPr>
            <w:tcW w:w="574"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7.26</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4.84</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2.42</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4.84</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4.84</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4.03</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5.65</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4.03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8.06</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5.65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660"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widowControl/>
              <w:spacing w:line="360" w:lineRule="exact"/>
              <w:jc w:val="center"/>
              <w:rPr>
                <w:kern w:val="0"/>
                <w:szCs w:val="21"/>
              </w:rPr>
            </w:pPr>
            <w:r>
              <w:rPr>
                <w:kern w:val="0"/>
                <w:szCs w:val="21"/>
              </w:rPr>
              <w:t>二月</w:t>
            </w:r>
          </w:p>
        </w:tc>
        <w:tc>
          <w:tcPr>
            <w:tcW w:w="60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3.45</w:t>
            </w:r>
          </w:p>
        </w:tc>
        <w:tc>
          <w:tcPr>
            <w:tcW w:w="54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6.03</w:t>
            </w:r>
          </w:p>
        </w:tc>
        <w:tc>
          <w:tcPr>
            <w:tcW w:w="465"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0.86</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3.45</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9.48</w:t>
            </w:r>
          </w:p>
        </w:tc>
        <w:tc>
          <w:tcPr>
            <w:tcW w:w="574"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4.31</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7.76</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1.72</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4.31</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0.86</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6.90</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6.90</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19.83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3.45</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8.62</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5.17</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6.90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660"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widowControl/>
              <w:spacing w:line="360" w:lineRule="exact"/>
              <w:jc w:val="center"/>
              <w:rPr>
                <w:kern w:val="0"/>
                <w:szCs w:val="21"/>
              </w:rPr>
            </w:pPr>
            <w:r>
              <w:rPr>
                <w:kern w:val="0"/>
                <w:szCs w:val="21"/>
              </w:rPr>
              <w:t>三月</w:t>
            </w:r>
          </w:p>
        </w:tc>
        <w:tc>
          <w:tcPr>
            <w:tcW w:w="60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54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65"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2.42</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14.52</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10.48</w:t>
            </w:r>
          </w:p>
        </w:tc>
        <w:tc>
          <w:tcPr>
            <w:tcW w:w="574"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16.94</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6.45</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4.03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7.26</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4.03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7.26</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0.81</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6.45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660"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widowControl/>
              <w:spacing w:line="360" w:lineRule="exact"/>
              <w:jc w:val="center"/>
              <w:rPr>
                <w:kern w:val="0"/>
                <w:szCs w:val="21"/>
              </w:rPr>
            </w:pPr>
            <w:r>
              <w:rPr>
                <w:kern w:val="0"/>
                <w:szCs w:val="21"/>
              </w:rPr>
              <w:t>四月</w:t>
            </w:r>
          </w:p>
        </w:tc>
        <w:tc>
          <w:tcPr>
            <w:tcW w:w="60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1.67</w:t>
            </w:r>
          </w:p>
        </w:tc>
        <w:tc>
          <w:tcPr>
            <w:tcW w:w="54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5.00</w:t>
            </w:r>
          </w:p>
        </w:tc>
        <w:tc>
          <w:tcPr>
            <w:tcW w:w="465"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5.00</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8.33</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20.83</w:t>
            </w:r>
          </w:p>
        </w:tc>
        <w:tc>
          <w:tcPr>
            <w:tcW w:w="574"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17.50</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0.83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5.00</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4.17</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4.17</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5.00</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2.50</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5.83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0.00</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0.83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2.50</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10.83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660"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widowControl/>
              <w:spacing w:line="360" w:lineRule="exact"/>
              <w:jc w:val="center"/>
              <w:rPr>
                <w:kern w:val="0"/>
                <w:szCs w:val="21"/>
              </w:rPr>
            </w:pPr>
            <w:r>
              <w:rPr>
                <w:kern w:val="0"/>
                <w:szCs w:val="21"/>
              </w:rPr>
              <w:t>五月</w:t>
            </w:r>
          </w:p>
        </w:tc>
        <w:tc>
          <w:tcPr>
            <w:tcW w:w="60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5.65</w:t>
            </w:r>
          </w:p>
        </w:tc>
        <w:tc>
          <w:tcPr>
            <w:tcW w:w="54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4.84</w:t>
            </w:r>
          </w:p>
        </w:tc>
        <w:tc>
          <w:tcPr>
            <w:tcW w:w="465"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4.03</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5.65</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21.77</w:t>
            </w:r>
          </w:p>
        </w:tc>
        <w:tc>
          <w:tcPr>
            <w:tcW w:w="574"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16.13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4.84</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1.61</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8.06</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4.03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1.61</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5.65</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1.61</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5.65</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2.42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660"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widowControl/>
              <w:spacing w:line="360" w:lineRule="exact"/>
              <w:jc w:val="center"/>
              <w:rPr>
                <w:kern w:val="0"/>
                <w:szCs w:val="21"/>
              </w:rPr>
            </w:pPr>
            <w:r>
              <w:rPr>
                <w:kern w:val="0"/>
                <w:szCs w:val="21"/>
              </w:rPr>
              <w:t>六月</w:t>
            </w:r>
          </w:p>
        </w:tc>
        <w:tc>
          <w:tcPr>
            <w:tcW w:w="60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3.33</w:t>
            </w:r>
          </w:p>
        </w:tc>
        <w:tc>
          <w:tcPr>
            <w:tcW w:w="54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3.33</w:t>
            </w:r>
          </w:p>
        </w:tc>
        <w:tc>
          <w:tcPr>
            <w:tcW w:w="465"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2.50</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5.00</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20.00</w:t>
            </w:r>
          </w:p>
        </w:tc>
        <w:tc>
          <w:tcPr>
            <w:tcW w:w="574"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22.50</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8.33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5.00</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4.17</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4.17</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5.00</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3.33</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4.17</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0.83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1.67</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1.67</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660"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widowControl/>
              <w:spacing w:line="360" w:lineRule="exact"/>
              <w:jc w:val="center"/>
              <w:rPr>
                <w:kern w:val="0"/>
                <w:szCs w:val="21"/>
              </w:rPr>
            </w:pPr>
            <w:r>
              <w:rPr>
                <w:kern w:val="0"/>
                <w:szCs w:val="21"/>
              </w:rPr>
              <w:t>七月</w:t>
            </w:r>
          </w:p>
        </w:tc>
        <w:tc>
          <w:tcPr>
            <w:tcW w:w="60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2.42</w:t>
            </w:r>
          </w:p>
        </w:tc>
        <w:tc>
          <w:tcPr>
            <w:tcW w:w="54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1.61</w:t>
            </w:r>
          </w:p>
        </w:tc>
        <w:tc>
          <w:tcPr>
            <w:tcW w:w="465"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8.06</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16.13</w:t>
            </w:r>
          </w:p>
        </w:tc>
        <w:tc>
          <w:tcPr>
            <w:tcW w:w="574"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13.71</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2.42</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6.45</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7.26</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2.42</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5.65</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1.61</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0.81</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1.61</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20.16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660"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widowControl/>
              <w:spacing w:line="360" w:lineRule="exact"/>
              <w:jc w:val="center"/>
              <w:rPr>
                <w:kern w:val="0"/>
                <w:szCs w:val="21"/>
              </w:rPr>
            </w:pPr>
            <w:r>
              <w:rPr>
                <w:kern w:val="0"/>
                <w:szCs w:val="21"/>
              </w:rPr>
              <w:t>八月</w:t>
            </w:r>
          </w:p>
        </w:tc>
        <w:tc>
          <w:tcPr>
            <w:tcW w:w="60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7.26</w:t>
            </w:r>
          </w:p>
        </w:tc>
        <w:tc>
          <w:tcPr>
            <w:tcW w:w="54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4.03</w:t>
            </w:r>
          </w:p>
        </w:tc>
        <w:tc>
          <w:tcPr>
            <w:tcW w:w="465"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4.84</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8.87</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10.48</w:t>
            </w:r>
          </w:p>
        </w:tc>
        <w:tc>
          <w:tcPr>
            <w:tcW w:w="574"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8.87</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2.42</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4.03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2.42</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0.81</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5.65</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4.84</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4.03</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21.77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660"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widowControl/>
              <w:spacing w:line="360" w:lineRule="exact"/>
              <w:jc w:val="center"/>
              <w:rPr>
                <w:kern w:val="0"/>
                <w:szCs w:val="21"/>
              </w:rPr>
            </w:pPr>
            <w:r>
              <w:rPr>
                <w:kern w:val="0"/>
                <w:szCs w:val="21"/>
              </w:rPr>
              <w:t>九月</w:t>
            </w:r>
          </w:p>
        </w:tc>
        <w:tc>
          <w:tcPr>
            <w:tcW w:w="60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8.33</w:t>
            </w:r>
          </w:p>
        </w:tc>
        <w:tc>
          <w:tcPr>
            <w:tcW w:w="54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0.00</w:t>
            </w:r>
          </w:p>
        </w:tc>
        <w:tc>
          <w:tcPr>
            <w:tcW w:w="465"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4.17</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12.50</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19.17</w:t>
            </w:r>
          </w:p>
        </w:tc>
        <w:tc>
          <w:tcPr>
            <w:tcW w:w="574"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13.33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0.83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3.33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1.67</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0.83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1.67</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2.50</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2.50</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1.67</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1.67</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7.50</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18.33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660"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widowControl/>
              <w:spacing w:line="360" w:lineRule="exact"/>
              <w:jc w:val="center"/>
              <w:rPr>
                <w:kern w:val="0"/>
                <w:szCs w:val="21"/>
              </w:rPr>
            </w:pPr>
            <w:r>
              <w:rPr>
                <w:kern w:val="0"/>
                <w:szCs w:val="21"/>
              </w:rPr>
              <w:t>十月</w:t>
            </w:r>
          </w:p>
        </w:tc>
        <w:tc>
          <w:tcPr>
            <w:tcW w:w="60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6.45</w:t>
            </w:r>
          </w:p>
        </w:tc>
        <w:tc>
          <w:tcPr>
            <w:tcW w:w="54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6.45</w:t>
            </w:r>
          </w:p>
        </w:tc>
        <w:tc>
          <w:tcPr>
            <w:tcW w:w="465"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2.42</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10.48</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17.74</w:t>
            </w:r>
          </w:p>
        </w:tc>
        <w:tc>
          <w:tcPr>
            <w:tcW w:w="574"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0.81</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1.61</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4.84</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9.68</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1.61</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2.42</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4.03</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18.55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660"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widowControl/>
              <w:spacing w:line="360" w:lineRule="exact"/>
              <w:jc w:val="center"/>
              <w:rPr>
                <w:kern w:val="0"/>
                <w:szCs w:val="21"/>
              </w:rPr>
            </w:pPr>
            <w:r>
              <w:rPr>
                <w:kern w:val="0"/>
                <w:szCs w:val="21"/>
              </w:rPr>
              <w:t>十一月</w:t>
            </w:r>
          </w:p>
        </w:tc>
        <w:tc>
          <w:tcPr>
            <w:tcW w:w="60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10.0</w:t>
            </w:r>
          </w:p>
        </w:tc>
        <w:tc>
          <w:tcPr>
            <w:tcW w:w="54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10.83</w:t>
            </w:r>
          </w:p>
        </w:tc>
        <w:tc>
          <w:tcPr>
            <w:tcW w:w="465"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7.50</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14.17</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12.50</w:t>
            </w:r>
          </w:p>
        </w:tc>
        <w:tc>
          <w:tcPr>
            <w:tcW w:w="574"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11.67</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3.33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0.83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0.83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1.67</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1.67</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1.67</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1.67</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4.17</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5.00</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8.33</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c>
          <w:tcPr>
            <w:tcW w:w="660" w:type="dxa"/>
            <w:tcBorders>
              <w:top w:val="single" w:color="auto" w:sz="2" w:space="0"/>
              <w:left w:val="single" w:color="auto" w:sz="2" w:space="0"/>
              <w:bottom w:val="single" w:color="auto" w:sz="2" w:space="0"/>
              <w:right w:val="single" w:color="auto" w:sz="2" w:space="0"/>
            </w:tcBorders>
            <w:tcMar>
              <w:top w:w="0" w:type="dxa"/>
              <w:left w:w="0" w:type="dxa"/>
              <w:bottom w:w="0" w:type="dxa"/>
              <w:right w:w="0" w:type="dxa"/>
            </w:tcMar>
            <w:vAlign w:val="center"/>
          </w:tcPr>
          <w:p>
            <w:pPr>
              <w:widowControl/>
              <w:spacing w:line="360" w:lineRule="exact"/>
              <w:jc w:val="center"/>
              <w:rPr>
                <w:kern w:val="0"/>
                <w:szCs w:val="21"/>
              </w:rPr>
            </w:pPr>
            <w:r>
              <w:rPr>
                <w:kern w:val="0"/>
                <w:szCs w:val="21"/>
              </w:rPr>
              <w:t>十二月</w:t>
            </w:r>
          </w:p>
        </w:tc>
        <w:tc>
          <w:tcPr>
            <w:tcW w:w="60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8.06</w:t>
            </w:r>
          </w:p>
        </w:tc>
        <w:tc>
          <w:tcPr>
            <w:tcW w:w="54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2.42</w:t>
            </w:r>
          </w:p>
        </w:tc>
        <w:tc>
          <w:tcPr>
            <w:tcW w:w="465"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7.26</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6.45</w:t>
            </w:r>
          </w:p>
        </w:tc>
        <w:tc>
          <w:tcPr>
            <w:tcW w:w="570"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12.90</w:t>
            </w:r>
          </w:p>
        </w:tc>
        <w:tc>
          <w:tcPr>
            <w:tcW w:w="574"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5.65</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4.03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4.03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1.61</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1.61</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4.84</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5.65</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14.52</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4.84</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3.23</w:t>
            </w:r>
          </w:p>
        </w:tc>
        <w:tc>
          <w:tcPr>
            <w:tcW w:w="432"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6.45</w:t>
            </w:r>
          </w:p>
        </w:tc>
        <w:tc>
          <w:tcPr>
            <w:tcW w:w="538" w:type="dxa"/>
            <w:tcBorders>
              <w:top w:val="single" w:color="auto" w:sz="2" w:space="0"/>
              <w:left w:val="single" w:color="auto" w:sz="2"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szCs w:val="21"/>
              </w:rPr>
            </w:pPr>
            <w:r>
              <w:rPr>
                <w:szCs w:val="21"/>
              </w:rPr>
              <w:t>6.45</w:t>
            </w:r>
          </w:p>
        </w:tc>
      </w:tr>
    </w:tbl>
    <w:p>
      <w:pPr>
        <w:spacing w:line="520" w:lineRule="exact"/>
        <w:ind w:firstLine="836" w:firstLineChars="347"/>
        <w:rPr>
          <w:b/>
          <w:sz w:val="24"/>
        </w:rPr>
      </w:pPr>
      <w:r>
        <w:rPr>
          <w:b/>
          <w:sz w:val="24"/>
        </w:rPr>
        <w:t xml:space="preserve">表4-9            年平均风频的季变化及年均风频  </w:t>
      </w:r>
      <w:r>
        <w:rPr>
          <w:sz w:val="24"/>
        </w:rPr>
        <w:t>单位：%</w:t>
      </w:r>
    </w:p>
    <w:tbl>
      <w:tblPr>
        <w:tblStyle w:val="44"/>
        <w:tblW w:w="8913"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631"/>
        <w:gridCol w:w="456"/>
        <w:gridCol w:w="456"/>
        <w:gridCol w:w="456"/>
        <w:gridCol w:w="564"/>
        <w:gridCol w:w="564"/>
        <w:gridCol w:w="564"/>
        <w:gridCol w:w="456"/>
        <w:gridCol w:w="456"/>
        <w:gridCol w:w="456"/>
        <w:gridCol w:w="456"/>
        <w:gridCol w:w="456"/>
        <w:gridCol w:w="456"/>
        <w:gridCol w:w="564"/>
        <w:gridCol w:w="456"/>
        <w:gridCol w:w="456"/>
        <w:gridCol w:w="456"/>
        <w:gridCol w:w="554"/>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1" w:type="dxa"/>
            <w:tcBorders>
              <w:top w:val="single" w:color="auto" w:sz="2" w:space="0"/>
              <w:left w:val="single" w:color="auto" w:sz="2"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风频</w:t>
            </w:r>
          </w:p>
          <w:p>
            <w:pPr>
              <w:widowControl/>
              <w:spacing w:line="360" w:lineRule="exact"/>
              <w:jc w:val="center"/>
              <w:rPr>
                <w:rFonts w:eastAsiaTheme="minorEastAsia"/>
                <w:kern w:val="0"/>
                <w:szCs w:val="21"/>
              </w:rPr>
            </w:pPr>
            <w:r>
              <w:rPr>
                <w:rFonts w:eastAsiaTheme="minorEastAsia"/>
                <w:kern w:val="0"/>
                <w:szCs w:val="21"/>
              </w:rPr>
              <w:t>(%)</w:t>
            </w:r>
          </w:p>
        </w:tc>
        <w:tc>
          <w:tcPr>
            <w:tcW w:w="456" w:type="dxa"/>
            <w:tcBorders>
              <w:top w:val="single" w:color="auto" w:sz="2"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N</w:t>
            </w:r>
          </w:p>
        </w:tc>
        <w:tc>
          <w:tcPr>
            <w:tcW w:w="456" w:type="dxa"/>
            <w:tcBorders>
              <w:top w:val="single" w:color="auto" w:sz="2"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NNE</w:t>
            </w:r>
          </w:p>
        </w:tc>
        <w:tc>
          <w:tcPr>
            <w:tcW w:w="456" w:type="dxa"/>
            <w:tcBorders>
              <w:top w:val="single" w:color="auto" w:sz="2"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NE</w:t>
            </w:r>
          </w:p>
        </w:tc>
        <w:tc>
          <w:tcPr>
            <w:tcW w:w="564" w:type="dxa"/>
            <w:tcBorders>
              <w:top w:val="single" w:color="auto" w:sz="2"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ENE</w:t>
            </w:r>
          </w:p>
        </w:tc>
        <w:tc>
          <w:tcPr>
            <w:tcW w:w="564" w:type="dxa"/>
            <w:tcBorders>
              <w:top w:val="single" w:color="auto" w:sz="2"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E</w:t>
            </w:r>
          </w:p>
        </w:tc>
        <w:tc>
          <w:tcPr>
            <w:tcW w:w="564" w:type="dxa"/>
            <w:tcBorders>
              <w:top w:val="single" w:color="auto" w:sz="2"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ESE</w:t>
            </w:r>
          </w:p>
        </w:tc>
        <w:tc>
          <w:tcPr>
            <w:tcW w:w="456" w:type="dxa"/>
            <w:tcBorders>
              <w:top w:val="single" w:color="auto" w:sz="2"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SE</w:t>
            </w:r>
          </w:p>
        </w:tc>
        <w:tc>
          <w:tcPr>
            <w:tcW w:w="456" w:type="dxa"/>
            <w:tcBorders>
              <w:top w:val="single" w:color="auto" w:sz="2"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SSE</w:t>
            </w:r>
          </w:p>
        </w:tc>
        <w:tc>
          <w:tcPr>
            <w:tcW w:w="456" w:type="dxa"/>
            <w:tcBorders>
              <w:top w:val="single" w:color="auto" w:sz="2"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S</w:t>
            </w:r>
          </w:p>
        </w:tc>
        <w:tc>
          <w:tcPr>
            <w:tcW w:w="456" w:type="dxa"/>
            <w:tcBorders>
              <w:top w:val="single" w:color="auto" w:sz="2"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SSW</w:t>
            </w:r>
          </w:p>
        </w:tc>
        <w:tc>
          <w:tcPr>
            <w:tcW w:w="456" w:type="dxa"/>
            <w:tcBorders>
              <w:top w:val="single" w:color="auto" w:sz="2"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SW</w:t>
            </w:r>
          </w:p>
        </w:tc>
        <w:tc>
          <w:tcPr>
            <w:tcW w:w="456" w:type="dxa"/>
            <w:tcBorders>
              <w:top w:val="single" w:color="auto" w:sz="2"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WSW</w:t>
            </w:r>
          </w:p>
        </w:tc>
        <w:tc>
          <w:tcPr>
            <w:tcW w:w="564" w:type="dxa"/>
            <w:tcBorders>
              <w:top w:val="single" w:color="auto" w:sz="2"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W</w:t>
            </w:r>
          </w:p>
        </w:tc>
        <w:tc>
          <w:tcPr>
            <w:tcW w:w="456" w:type="dxa"/>
            <w:tcBorders>
              <w:top w:val="single" w:color="auto" w:sz="2"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WNW</w:t>
            </w:r>
          </w:p>
        </w:tc>
        <w:tc>
          <w:tcPr>
            <w:tcW w:w="456" w:type="dxa"/>
            <w:tcBorders>
              <w:top w:val="single" w:color="auto" w:sz="2"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NW</w:t>
            </w:r>
          </w:p>
        </w:tc>
        <w:tc>
          <w:tcPr>
            <w:tcW w:w="456" w:type="dxa"/>
            <w:tcBorders>
              <w:top w:val="single" w:color="auto" w:sz="2"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NNW</w:t>
            </w:r>
          </w:p>
        </w:tc>
        <w:tc>
          <w:tcPr>
            <w:tcW w:w="554" w:type="dxa"/>
            <w:tcBorders>
              <w:top w:val="single" w:color="auto" w:sz="2" w:space="0"/>
              <w:left w:val="single" w:color="auto" w:sz="6" w:space="0"/>
              <w:bottom w:val="single" w:color="auto" w:sz="6" w:space="0"/>
              <w:right w:val="single" w:color="auto" w:sz="2"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C</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1" w:type="dxa"/>
            <w:tcBorders>
              <w:top w:val="single" w:color="auto" w:sz="6" w:space="0"/>
              <w:left w:val="single" w:color="auto" w:sz="2"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春季</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3.53</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4.35</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3.80</w:t>
            </w:r>
          </w:p>
        </w:tc>
        <w:tc>
          <w:tcPr>
            <w:tcW w:w="564"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9.51</w:t>
            </w:r>
          </w:p>
        </w:tc>
        <w:tc>
          <w:tcPr>
            <w:tcW w:w="564"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17.66</w:t>
            </w:r>
          </w:p>
        </w:tc>
        <w:tc>
          <w:tcPr>
            <w:tcW w:w="564"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16.85</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4.08</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3.53</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6.52</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4.08</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5.16</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2.45</w:t>
            </w:r>
          </w:p>
        </w:tc>
        <w:tc>
          <w:tcPr>
            <w:tcW w:w="564"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4.89</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0.82</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2.45</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3.80</w:t>
            </w:r>
          </w:p>
        </w:tc>
        <w:tc>
          <w:tcPr>
            <w:tcW w:w="554" w:type="dxa"/>
            <w:tcBorders>
              <w:top w:val="single" w:color="auto" w:sz="6" w:space="0"/>
              <w:left w:val="single" w:color="auto" w:sz="6" w:space="0"/>
              <w:bottom w:val="single" w:color="auto" w:sz="6" w:space="0"/>
              <w:right w:val="single" w:color="auto" w:sz="2"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6.52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1" w:type="dxa"/>
            <w:tcBorders>
              <w:top w:val="single" w:color="auto" w:sz="6" w:space="0"/>
              <w:left w:val="single" w:color="auto" w:sz="2"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夏季</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4.35</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2.99</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3.53</w:t>
            </w:r>
          </w:p>
        </w:tc>
        <w:tc>
          <w:tcPr>
            <w:tcW w:w="564"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7.34</w:t>
            </w:r>
          </w:p>
        </w:tc>
        <w:tc>
          <w:tcPr>
            <w:tcW w:w="564"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15.49</w:t>
            </w:r>
          </w:p>
        </w:tc>
        <w:tc>
          <w:tcPr>
            <w:tcW w:w="564"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14.95</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4.62</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3.53</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4.62</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5.16</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3.26</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3.26</w:t>
            </w:r>
          </w:p>
        </w:tc>
        <w:tc>
          <w:tcPr>
            <w:tcW w:w="564"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4.35</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1.90</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2.45</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2.45</w:t>
            </w:r>
          </w:p>
        </w:tc>
        <w:tc>
          <w:tcPr>
            <w:tcW w:w="554" w:type="dxa"/>
            <w:tcBorders>
              <w:top w:val="single" w:color="auto" w:sz="6" w:space="0"/>
              <w:left w:val="single" w:color="auto" w:sz="6" w:space="0"/>
              <w:bottom w:val="single" w:color="auto" w:sz="6" w:space="0"/>
              <w:right w:val="single" w:color="auto" w:sz="2"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15.76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1" w:type="dxa"/>
            <w:tcBorders>
              <w:top w:val="single" w:color="auto" w:sz="6" w:space="0"/>
              <w:left w:val="single" w:color="auto" w:sz="2"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秋季</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8.24</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5.77</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4.67</w:t>
            </w:r>
          </w:p>
        </w:tc>
        <w:tc>
          <w:tcPr>
            <w:tcW w:w="564"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12.36</w:t>
            </w:r>
          </w:p>
        </w:tc>
        <w:tc>
          <w:tcPr>
            <w:tcW w:w="564"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16.48</w:t>
            </w:r>
          </w:p>
        </w:tc>
        <w:tc>
          <w:tcPr>
            <w:tcW w:w="564"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9.34</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2.47</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2.47</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1.92</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1.10</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1.65</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3.02</w:t>
            </w:r>
          </w:p>
        </w:tc>
        <w:tc>
          <w:tcPr>
            <w:tcW w:w="564"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4.67</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2.47</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3.02</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6.59</w:t>
            </w:r>
          </w:p>
        </w:tc>
        <w:tc>
          <w:tcPr>
            <w:tcW w:w="554" w:type="dxa"/>
            <w:tcBorders>
              <w:top w:val="single" w:color="auto" w:sz="6" w:space="0"/>
              <w:left w:val="single" w:color="auto" w:sz="6" w:space="0"/>
              <w:bottom w:val="single" w:color="auto" w:sz="6" w:space="0"/>
              <w:right w:val="single" w:color="auto" w:sz="2"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13.74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1" w:type="dxa"/>
            <w:tcBorders>
              <w:top w:val="single" w:color="auto" w:sz="6" w:space="0"/>
              <w:left w:val="single" w:color="auto" w:sz="2" w:space="0"/>
              <w:bottom w:val="single" w:color="auto" w:sz="6"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冬季</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9.07</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5.22</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4.95</w:t>
            </w:r>
          </w:p>
        </w:tc>
        <w:tc>
          <w:tcPr>
            <w:tcW w:w="564"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5.49</w:t>
            </w:r>
          </w:p>
        </w:tc>
        <w:tc>
          <w:tcPr>
            <w:tcW w:w="564"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9.62</w:t>
            </w:r>
          </w:p>
        </w:tc>
        <w:tc>
          <w:tcPr>
            <w:tcW w:w="564"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5.77</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5.49</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2.75</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3.02</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2.47</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5.49</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5.49</w:t>
            </w:r>
          </w:p>
        </w:tc>
        <w:tc>
          <w:tcPr>
            <w:tcW w:w="564"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13.19</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3.85</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5.22</w:t>
            </w:r>
          </w:p>
        </w:tc>
        <w:tc>
          <w:tcPr>
            <w:tcW w:w="456" w:type="dxa"/>
            <w:tcBorders>
              <w:top w:val="single" w:color="auto" w:sz="6" w:space="0"/>
              <w:left w:val="single" w:color="auto" w:sz="6" w:space="0"/>
              <w:bottom w:val="single" w:color="auto" w:sz="6"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6.59</w:t>
            </w:r>
          </w:p>
        </w:tc>
        <w:tc>
          <w:tcPr>
            <w:tcW w:w="554" w:type="dxa"/>
            <w:tcBorders>
              <w:top w:val="single" w:color="auto" w:sz="6" w:space="0"/>
              <w:left w:val="single" w:color="auto" w:sz="6" w:space="0"/>
              <w:bottom w:val="single" w:color="auto" w:sz="6" w:space="0"/>
              <w:right w:val="single" w:color="auto" w:sz="2"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6.32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1" w:type="dxa"/>
            <w:tcBorders>
              <w:top w:val="single" w:color="auto" w:sz="6" w:space="0"/>
              <w:left w:val="single" w:color="auto" w:sz="2" w:space="0"/>
              <w:bottom w:val="single" w:color="auto" w:sz="2" w:space="0"/>
              <w:right w:val="single" w:color="auto" w:sz="6" w:space="0"/>
            </w:tcBorders>
            <w:tcMar>
              <w:top w:w="0" w:type="dxa"/>
              <w:left w:w="0" w:type="dxa"/>
              <w:bottom w:w="0" w:type="dxa"/>
              <w:right w:w="0" w:type="dxa"/>
            </w:tcMar>
            <w:vAlign w:val="center"/>
          </w:tcPr>
          <w:p>
            <w:pPr>
              <w:widowControl/>
              <w:spacing w:line="360" w:lineRule="exact"/>
              <w:jc w:val="center"/>
              <w:rPr>
                <w:rFonts w:eastAsiaTheme="minorEastAsia"/>
                <w:kern w:val="0"/>
                <w:szCs w:val="21"/>
              </w:rPr>
            </w:pPr>
            <w:r>
              <w:rPr>
                <w:rFonts w:eastAsiaTheme="minorEastAsia"/>
                <w:kern w:val="0"/>
                <w:szCs w:val="21"/>
              </w:rPr>
              <w:t>全年</w:t>
            </w:r>
          </w:p>
        </w:tc>
        <w:tc>
          <w:tcPr>
            <w:tcW w:w="456" w:type="dxa"/>
            <w:tcBorders>
              <w:top w:val="single" w:color="auto" w:sz="6" w:space="0"/>
              <w:left w:val="single" w:color="auto" w:sz="6" w:space="0"/>
              <w:bottom w:val="single" w:color="auto" w:sz="2"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6.28</w:t>
            </w:r>
          </w:p>
        </w:tc>
        <w:tc>
          <w:tcPr>
            <w:tcW w:w="456" w:type="dxa"/>
            <w:tcBorders>
              <w:top w:val="single" w:color="auto" w:sz="6" w:space="0"/>
              <w:left w:val="single" w:color="auto" w:sz="6" w:space="0"/>
              <w:bottom w:val="single" w:color="auto" w:sz="2"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4.58</w:t>
            </w:r>
          </w:p>
        </w:tc>
        <w:tc>
          <w:tcPr>
            <w:tcW w:w="456" w:type="dxa"/>
            <w:tcBorders>
              <w:top w:val="single" w:color="auto" w:sz="6" w:space="0"/>
              <w:left w:val="single" w:color="auto" w:sz="6" w:space="0"/>
              <w:bottom w:val="single" w:color="auto" w:sz="2"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4.23</w:t>
            </w:r>
          </w:p>
        </w:tc>
        <w:tc>
          <w:tcPr>
            <w:tcW w:w="564" w:type="dxa"/>
            <w:tcBorders>
              <w:top w:val="single" w:color="auto" w:sz="6" w:space="0"/>
              <w:left w:val="single" w:color="auto" w:sz="6" w:space="0"/>
              <w:bottom w:val="single" w:color="auto" w:sz="2"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8.67</w:t>
            </w:r>
          </w:p>
        </w:tc>
        <w:tc>
          <w:tcPr>
            <w:tcW w:w="564" w:type="dxa"/>
            <w:tcBorders>
              <w:top w:val="single" w:color="auto" w:sz="6" w:space="0"/>
              <w:left w:val="single" w:color="auto" w:sz="6" w:space="0"/>
              <w:bottom w:val="single" w:color="auto" w:sz="2"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14.82</w:t>
            </w:r>
          </w:p>
        </w:tc>
        <w:tc>
          <w:tcPr>
            <w:tcW w:w="564" w:type="dxa"/>
            <w:tcBorders>
              <w:top w:val="single" w:color="auto" w:sz="6" w:space="0"/>
              <w:left w:val="single" w:color="auto" w:sz="6" w:space="0"/>
              <w:bottom w:val="single" w:color="auto" w:sz="2"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11.75</w:t>
            </w:r>
          </w:p>
        </w:tc>
        <w:tc>
          <w:tcPr>
            <w:tcW w:w="456" w:type="dxa"/>
            <w:tcBorders>
              <w:top w:val="single" w:color="auto" w:sz="6" w:space="0"/>
              <w:left w:val="single" w:color="auto" w:sz="6" w:space="0"/>
              <w:bottom w:val="single" w:color="auto" w:sz="2"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4.17</w:t>
            </w:r>
          </w:p>
        </w:tc>
        <w:tc>
          <w:tcPr>
            <w:tcW w:w="456" w:type="dxa"/>
            <w:tcBorders>
              <w:top w:val="single" w:color="auto" w:sz="6" w:space="0"/>
              <w:left w:val="single" w:color="auto" w:sz="6" w:space="0"/>
              <w:bottom w:val="single" w:color="auto" w:sz="2"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3.07</w:t>
            </w:r>
          </w:p>
        </w:tc>
        <w:tc>
          <w:tcPr>
            <w:tcW w:w="456" w:type="dxa"/>
            <w:tcBorders>
              <w:top w:val="single" w:color="auto" w:sz="6" w:space="0"/>
              <w:left w:val="single" w:color="auto" w:sz="6" w:space="0"/>
              <w:bottom w:val="single" w:color="auto" w:sz="2"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4.03</w:t>
            </w:r>
          </w:p>
        </w:tc>
        <w:tc>
          <w:tcPr>
            <w:tcW w:w="456" w:type="dxa"/>
            <w:tcBorders>
              <w:top w:val="single" w:color="auto" w:sz="6" w:space="0"/>
              <w:left w:val="single" w:color="auto" w:sz="6" w:space="0"/>
              <w:bottom w:val="single" w:color="auto" w:sz="2"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3.21</w:t>
            </w:r>
          </w:p>
        </w:tc>
        <w:tc>
          <w:tcPr>
            <w:tcW w:w="456" w:type="dxa"/>
            <w:tcBorders>
              <w:top w:val="single" w:color="auto" w:sz="6" w:space="0"/>
              <w:left w:val="single" w:color="auto" w:sz="6" w:space="0"/>
              <w:bottom w:val="single" w:color="auto" w:sz="2"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3.89</w:t>
            </w:r>
          </w:p>
        </w:tc>
        <w:tc>
          <w:tcPr>
            <w:tcW w:w="456" w:type="dxa"/>
            <w:tcBorders>
              <w:top w:val="single" w:color="auto" w:sz="6" w:space="0"/>
              <w:left w:val="single" w:color="auto" w:sz="6" w:space="0"/>
              <w:bottom w:val="single" w:color="auto" w:sz="2"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3.55</w:t>
            </w:r>
          </w:p>
        </w:tc>
        <w:tc>
          <w:tcPr>
            <w:tcW w:w="564" w:type="dxa"/>
            <w:tcBorders>
              <w:top w:val="single" w:color="auto" w:sz="6" w:space="0"/>
              <w:left w:val="single" w:color="auto" w:sz="6" w:space="0"/>
              <w:bottom w:val="single" w:color="auto" w:sz="2"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6.76</w:t>
            </w:r>
          </w:p>
        </w:tc>
        <w:tc>
          <w:tcPr>
            <w:tcW w:w="456" w:type="dxa"/>
            <w:tcBorders>
              <w:top w:val="single" w:color="auto" w:sz="6" w:space="0"/>
              <w:left w:val="single" w:color="auto" w:sz="6" w:space="0"/>
              <w:bottom w:val="single" w:color="auto" w:sz="2"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2.25</w:t>
            </w:r>
          </w:p>
        </w:tc>
        <w:tc>
          <w:tcPr>
            <w:tcW w:w="456" w:type="dxa"/>
            <w:tcBorders>
              <w:top w:val="single" w:color="auto" w:sz="6" w:space="0"/>
              <w:left w:val="single" w:color="auto" w:sz="6" w:space="0"/>
              <w:bottom w:val="single" w:color="auto" w:sz="2"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3.28</w:t>
            </w:r>
          </w:p>
        </w:tc>
        <w:tc>
          <w:tcPr>
            <w:tcW w:w="456" w:type="dxa"/>
            <w:tcBorders>
              <w:top w:val="single" w:color="auto" w:sz="6" w:space="0"/>
              <w:left w:val="single" w:color="auto" w:sz="6" w:space="0"/>
              <w:bottom w:val="single" w:color="auto" w:sz="2" w:space="0"/>
              <w:right w:val="single" w:color="auto" w:sz="6"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4.85</w:t>
            </w:r>
          </w:p>
        </w:tc>
        <w:tc>
          <w:tcPr>
            <w:tcW w:w="554" w:type="dxa"/>
            <w:tcBorders>
              <w:top w:val="single" w:color="auto" w:sz="6" w:space="0"/>
              <w:left w:val="single" w:color="auto" w:sz="6" w:space="0"/>
              <w:bottom w:val="single" w:color="auto" w:sz="2" w:space="0"/>
              <w:right w:val="single" w:color="auto" w:sz="2" w:space="0"/>
            </w:tcBorders>
            <w:shd w:val="clear" w:color="auto" w:fill="FFFFFF"/>
            <w:tcMar>
              <w:top w:w="0" w:type="dxa"/>
              <w:left w:w="0" w:type="dxa"/>
              <w:bottom w:w="0" w:type="dxa"/>
              <w:right w:w="0" w:type="dxa"/>
            </w:tcMar>
            <w:vAlign w:val="center"/>
          </w:tcPr>
          <w:p>
            <w:pPr>
              <w:spacing w:line="360" w:lineRule="exact"/>
              <w:jc w:val="center"/>
              <w:rPr>
                <w:rFonts w:eastAsiaTheme="minorEastAsia"/>
                <w:szCs w:val="21"/>
              </w:rPr>
            </w:pPr>
            <w:r>
              <w:rPr>
                <w:rFonts w:eastAsiaTheme="minorEastAsia"/>
                <w:szCs w:val="21"/>
              </w:rPr>
              <w:t>10.59</w:t>
            </w:r>
          </w:p>
        </w:tc>
      </w:tr>
    </w:tbl>
    <w:p>
      <w:pPr>
        <w:adjustRightInd w:val="0"/>
        <w:snapToGrid w:val="0"/>
        <w:spacing w:line="520" w:lineRule="exact"/>
        <w:ind w:firstLine="480" w:firstLineChars="200"/>
        <w:rPr>
          <w:bCs/>
          <w:snapToGrid w:val="0"/>
          <w:kern w:val="0"/>
          <w:sz w:val="24"/>
        </w:rPr>
      </w:pPr>
      <w:r>
        <w:rPr>
          <w:bCs/>
          <w:snapToGrid w:val="0"/>
          <w:kern w:val="0"/>
          <w:sz w:val="24"/>
        </w:rPr>
        <w:t>由年均风频的变化统计资料可以看出，平舆县近一年年均风频最大风向为</w:t>
      </w:r>
      <w:r>
        <w:rPr>
          <w:bCs/>
          <w:kern w:val="0"/>
          <w:sz w:val="24"/>
        </w:rPr>
        <w:t>E风向</w:t>
      </w:r>
      <w:r>
        <w:rPr>
          <w:bCs/>
          <w:snapToGrid w:val="0"/>
          <w:kern w:val="0"/>
          <w:sz w:val="24"/>
        </w:rPr>
        <w:t>，风频为</w:t>
      </w:r>
      <w:r>
        <w:rPr>
          <w:bCs/>
          <w:kern w:val="0"/>
          <w:sz w:val="24"/>
        </w:rPr>
        <w:t>14.82%</w:t>
      </w:r>
      <w:r>
        <w:rPr>
          <w:bCs/>
          <w:snapToGrid w:val="0"/>
          <w:kern w:val="0"/>
          <w:sz w:val="24"/>
        </w:rPr>
        <w:t>。按照方位扇面统计，扇形方位</w:t>
      </w:r>
      <w:r>
        <w:rPr>
          <w:bCs/>
          <w:kern w:val="0"/>
          <w:sz w:val="24"/>
        </w:rPr>
        <w:t>E</w:t>
      </w:r>
      <w:r>
        <w:rPr>
          <w:bCs/>
          <w:snapToGrid w:val="0"/>
          <w:kern w:val="0"/>
          <w:sz w:val="24"/>
        </w:rPr>
        <w:t>～</w:t>
      </w:r>
      <w:r>
        <w:rPr>
          <w:bCs/>
          <w:kern w:val="0"/>
          <w:sz w:val="24"/>
        </w:rPr>
        <w:t>SE</w:t>
      </w:r>
      <w:r>
        <w:rPr>
          <w:bCs/>
          <w:snapToGrid w:val="0"/>
          <w:kern w:val="0"/>
          <w:sz w:val="24"/>
        </w:rPr>
        <w:t>风频和为</w:t>
      </w:r>
      <w:r>
        <w:rPr>
          <w:bCs/>
          <w:kern w:val="0"/>
          <w:sz w:val="24"/>
        </w:rPr>
        <w:t>30.74%</w:t>
      </w:r>
      <w:r>
        <w:rPr>
          <w:bCs/>
          <w:snapToGrid w:val="0"/>
          <w:kern w:val="0"/>
          <w:sz w:val="24"/>
        </w:rPr>
        <w:t>，</w:t>
      </w:r>
      <w:r>
        <w:rPr>
          <w:snapToGrid w:val="0"/>
          <w:kern w:val="0"/>
          <w:sz w:val="24"/>
        </w:rPr>
        <w:t>风频之和大于</w:t>
      </w:r>
      <w:r>
        <w:rPr>
          <w:kern w:val="0"/>
          <w:sz w:val="24"/>
        </w:rPr>
        <w:t>30%</w:t>
      </w:r>
      <w:r>
        <w:rPr>
          <w:snapToGrid w:val="0"/>
          <w:kern w:val="0"/>
          <w:sz w:val="24"/>
        </w:rPr>
        <w:t>，因此平舆县近一年内全年主导风向为东风，</w:t>
      </w:r>
      <w:r>
        <w:rPr>
          <w:bCs/>
          <w:sz w:val="24"/>
        </w:rPr>
        <w:t>次多风向为E</w:t>
      </w:r>
      <w:r>
        <w:rPr>
          <w:bCs/>
          <w:kern w:val="0"/>
          <w:sz w:val="24"/>
        </w:rPr>
        <w:t>SE</w:t>
      </w:r>
      <w:r>
        <w:rPr>
          <w:bCs/>
          <w:sz w:val="24"/>
        </w:rPr>
        <w:t>。</w:t>
      </w:r>
    </w:p>
    <w:p>
      <w:pPr>
        <w:adjustRightInd w:val="0"/>
        <w:snapToGrid w:val="0"/>
        <w:spacing w:line="520" w:lineRule="exact"/>
        <w:ind w:firstLine="480" w:firstLineChars="200"/>
        <w:rPr>
          <w:bCs/>
          <w:kern w:val="0"/>
          <w:sz w:val="24"/>
        </w:rPr>
      </w:pPr>
      <w:r>
        <w:rPr>
          <w:bCs/>
          <w:snapToGrid w:val="0"/>
          <w:kern w:val="0"/>
          <w:sz w:val="24"/>
        </w:rPr>
        <w:t>平舆县</w:t>
      </w:r>
      <w:r>
        <w:rPr>
          <w:bCs/>
          <w:kern w:val="0"/>
          <w:sz w:val="24"/>
        </w:rPr>
        <w:t>2015</w:t>
      </w:r>
      <w:r>
        <w:rPr>
          <w:bCs/>
          <w:snapToGrid w:val="0"/>
          <w:kern w:val="0"/>
          <w:sz w:val="24"/>
        </w:rPr>
        <w:t>年</w:t>
      </w:r>
      <w:r>
        <w:rPr>
          <w:bCs/>
          <w:kern w:val="0"/>
          <w:sz w:val="24"/>
        </w:rPr>
        <w:t>7</w:t>
      </w:r>
      <w:r>
        <w:rPr>
          <w:bCs/>
          <w:snapToGrid w:val="0"/>
          <w:kern w:val="0"/>
          <w:sz w:val="24"/>
        </w:rPr>
        <w:t>月至</w:t>
      </w:r>
      <w:r>
        <w:rPr>
          <w:bCs/>
          <w:kern w:val="0"/>
          <w:sz w:val="24"/>
        </w:rPr>
        <w:t>2016</w:t>
      </w:r>
      <w:r>
        <w:rPr>
          <w:bCs/>
          <w:snapToGrid w:val="0"/>
          <w:kern w:val="0"/>
          <w:sz w:val="24"/>
        </w:rPr>
        <w:t>年</w:t>
      </w:r>
      <w:r>
        <w:rPr>
          <w:bCs/>
          <w:kern w:val="0"/>
          <w:sz w:val="24"/>
        </w:rPr>
        <w:t>6</w:t>
      </w:r>
      <w:r>
        <w:rPr>
          <w:bCs/>
          <w:snapToGrid w:val="0"/>
          <w:kern w:val="0"/>
          <w:sz w:val="24"/>
        </w:rPr>
        <w:t>月近一年全年及各季风频玫瑰图见图</w:t>
      </w:r>
      <w:r>
        <w:rPr>
          <w:bCs/>
          <w:kern w:val="0"/>
          <w:sz w:val="24"/>
        </w:rPr>
        <w:t>4-4</w:t>
      </w:r>
      <w:r>
        <w:rPr>
          <w:bCs/>
          <w:snapToGrid w:val="0"/>
          <w:kern w:val="0"/>
          <w:sz w:val="24"/>
        </w:rPr>
        <w:t>，全年及各季风速玫瑰图见图</w:t>
      </w:r>
      <w:r>
        <w:rPr>
          <w:bCs/>
          <w:kern w:val="0"/>
          <w:sz w:val="24"/>
        </w:rPr>
        <w:t>4-5</w:t>
      </w:r>
      <w:r>
        <w:rPr>
          <w:bCs/>
          <w:snapToGrid w:val="0"/>
          <w:kern w:val="0"/>
          <w:sz w:val="24"/>
        </w:rPr>
        <w:t>。</w:t>
      </w:r>
    </w:p>
    <w:p>
      <w:pPr>
        <w:adjustRightInd w:val="0"/>
        <w:snapToGrid w:val="0"/>
        <w:spacing w:beforeLines="50" w:afterLines="50"/>
        <w:rPr>
          <w:bCs/>
          <w:snapToGrid w:val="0"/>
          <w:kern w:val="0"/>
          <w:sz w:val="24"/>
        </w:rPr>
      </w:pPr>
      <w:r>
        <w:drawing>
          <wp:inline distT="0" distB="0" distL="0" distR="0">
            <wp:extent cx="5448300" cy="7581900"/>
            <wp:effectExtent l="19050" t="0" r="0"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noChangeArrowheads="1"/>
                    </pic:cNvPicPr>
                  </pic:nvPicPr>
                  <pic:blipFill>
                    <a:blip r:embed="rId35" cstate="print"/>
                    <a:srcRect t="2542"/>
                    <a:stretch>
                      <a:fillRect/>
                    </a:stretch>
                  </pic:blipFill>
                  <pic:spPr>
                    <a:xfrm>
                      <a:off x="0" y="0"/>
                      <a:ext cx="5448300" cy="7581900"/>
                    </a:xfrm>
                    <a:prstGeom prst="rect">
                      <a:avLst/>
                    </a:prstGeom>
                    <a:noFill/>
                    <a:ln w="9525">
                      <a:noFill/>
                      <a:miter lim="800000"/>
                      <a:headEnd/>
                      <a:tailEnd/>
                    </a:ln>
                  </pic:spPr>
                </pic:pic>
              </a:graphicData>
            </a:graphic>
          </wp:inline>
        </w:drawing>
      </w:r>
    </w:p>
    <w:p>
      <w:pPr>
        <w:spacing w:line="520" w:lineRule="exact"/>
        <w:jc w:val="center"/>
        <w:rPr>
          <w:rFonts w:eastAsia="黑体"/>
          <w:sz w:val="24"/>
        </w:rPr>
      </w:pPr>
      <w:r>
        <w:rPr>
          <w:rFonts w:eastAsia="黑体"/>
          <w:bCs/>
          <w:sz w:val="24"/>
        </w:rPr>
        <w:t>图4-4  全年及各季风频玫瑰图</w:t>
      </w:r>
    </w:p>
    <w:p>
      <w:pPr>
        <w:adjustRightInd w:val="0"/>
        <w:snapToGrid w:val="0"/>
        <w:spacing w:line="520" w:lineRule="exact"/>
        <w:ind w:firstLine="480" w:firstLineChars="200"/>
        <w:rPr>
          <w:bCs/>
          <w:snapToGrid w:val="0"/>
          <w:kern w:val="0"/>
          <w:sz w:val="24"/>
        </w:rPr>
      </w:pPr>
    </w:p>
    <w:p>
      <w:pPr>
        <w:adjustRightInd w:val="0"/>
        <w:snapToGrid w:val="0"/>
        <w:spacing w:beforeLines="50" w:afterLines="50"/>
        <w:jc w:val="center"/>
        <w:rPr>
          <w:bCs/>
          <w:snapToGrid w:val="0"/>
          <w:kern w:val="0"/>
          <w:sz w:val="24"/>
        </w:rPr>
      </w:pPr>
      <w:r>
        <w:drawing>
          <wp:inline distT="0" distB="0" distL="0" distR="0">
            <wp:extent cx="5419725" cy="7553325"/>
            <wp:effectExtent l="19050" t="0" r="9525"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noChangeArrowheads="1"/>
                    </pic:cNvPicPr>
                  </pic:nvPicPr>
                  <pic:blipFill>
                    <a:blip r:embed="rId36" cstate="print"/>
                    <a:srcRect t="2429"/>
                    <a:stretch>
                      <a:fillRect/>
                    </a:stretch>
                  </pic:blipFill>
                  <pic:spPr>
                    <a:xfrm>
                      <a:off x="0" y="0"/>
                      <a:ext cx="5419725" cy="7553325"/>
                    </a:xfrm>
                    <a:prstGeom prst="rect">
                      <a:avLst/>
                    </a:prstGeom>
                    <a:noFill/>
                    <a:ln w="9525">
                      <a:noFill/>
                      <a:miter lim="800000"/>
                      <a:headEnd/>
                      <a:tailEnd/>
                    </a:ln>
                  </pic:spPr>
                </pic:pic>
              </a:graphicData>
            </a:graphic>
          </wp:inline>
        </w:drawing>
      </w:r>
    </w:p>
    <w:p>
      <w:pPr>
        <w:spacing w:line="520" w:lineRule="exact"/>
        <w:jc w:val="center"/>
        <w:rPr>
          <w:rFonts w:eastAsia="黑体"/>
          <w:sz w:val="24"/>
        </w:rPr>
      </w:pPr>
      <w:r>
        <w:rPr>
          <w:rFonts w:eastAsia="黑体"/>
          <w:bCs/>
          <w:sz w:val="24"/>
        </w:rPr>
        <w:t>图4-5  全年及各季风速玫瑰图</w:t>
      </w:r>
    </w:p>
    <w:p>
      <w:pPr>
        <w:pStyle w:val="110"/>
        <w:tabs>
          <w:tab w:val="center" w:pos="4156"/>
          <w:tab w:val="left" w:pos="7410"/>
        </w:tabs>
        <w:spacing w:before="156" w:line="520" w:lineRule="exact"/>
        <w:ind w:firstLine="723" w:firstLineChars="343"/>
        <w:jc w:val="left"/>
      </w:pPr>
      <w:r>
        <w:t>表4-10             各季及全年各风向平均风速                 单位：m/s</w:t>
      </w:r>
    </w:p>
    <w:tbl>
      <w:tblPr>
        <w:tblStyle w:val="44"/>
        <w:tblpPr w:leftFromText="180" w:rightFromText="180" w:vertAnchor="text" w:horzAnchor="page" w:tblpXSpec="center" w:tblpY="137"/>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9"/>
        <w:gridCol w:w="497"/>
        <w:gridCol w:w="574"/>
        <w:gridCol w:w="505"/>
        <w:gridCol w:w="550"/>
        <w:gridCol w:w="499"/>
        <w:gridCol w:w="505"/>
        <w:gridCol w:w="494"/>
        <w:gridCol w:w="498"/>
        <w:gridCol w:w="492"/>
        <w:gridCol w:w="581"/>
        <w:gridCol w:w="506"/>
        <w:gridCol w:w="684"/>
        <w:gridCol w:w="501"/>
        <w:gridCol w:w="605"/>
        <w:gridCol w:w="525"/>
        <w:gridCol w:w="675"/>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419" w:type="dxa"/>
            <w:tcBorders>
              <w:top w:val="single" w:color="auto" w:sz="4" w:space="0"/>
              <w:left w:val="single" w:color="auto" w:sz="4" w:space="0"/>
              <w:bottom w:val="single" w:color="auto" w:sz="4" w:space="0"/>
              <w:right w:val="single" w:color="auto" w:sz="4" w:space="0"/>
            </w:tcBorders>
          </w:tcPr>
          <w:p>
            <w:pPr>
              <w:pStyle w:val="140"/>
            </w:pPr>
            <w:r>
              <w:t>季</w:t>
            </w:r>
          </w:p>
        </w:tc>
        <w:tc>
          <w:tcPr>
            <w:tcW w:w="497" w:type="dxa"/>
            <w:tcBorders>
              <w:top w:val="single" w:color="auto" w:sz="4" w:space="0"/>
              <w:left w:val="single" w:color="auto" w:sz="4" w:space="0"/>
              <w:bottom w:val="single" w:color="auto" w:sz="4" w:space="0"/>
              <w:right w:val="single" w:color="auto" w:sz="4" w:space="0"/>
            </w:tcBorders>
          </w:tcPr>
          <w:p>
            <w:pPr>
              <w:pStyle w:val="140"/>
            </w:pPr>
            <w:r>
              <w:t>N</w:t>
            </w:r>
          </w:p>
        </w:tc>
        <w:tc>
          <w:tcPr>
            <w:tcW w:w="574" w:type="dxa"/>
            <w:tcBorders>
              <w:top w:val="single" w:color="auto" w:sz="4" w:space="0"/>
              <w:left w:val="single" w:color="auto" w:sz="4" w:space="0"/>
              <w:bottom w:val="single" w:color="auto" w:sz="4" w:space="0"/>
              <w:right w:val="single" w:color="auto" w:sz="4" w:space="0"/>
            </w:tcBorders>
          </w:tcPr>
          <w:p>
            <w:pPr>
              <w:pStyle w:val="140"/>
            </w:pPr>
            <w:r>
              <w:t>NNE</w:t>
            </w:r>
          </w:p>
        </w:tc>
        <w:tc>
          <w:tcPr>
            <w:tcW w:w="505" w:type="dxa"/>
            <w:tcBorders>
              <w:top w:val="single" w:color="auto" w:sz="4" w:space="0"/>
              <w:left w:val="single" w:color="auto" w:sz="4" w:space="0"/>
              <w:bottom w:val="single" w:color="auto" w:sz="4" w:space="0"/>
              <w:right w:val="single" w:color="auto" w:sz="4" w:space="0"/>
            </w:tcBorders>
          </w:tcPr>
          <w:p>
            <w:pPr>
              <w:pStyle w:val="140"/>
            </w:pPr>
            <w:r>
              <w:t>NE</w:t>
            </w:r>
          </w:p>
        </w:tc>
        <w:tc>
          <w:tcPr>
            <w:tcW w:w="550" w:type="dxa"/>
            <w:tcBorders>
              <w:top w:val="single" w:color="auto" w:sz="4" w:space="0"/>
              <w:left w:val="single" w:color="auto" w:sz="4" w:space="0"/>
              <w:bottom w:val="single" w:color="auto" w:sz="4" w:space="0"/>
              <w:right w:val="single" w:color="auto" w:sz="4" w:space="0"/>
            </w:tcBorders>
          </w:tcPr>
          <w:p>
            <w:pPr>
              <w:pStyle w:val="140"/>
            </w:pPr>
            <w:r>
              <w:t>ENE</w:t>
            </w:r>
          </w:p>
        </w:tc>
        <w:tc>
          <w:tcPr>
            <w:tcW w:w="499" w:type="dxa"/>
            <w:tcBorders>
              <w:top w:val="single" w:color="auto" w:sz="4" w:space="0"/>
              <w:left w:val="single" w:color="auto" w:sz="4" w:space="0"/>
              <w:bottom w:val="single" w:color="auto" w:sz="4" w:space="0"/>
              <w:right w:val="single" w:color="auto" w:sz="4" w:space="0"/>
            </w:tcBorders>
          </w:tcPr>
          <w:p>
            <w:pPr>
              <w:pStyle w:val="140"/>
            </w:pPr>
            <w:r>
              <w:t>E</w:t>
            </w:r>
          </w:p>
        </w:tc>
        <w:tc>
          <w:tcPr>
            <w:tcW w:w="505" w:type="dxa"/>
            <w:tcBorders>
              <w:top w:val="single" w:color="auto" w:sz="4" w:space="0"/>
              <w:left w:val="single" w:color="auto" w:sz="4" w:space="0"/>
              <w:bottom w:val="single" w:color="auto" w:sz="4" w:space="0"/>
              <w:right w:val="single" w:color="auto" w:sz="4" w:space="0"/>
            </w:tcBorders>
          </w:tcPr>
          <w:p>
            <w:pPr>
              <w:pStyle w:val="140"/>
            </w:pPr>
            <w:r>
              <w:t>ESE</w:t>
            </w:r>
          </w:p>
        </w:tc>
        <w:tc>
          <w:tcPr>
            <w:tcW w:w="494" w:type="dxa"/>
            <w:tcBorders>
              <w:top w:val="single" w:color="auto" w:sz="4" w:space="0"/>
              <w:left w:val="single" w:color="auto" w:sz="4" w:space="0"/>
              <w:bottom w:val="single" w:color="auto" w:sz="4" w:space="0"/>
              <w:right w:val="single" w:color="auto" w:sz="4" w:space="0"/>
            </w:tcBorders>
          </w:tcPr>
          <w:p>
            <w:pPr>
              <w:pStyle w:val="140"/>
            </w:pPr>
            <w:r>
              <w:t>SE</w:t>
            </w:r>
          </w:p>
        </w:tc>
        <w:tc>
          <w:tcPr>
            <w:tcW w:w="498" w:type="dxa"/>
            <w:tcBorders>
              <w:top w:val="single" w:color="auto" w:sz="4" w:space="0"/>
              <w:left w:val="single" w:color="auto" w:sz="4" w:space="0"/>
              <w:bottom w:val="single" w:color="auto" w:sz="4" w:space="0"/>
              <w:right w:val="single" w:color="auto" w:sz="4" w:space="0"/>
            </w:tcBorders>
          </w:tcPr>
          <w:p>
            <w:pPr>
              <w:pStyle w:val="140"/>
            </w:pPr>
            <w:r>
              <w:t>SSE</w:t>
            </w:r>
          </w:p>
        </w:tc>
        <w:tc>
          <w:tcPr>
            <w:tcW w:w="492" w:type="dxa"/>
            <w:tcBorders>
              <w:top w:val="single" w:color="auto" w:sz="4" w:space="0"/>
              <w:left w:val="single" w:color="auto" w:sz="4" w:space="0"/>
              <w:bottom w:val="single" w:color="auto" w:sz="4" w:space="0"/>
              <w:right w:val="single" w:color="auto" w:sz="4" w:space="0"/>
            </w:tcBorders>
          </w:tcPr>
          <w:p>
            <w:pPr>
              <w:pStyle w:val="140"/>
            </w:pPr>
            <w:r>
              <w:t>S</w:t>
            </w:r>
          </w:p>
        </w:tc>
        <w:tc>
          <w:tcPr>
            <w:tcW w:w="581" w:type="dxa"/>
            <w:tcBorders>
              <w:top w:val="single" w:color="auto" w:sz="4" w:space="0"/>
              <w:left w:val="single" w:color="auto" w:sz="4" w:space="0"/>
              <w:bottom w:val="single" w:color="auto" w:sz="4" w:space="0"/>
              <w:right w:val="single" w:color="auto" w:sz="4" w:space="0"/>
            </w:tcBorders>
          </w:tcPr>
          <w:p>
            <w:pPr>
              <w:pStyle w:val="140"/>
            </w:pPr>
            <w:r>
              <w:t>SSW</w:t>
            </w:r>
          </w:p>
        </w:tc>
        <w:tc>
          <w:tcPr>
            <w:tcW w:w="506" w:type="dxa"/>
            <w:tcBorders>
              <w:top w:val="single" w:color="auto" w:sz="4" w:space="0"/>
              <w:left w:val="single" w:color="auto" w:sz="4" w:space="0"/>
              <w:bottom w:val="single" w:color="auto" w:sz="4" w:space="0"/>
              <w:right w:val="single" w:color="auto" w:sz="4" w:space="0"/>
            </w:tcBorders>
          </w:tcPr>
          <w:p>
            <w:pPr>
              <w:pStyle w:val="140"/>
            </w:pPr>
            <w:r>
              <w:t>SW</w:t>
            </w:r>
          </w:p>
        </w:tc>
        <w:tc>
          <w:tcPr>
            <w:tcW w:w="684" w:type="dxa"/>
            <w:tcBorders>
              <w:top w:val="single" w:color="auto" w:sz="4" w:space="0"/>
              <w:left w:val="single" w:color="auto" w:sz="4" w:space="0"/>
              <w:bottom w:val="single" w:color="auto" w:sz="4" w:space="0"/>
              <w:right w:val="single" w:color="auto" w:sz="4" w:space="0"/>
            </w:tcBorders>
          </w:tcPr>
          <w:p>
            <w:pPr>
              <w:pStyle w:val="140"/>
            </w:pPr>
            <w:r>
              <w:t>WSW</w:t>
            </w:r>
          </w:p>
        </w:tc>
        <w:tc>
          <w:tcPr>
            <w:tcW w:w="501" w:type="dxa"/>
            <w:tcBorders>
              <w:top w:val="single" w:color="auto" w:sz="4" w:space="0"/>
              <w:left w:val="single" w:color="auto" w:sz="4" w:space="0"/>
              <w:bottom w:val="single" w:color="auto" w:sz="4" w:space="0"/>
              <w:right w:val="single" w:color="auto" w:sz="4" w:space="0"/>
            </w:tcBorders>
          </w:tcPr>
          <w:p>
            <w:pPr>
              <w:pStyle w:val="140"/>
            </w:pPr>
            <w:r>
              <w:t>W</w:t>
            </w:r>
          </w:p>
        </w:tc>
        <w:tc>
          <w:tcPr>
            <w:tcW w:w="605" w:type="dxa"/>
            <w:tcBorders>
              <w:top w:val="single" w:color="auto" w:sz="4" w:space="0"/>
              <w:left w:val="single" w:color="auto" w:sz="4" w:space="0"/>
              <w:bottom w:val="single" w:color="auto" w:sz="4" w:space="0"/>
              <w:right w:val="single" w:color="auto" w:sz="4" w:space="0"/>
            </w:tcBorders>
          </w:tcPr>
          <w:p>
            <w:pPr>
              <w:pStyle w:val="140"/>
            </w:pPr>
            <w:r>
              <w:t>WNW</w:t>
            </w:r>
          </w:p>
        </w:tc>
        <w:tc>
          <w:tcPr>
            <w:tcW w:w="525" w:type="dxa"/>
            <w:tcBorders>
              <w:top w:val="single" w:color="auto" w:sz="4" w:space="0"/>
              <w:left w:val="single" w:color="auto" w:sz="4" w:space="0"/>
              <w:bottom w:val="single" w:color="auto" w:sz="4" w:space="0"/>
              <w:right w:val="single" w:color="auto" w:sz="4" w:space="0"/>
            </w:tcBorders>
          </w:tcPr>
          <w:p>
            <w:pPr>
              <w:pStyle w:val="140"/>
            </w:pPr>
            <w:r>
              <w:t>NW</w:t>
            </w:r>
          </w:p>
        </w:tc>
        <w:tc>
          <w:tcPr>
            <w:tcW w:w="675" w:type="dxa"/>
            <w:tcBorders>
              <w:top w:val="single" w:color="auto" w:sz="4" w:space="0"/>
              <w:left w:val="single" w:color="auto" w:sz="4" w:space="0"/>
              <w:bottom w:val="single" w:color="auto" w:sz="4" w:space="0"/>
              <w:right w:val="single" w:color="auto" w:sz="4" w:space="0"/>
            </w:tcBorders>
          </w:tcPr>
          <w:p>
            <w:pPr>
              <w:pStyle w:val="140"/>
            </w:pPr>
            <w:r>
              <w:t>NNW</w:t>
            </w:r>
          </w:p>
        </w:tc>
        <w:tc>
          <w:tcPr>
            <w:tcW w:w="540" w:type="dxa"/>
            <w:tcBorders>
              <w:top w:val="single" w:color="auto" w:sz="4" w:space="0"/>
              <w:left w:val="single" w:color="auto" w:sz="4" w:space="0"/>
              <w:bottom w:val="single" w:color="auto" w:sz="4" w:space="0"/>
              <w:right w:val="single" w:color="auto" w:sz="4" w:space="0"/>
            </w:tcBorders>
          </w:tcPr>
          <w:p>
            <w:pPr>
              <w:pStyle w:val="140"/>
            </w:pPr>
            <w: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trPr>
        <w:tc>
          <w:tcPr>
            <w:tcW w:w="419" w:type="dxa"/>
            <w:tcBorders>
              <w:top w:val="single" w:color="auto" w:sz="4" w:space="0"/>
              <w:left w:val="single" w:color="auto" w:sz="4" w:space="0"/>
              <w:bottom w:val="single" w:color="auto" w:sz="4" w:space="0"/>
              <w:right w:val="single" w:color="auto" w:sz="4" w:space="0"/>
            </w:tcBorders>
          </w:tcPr>
          <w:p>
            <w:pPr>
              <w:pStyle w:val="140"/>
            </w:pPr>
            <w:r>
              <w:t>春</w:t>
            </w:r>
          </w:p>
        </w:tc>
        <w:tc>
          <w:tcPr>
            <w:tcW w:w="497" w:type="dxa"/>
            <w:tcBorders>
              <w:top w:val="single" w:color="auto" w:sz="4" w:space="0"/>
              <w:left w:val="single" w:color="auto" w:sz="4" w:space="0"/>
              <w:bottom w:val="single" w:color="auto" w:sz="4" w:space="0"/>
              <w:right w:val="single" w:color="auto" w:sz="4" w:space="0"/>
            </w:tcBorders>
          </w:tcPr>
          <w:p>
            <w:pPr>
              <w:pStyle w:val="140"/>
            </w:pPr>
            <w:r>
              <w:t>3.07</w:t>
            </w:r>
          </w:p>
        </w:tc>
        <w:tc>
          <w:tcPr>
            <w:tcW w:w="574" w:type="dxa"/>
            <w:tcBorders>
              <w:top w:val="single" w:color="auto" w:sz="4" w:space="0"/>
              <w:left w:val="single" w:color="auto" w:sz="4" w:space="0"/>
              <w:bottom w:val="single" w:color="auto" w:sz="4" w:space="0"/>
              <w:right w:val="single" w:color="auto" w:sz="4" w:space="0"/>
            </w:tcBorders>
          </w:tcPr>
          <w:p>
            <w:pPr>
              <w:pStyle w:val="140"/>
            </w:pPr>
            <w:r>
              <w:t>3.46</w:t>
            </w:r>
          </w:p>
        </w:tc>
        <w:tc>
          <w:tcPr>
            <w:tcW w:w="505" w:type="dxa"/>
            <w:tcBorders>
              <w:top w:val="single" w:color="auto" w:sz="4" w:space="0"/>
              <w:left w:val="single" w:color="auto" w:sz="4" w:space="0"/>
              <w:bottom w:val="single" w:color="auto" w:sz="4" w:space="0"/>
              <w:right w:val="single" w:color="auto" w:sz="4" w:space="0"/>
            </w:tcBorders>
          </w:tcPr>
          <w:p>
            <w:pPr>
              <w:pStyle w:val="140"/>
            </w:pPr>
            <w:r>
              <w:t>2.59</w:t>
            </w:r>
          </w:p>
        </w:tc>
        <w:tc>
          <w:tcPr>
            <w:tcW w:w="550" w:type="dxa"/>
            <w:tcBorders>
              <w:top w:val="single" w:color="auto" w:sz="4" w:space="0"/>
              <w:left w:val="single" w:color="auto" w:sz="4" w:space="0"/>
              <w:bottom w:val="single" w:color="auto" w:sz="4" w:space="0"/>
              <w:right w:val="single" w:color="auto" w:sz="4" w:space="0"/>
            </w:tcBorders>
          </w:tcPr>
          <w:p>
            <w:pPr>
              <w:pStyle w:val="140"/>
            </w:pPr>
            <w:r>
              <w:t>1.96</w:t>
            </w:r>
          </w:p>
        </w:tc>
        <w:tc>
          <w:tcPr>
            <w:tcW w:w="499" w:type="dxa"/>
            <w:tcBorders>
              <w:top w:val="single" w:color="auto" w:sz="4" w:space="0"/>
              <w:left w:val="single" w:color="auto" w:sz="4" w:space="0"/>
              <w:bottom w:val="single" w:color="auto" w:sz="4" w:space="0"/>
              <w:right w:val="single" w:color="auto" w:sz="4" w:space="0"/>
            </w:tcBorders>
          </w:tcPr>
          <w:p>
            <w:pPr>
              <w:pStyle w:val="140"/>
            </w:pPr>
            <w:r>
              <w:t>2.25</w:t>
            </w:r>
          </w:p>
        </w:tc>
        <w:tc>
          <w:tcPr>
            <w:tcW w:w="505" w:type="dxa"/>
            <w:tcBorders>
              <w:top w:val="single" w:color="auto" w:sz="4" w:space="0"/>
              <w:left w:val="single" w:color="auto" w:sz="4" w:space="0"/>
              <w:bottom w:val="single" w:color="auto" w:sz="4" w:space="0"/>
              <w:right w:val="single" w:color="auto" w:sz="4" w:space="0"/>
            </w:tcBorders>
          </w:tcPr>
          <w:p>
            <w:pPr>
              <w:pStyle w:val="140"/>
            </w:pPr>
            <w:r>
              <w:t>1.97</w:t>
            </w:r>
          </w:p>
        </w:tc>
        <w:tc>
          <w:tcPr>
            <w:tcW w:w="494" w:type="dxa"/>
            <w:tcBorders>
              <w:top w:val="single" w:color="auto" w:sz="4" w:space="0"/>
              <w:left w:val="single" w:color="auto" w:sz="4" w:space="0"/>
              <w:bottom w:val="single" w:color="auto" w:sz="4" w:space="0"/>
              <w:right w:val="single" w:color="auto" w:sz="4" w:space="0"/>
            </w:tcBorders>
          </w:tcPr>
          <w:p>
            <w:pPr>
              <w:pStyle w:val="140"/>
            </w:pPr>
            <w:r>
              <w:t>1.51</w:t>
            </w:r>
          </w:p>
        </w:tc>
        <w:tc>
          <w:tcPr>
            <w:tcW w:w="498" w:type="dxa"/>
            <w:tcBorders>
              <w:top w:val="single" w:color="auto" w:sz="4" w:space="0"/>
              <w:left w:val="single" w:color="auto" w:sz="4" w:space="0"/>
              <w:bottom w:val="single" w:color="auto" w:sz="4" w:space="0"/>
              <w:right w:val="single" w:color="auto" w:sz="4" w:space="0"/>
            </w:tcBorders>
          </w:tcPr>
          <w:p>
            <w:pPr>
              <w:pStyle w:val="140"/>
            </w:pPr>
            <w:r>
              <w:t>1.67</w:t>
            </w:r>
          </w:p>
        </w:tc>
        <w:tc>
          <w:tcPr>
            <w:tcW w:w="492" w:type="dxa"/>
            <w:tcBorders>
              <w:top w:val="single" w:color="auto" w:sz="4" w:space="0"/>
              <w:left w:val="single" w:color="auto" w:sz="4" w:space="0"/>
              <w:bottom w:val="single" w:color="auto" w:sz="4" w:space="0"/>
              <w:right w:val="single" w:color="auto" w:sz="4" w:space="0"/>
            </w:tcBorders>
          </w:tcPr>
          <w:p>
            <w:pPr>
              <w:pStyle w:val="140"/>
            </w:pPr>
            <w:r>
              <w:t>1.64</w:t>
            </w:r>
          </w:p>
        </w:tc>
        <w:tc>
          <w:tcPr>
            <w:tcW w:w="581" w:type="dxa"/>
            <w:tcBorders>
              <w:top w:val="single" w:color="auto" w:sz="4" w:space="0"/>
              <w:left w:val="single" w:color="auto" w:sz="4" w:space="0"/>
              <w:bottom w:val="single" w:color="auto" w:sz="4" w:space="0"/>
              <w:right w:val="single" w:color="auto" w:sz="4" w:space="0"/>
            </w:tcBorders>
          </w:tcPr>
          <w:p>
            <w:pPr>
              <w:pStyle w:val="140"/>
            </w:pPr>
            <w:r>
              <w:t>2.47</w:t>
            </w:r>
          </w:p>
        </w:tc>
        <w:tc>
          <w:tcPr>
            <w:tcW w:w="506" w:type="dxa"/>
            <w:tcBorders>
              <w:top w:val="single" w:color="auto" w:sz="4" w:space="0"/>
              <w:left w:val="single" w:color="auto" w:sz="4" w:space="0"/>
              <w:bottom w:val="single" w:color="auto" w:sz="4" w:space="0"/>
              <w:right w:val="single" w:color="auto" w:sz="4" w:space="0"/>
            </w:tcBorders>
          </w:tcPr>
          <w:p>
            <w:pPr>
              <w:pStyle w:val="140"/>
            </w:pPr>
            <w:r>
              <w:t>2.55</w:t>
            </w:r>
          </w:p>
        </w:tc>
        <w:tc>
          <w:tcPr>
            <w:tcW w:w="684" w:type="dxa"/>
            <w:tcBorders>
              <w:top w:val="single" w:color="auto" w:sz="4" w:space="0"/>
              <w:left w:val="single" w:color="auto" w:sz="4" w:space="0"/>
              <w:bottom w:val="single" w:color="auto" w:sz="4" w:space="0"/>
              <w:right w:val="single" w:color="auto" w:sz="4" w:space="0"/>
            </w:tcBorders>
          </w:tcPr>
          <w:p>
            <w:pPr>
              <w:pStyle w:val="140"/>
            </w:pPr>
            <w:r>
              <w:t>2.64</w:t>
            </w:r>
          </w:p>
        </w:tc>
        <w:tc>
          <w:tcPr>
            <w:tcW w:w="501" w:type="dxa"/>
            <w:tcBorders>
              <w:top w:val="single" w:color="auto" w:sz="4" w:space="0"/>
              <w:left w:val="single" w:color="auto" w:sz="4" w:space="0"/>
              <w:bottom w:val="single" w:color="auto" w:sz="4" w:space="0"/>
              <w:right w:val="single" w:color="auto" w:sz="4" w:space="0"/>
            </w:tcBorders>
          </w:tcPr>
          <w:p>
            <w:pPr>
              <w:pStyle w:val="140"/>
            </w:pPr>
            <w:r>
              <w:t>2.55</w:t>
            </w:r>
          </w:p>
        </w:tc>
        <w:tc>
          <w:tcPr>
            <w:tcW w:w="605" w:type="dxa"/>
            <w:tcBorders>
              <w:top w:val="single" w:color="auto" w:sz="4" w:space="0"/>
              <w:left w:val="single" w:color="auto" w:sz="4" w:space="0"/>
              <w:bottom w:val="single" w:color="auto" w:sz="4" w:space="0"/>
              <w:right w:val="single" w:color="auto" w:sz="4" w:space="0"/>
            </w:tcBorders>
          </w:tcPr>
          <w:p>
            <w:pPr>
              <w:pStyle w:val="140"/>
            </w:pPr>
            <w:r>
              <w:t>3.12</w:t>
            </w:r>
          </w:p>
        </w:tc>
        <w:tc>
          <w:tcPr>
            <w:tcW w:w="525" w:type="dxa"/>
            <w:tcBorders>
              <w:top w:val="single" w:color="auto" w:sz="4" w:space="0"/>
              <w:left w:val="single" w:color="auto" w:sz="4" w:space="0"/>
              <w:bottom w:val="single" w:color="auto" w:sz="4" w:space="0"/>
              <w:right w:val="single" w:color="auto" w:sz="4" w:space="0"/>
            </w:tcBorders>
          </w:tcPr>
          <w:p>
            <w:pPr>
              <w:pStyle w:val="140"/>
            </w:pPr>
            <w:r>
              <w:t>2.57</w:t>
            </w:r>
          </w:p>
        </w:tc>
        <w:tc>
          <w:tcPr>
            <w:tcW w:w="675" w:type="dxa"/>
            <w:tcBorders>
              <w:top w:val="single" w:color="auto" w:sz="4" w:space="0"/>
              <w:left w:val="single" w:color="auto" w:sz="4" w:space="0"/>
              <w:bottom w:val="single" w:color="auto" w:sz="4" w:space="0"/>
              <w:right w:val="single" w:color="auto" w:sz="4" w:space="0"/>
            </w:tcBorders>
          </w:tcPr>
          <w:p>
            <w:pPr>
              <w:pStyle w:val="140"/>
            </w:pPr>
            <w:r>
              <w:t>3.20</w:t>
            </w:r>
          </w:p>
        </w:tc>
        <w:tc>
          <w:tcPr>
            <w:tcW w:w="540" w:type="dxa"/>
            <w:tcBorders>
              <w:top w:val="single" w:color="auto" w:sz="4" w:space="0"/>
              <w:left w:val="single" w:color="auto" w:sz="4" w:space="0"/>
              <w:bottom w:val="single" w:color="auto" w:sz="4" w:space="0"/>
              <w:right w:val="single" w:color="auto" w:sz="4" w:space="0"/>
            </w:tcBorders>
          </w:tcPr>
          <w:p>
            <w:pPr>
              <w:pStyle w:val="140"/>
            </w:pPr>
            <w: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419" w:type="dxa"/>
            <w:tcBorders>
              <w:top w:val="single" w:color="auto" w:sz="4" w:space="0"/>
              <w:left w:val="single" w:color="auto" w:sz="4" w:space="0"/>
              <w:bottom w:val="single" w:color="auto" w:sz="4" w:space="0"/>
              <w:right w:val="single" w:color="auto" w:sz="4" w:space="0"/>
            </w:tcBorders>
          </w:tcPr>
          <w:p>
            <w:pPr>
              <w:pStyle w:val="140"/>
            </w:pPr>
            <w:r>
              <w:t>夏</w:t>
            </w:r>
          </w:p>
        </w:tc>
        <w:tc>
          <w:tcPr>
            <w:tcW w:w="497" w:type="dxa"/>
            <w:tcBorders>
              <w:top w:val="single" w:color="auto" w:sz="4" w:space="0"/>
              <w:left w:val="single" w:color="auto" w:sz="4" w:space="0"/>
              <w:bottom w:val="single" w:color="auto" w:sz="4" w:space="0"/>
              <w:right w:val="single" w:color="auto" w:sz="4" w:space="0"/>
            </w:tcBorders>
          </w:tcPr>
          <w:p>
            <w:pPr>
              <w:pStyle w:val="140"/>
            </w:pPr>
            <w:r>
              <w:t>2.52</w:t>
            </w:r>
          </w:p>
        </w:tc>
        <w:tc>
          <w:tcPr>
            <w:tcW w:w="574" w:type="dxa"/>
            <w:tcBorders>
              <w:top w:val="single" w:color="auto" w:sz="4" w:space="0"/>
              <w:left w:val="single" w:color="auto" w:sz="4" w:space="0"/>
              <w:bottom w:val="single" w:color="auto" w:sz="4" w:space="0"/>
              <w:right w:val="single" w:color="auto" w:sz="4" w:space="0"/>
            </w:tcBorders>
          </w:tcPr>
          <w:p>
            <w:pPr>
              <w:pStyle w:val="140"/>
            </w:pPr>
            <w:r>
              <w:t>2.89</w:t>
            </w:r>
          </w:p>
        </w:tc>
        <w:tc>
          <w:tcPr>
            <w:tcW w:w="505" w:type="dxa"/>
            <w:tcBorders>
              <w:top w:val="single" w:color="auto" w:sz="4" w:space="0"/>
              <w:left w:val="single" w:color="auto" w:sz="4" w:space="0"/>
              <w:bottom w:val="single" w:color="auto" w:sz="4" w:space="0"/>
              <w:right w:val="single" w:color="auto" w:sz="4" w:space="0"/>
            </w:tcBorders>
          </w:tcPr>
          <w:p>
            <w:pPr>
              <w:pStyle w:val="140"/>
            </w:pPr>
            <w:r>
              <w:t>2.26</w:t>
            </w:r>
          </w:p>
        </w:tc>
        <w:tc>
          <w:tcPr>
            <w:tcW w:w="550" w:type="dxa"/>
            <w:tcBorders>
              <w:top w:val="single" w:color="auto" w:sz="4" w:space="0"/>
              <w:left w:val="single" w:color="auto" w:sz="4" w:space="0"/>
              <w:bottom w:val="single" w:color="auto" w:sz="4" w:space="0"/>
              <w:right w:val="single" w:color="auto" w:sz="4" w:space="0"/>
            </w:tcBorders>
          </w:tcPr>
          <w:p>
            <w:pPr>
              <w:pStyle w:val="140"/>
            </w:pPr>
            <w:r>
              <w:t>2.31</w:t>
            </w:r>
          </w:p>
        </w:tc>
        <w:tc>
          <w:tcPr>
            <w:tcW w:w="499" w:type="dxa"/>
            <w:tcBorders>
              <w:top w:val="single" w:color="auto" w:sz="4" w:space="0"/>
              <w:left w:val="single" w:color="auto" w:sz="4" w:space="0"/>
              <w:bottom w:val="single" w:color="auto" w:sz="4" w:space="0"/>
              <w:right w:val="single" w:color="auto" w:sz="4" w:space="0"/>
            </w:tcBorders>
          </w:tcPr>
          <w:p>
            <w:pPr>
              <w:pStyle w:val="140"/>
            </w:pPr>
            <w:r>
              <w:t>2.28</w:t>
            </w:r>
          </w:p>
        </w:tc>
        <w:tc>
          <w:tcPr>
            <w:tcW w:w="505" w:type="dxa"/>
            <w:tcBorders>
              <w:top w:val="single" w:color="auto" w:sz="4" w:space="0"/>
              <w:left w:val="single" w:color="auto" w:sz="4" w:space="0"/>
              <w:bottom w:val="single" w:color="auto" w:sz="4" w:space="0"/>
              <w:right w:val="single" w:color="auto" w:sz="4" w:space="0"/>
            </w:tcBorders>
          </w:tcPr>
          <w:p>
            <w:pPr>
              <w:pStyle w:val="140"/>
            </w:pPr>
            <w:r>
              <w:t>1.91</w:t>
            </w:r>
          </w:p>
        </w:tc>
        <w:tc>
          <w:tcPr>
            <w:tcW w:w="494" w:type="dxa"/>
            <w:tcBorders>
              <w:top w:val="single" w:color="auto" w:sz="4" w:space="0"/>
              <w:left w:val="single" w:color="auto" w:sz="4" w:space="0"/>
              <w:bottom w:val="single" w:color="auto" w:sz="4" w:space="0"/>
              <w:right w:val="single" w:color="auto" w:sz="4" w:space="0"/>
            </w:tcBorders>
          </w:tcPr>
          <w:p>
            <w:pPr>
              <w:pStyle w:val="140"/>
            </w:pPr>
            <w:r>
              <w:t>1.53</w:t>
            </w:r>
          </w:p>
        </w:tc>
        <w:tc>
          <w:tcPr>
            <w:tcW w:w="498" w:type="dxa"/>
            <w:tcBorders>
              <w:top w:val="single" w:color="auto" w:sz="4" w:space="0"/>
              <w:left w:val="single" w:color="auto" w:sz="4" w:space="0"/>
              <w:bottom w:val="single" w:color="auto" w:sz="4" w:space="0"/>
              <w:right w:val="single" w:color="auto" w:sz="4" w:space="0"/>
            </w:tcBorders>
          </w:tcPr>
          <w:p>
            <w:pPr>
              <w:pStyle w:val="140"/>
            </w:pPr>
            <w:r>
              <w:t>1.82</w:t>
            </w:r>
          </w:p>
        </w:tc>
        <w:tc>
          <w:tcPr>
            <w:tcW w:w="492" w:type="dxa"/>
            <w:tcBorders>
              <w:top w:val="single" w:color="auto" w:sz="4" w:space="0"/>
              <w:left w:val="single" w:color="auto" w:sz="4" w:space="0"/>
              <w:bottom w:val="single" w:color="auto" w:sz="4" w:space="0"/>
              <w:right w:val="single" w:color="auto" w:sz="4" w:space="0"/>
            </w:tcBorders>
          </w:tcPr>
          <w:p>
            <w:pPr>
              <w:pStyle w:val="140"/>
            </w:pPr>
            <w:r>
              <w:t>1.79</w:t>
            </w:r>
          </w:p>
        </w:tc>
        <w:tc>
          <w:tcPr>
            <w:tcW w:w="581" w:type="dxa"/>
            <w:tcBorders>
              <w:top w:val="single" w:color="auto" w:sz="4" w:space="0"/>
              <w:left w:val="single" w:color="auto" w:sz="4" w:space="0"/>
              <w:bottom w:val="single" w:color="auto" w:sz="4" w:space="0"/>
              <w:right w:val="single" w:color="auto" w:sz="4" w:space="0"/>
            </w:tcBorders>
          </w:tcPr>
          <w:p>
            <w:pPr>
              <w:pStyle w:val="140"/>
            </w:pPr>
            <w:r>
              <w:t>1.87</w:t>
            </w:r>
          </w:p>
        </w:tc>
        <w:tc>
          <w:tcPr>
            <w:tcW w:w="506" w:type="dxa"/>
            <w:tcBorders>
              <w:top w:val="single" w:color="auto" w:sz="4" w:space="0"/>
              <w:left w:val="single" w:color="auto" w:sz="4" w:space="0"/>
              <w:bottom w:val="single" w:color="auto" w:sz="4" w:space="0"/>
              <w:right w:val="single" w:color="auto" w:sz="4" w:space="0"/>
            </w:tcBorders>
          </w:tcPr>
          <w:p>
            <w:pPr>
              <w:pStyle w:val="140"/>
            </w:pPr>
            <w:r>
              <w:t>1.52</w:t>
            </w:r>
          </w:p>
        </w:tc>
        <w:tc>
          <w:tcPr>
            <w:tcW w:w="684" w:type="dxa"/>
            <w:tcBorders>
              <w:top w:val="single" w:color="auto" w:sz="4" w:space="0"/>
              <w:left w:val="single" w:color="auto" w:sz="4" w:space="0"/>
              <w:bottom w:val="single" w:color="auto" w:sz="4" w:space="0"/>
              <w:right w:val="single" w:color="auto" w:sz="4" w:space="0"/>
            </w:tcBorders>
          </w:tcPr>
          <w:p>
            <w:pPr>
              <w:pStyle w:val="140"/>
            </w:pPr>
            <w:r>
              <w:t>1.87</w:t>
            </w:r>
          </w:p>
        </w:tc>
        <w:tc>
          <w:tcPr>
            <w:tcW w:w="501" w:type="dxa"/>
            <w:tcBorders>
              <w:top w:val="single" w:color="auto" w:sz="4" w:space="0"/>
              <w:left w:val="single" w:color="auto" w:sz="4" w:space="0"/>
              <w:bottom w:val="single" w:color="auto" w:sz="4" w:space="0"/>
              <w:right w:val="single" w:color="auto" w:sz="4" w:space="0"/>
            </w:tcBorders>
          </w:tcPr>
          <w:p>
            <w:pPr>
              <w:pStyle w:val="140"/>
            </w:pPr>
            <w:r>
              <w:t>1.52</w:t>
            </w:r>
          </w:p>
        </w:tc>
        <w:tc>
          <w:tcPr>
            <w:tcW w:w="605" w:type="dxa"/>
            <w:tcBorders>
              <w:top w:val="single" w:color="auto" w:sz="4" w:space="0"/>
              <w:left w:val="single" w:color="auto" w:sz="4" w:space="0"/>
              <w:bottom w:val="single" w:color="auto" w:sz="4" w:space="0"/>
              <w:right w:val="single" w:color="auto" w:sz="4" w:space="0"/>
            </w:tcBorders>
          </w:tcPr>
          <w:p>
            <w:pPr>
              <w:pStyle w:val="140"/>
            </w:pPr>
            <w:r>
              <w:t>1.84</w:t>
            </w:r>
          </w:p>
        </w:tc>
        <w:tc>
          <w:tcPr>
            <w:tcW w:w="525" w:type="dxa"/>
            <w:tcBorders>
              <w:top w:val="single" w:color="auto" w:sz="4" w:space="0"/>
              <w:left w:val="single" w:color="auto" w:sz="4" w:space="0"/>
              <w:bottom w:val="single" w:color="auto" w:sz="4" w:space="0"/>
              <w:right w:val="single" w:color="auto" w:sz="4" w:space="0"/>
            </w:tcBorders>
          </w:tcPr>
          <w:p>
            <w:pPr>
              <w:pStyle w:val="140"/>
            </w:pPr>
            <w:r>
              <w:t>1.59</w:t>
            </w:r>
          </w:p>
        </w:tc>
        <w:tc>
          <w:tcPr>
            <w:tcW w:w="675" w:type="dxa"/>
            <w:tcBorders>
              <w:top w:val="single" w:color="auto" w:sz="4" w:space="0"/>
              <w:left w:val="single" w:color="auto" w:sz="4" w:space="0"/>
              <w:bottom w:val="single" w:color="auto" w:sz="4" w:space="0"/>
              <w:right w:val="single" w:color="auto" w:sz="4" w:space="0"/>
            </w:tcBorders>
          </w:tcPr>
          <w:p>
            <w:pPr>
              <w:pStyle w:val="140"/>
            </w:pPr>
            <w:r>
              <w:t>2.39</w:t>
            </w:r>
          </w:p>
        </w:tc>
        <w:tc>
          <w:tcPr>
            <w:tcW w:w="540" w:type="dxa"/>
            <w:tcBorders>
              <w:top w:val="single" w:color="auto" w:sz="4" w:space="0"/>
              <w:left w:val="single" w:color="auto" w:sz="4" w:space="0"/>
              <w:bottom w:val="single" w:color="auto" w:sz="4" w:space="0"/>
              <w:right w:val="single" w:color="auto" w:sz="4" w:space="0"/>
            </w:tcBorders>
          </w:tcPr>
          <w:p>
            <w:pPr>
              <w:pStyle w:val="140"/>
            </w:pPr>
            <w: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trPr>
        <w:tc>
          <w:tcPr>
            <w:tcW w:w="419" w:type="dxa"/>
            <w:tcBorders>
              <w:top w:val="single" w:color="auto" w:sz="4" w:space="0"/>
              <w:left w:val="single" w:color="auto" w:sz="4" w:space="0"/>
              <w:bottom w:val="single" w:color="auto" w:sz="4" w:space="0"/>
              <w:right w:val="single" w:color="auto" w:sz="4" w:space="0"/>
            </w:tcBorders>
          </w:tcPr>
          <w:p>
            <w:pPr>
              <w:pStyle w:val="140"/>
            </w:pPr>
            <w:r>
              <w:t>秋</w:t>
            </w:r>
          </w:p>
        </w:tc>
        <w:tc>
          <w:tcPr>
            <w:tcW w:w="497" w:type="dxa"/>
            <w:tcBorders>
              <w:top w:val="single" w:color="auto" w:sz="4" w:space="0"/>
              <w:left w:val="single" w:color="auto" w:sz="4" w:space="0"/>
              <w:bottom w:val="single" w:color="auto" w:sz="4" w:space="0"/>
              <w:right w:val="single" w:color="auto" w:sz="4" w:space="0"/>
            </w:tcBorders>
          </w:tcPr>
          <w:p>
            <w:pPr>
              <w:pStyle w:val="140"/>
            </w:pPr>
            <w:r>
              <w:t>3.0</w:t>
            </w:r>
          </w:p>
        </w:tc>
        <w:tc>
          <w:tcPr>
            <w:tcW w:w="574" w:type="dxa"/>
            <w:tcBorders>
              <w:top w:val="single" w:color="auto" w:sz="4" w:space="0"/>
              <w:left w:val="single" w:color="auto" w:sz="4" w:space="0"/>
              <w:bottom w:val="single" w:color="auto" w:sz="4" w:space="0"/>
              <w:right w:val="single" w:color="auto" w:sz="4" w:space="0"/>
            </w:tcBorders>
          </w:tcPr>
          <w:p>
            <w:pPr>
              <w:pStyle w:val="140"/>
            </w:pPr>
            <w:r>
              <w:t>2.62</w:t>
            </w:r>
          </w:p>
        </w:tc>
        <w:tc>
          <w:tcPr>
            <w:tcW w:w="505" w:type="dxa"/>
            <w:tcBorders>
              <w:top w:val="single" w:color="auto" w:sz="4" w:space="0"/>
              <w:left w:val="single" w:color="auto" w:sz="4" w:space="0"/>
              <w:bottom w:val="single" w:color="auto" w:sz="4" w:space="0"/>
              <w:right w:val="single" w:color="auto" w:sz="4" w:space="0"/>
            </w:tcBorders>
          </w:tcPr>
          <w:p>
            <w:pPr>
              <w:pStyle w:val="140"/>
            </w:pPr>
            <w:r>
              <w:t>1.80</w:t>
            </w:r>
          </w:p>
        </w:tc>
        <w:tc>
          <w:tcPr>
            <w:tcW w:w="550" w:type="dxa"/>
            <w:tcBorders>
              <w:top w:val="single" w:color="auto" w:sz="4" w:space="0"/>
              <w:left w:val="single" w:color="auto" w:sz="4" w:space="0"/>
              <w:bottom w:val="single" w:color="auto" w:sz="4" w:space="0"/>
              <w:right w:val="single" w:color="auto" w:sz="4" w:space="0"/>
            </w:tcBorders>
          </w:tcPr>
          <w:p>
            <w:pPr>
              <w:pStyle w:val="140"/>
            </w:pPr>
            <w:r>
              <w:t>3.0</w:t>
            </w:r>
          </w:p>
        </w:tc>
        <w:tc>
          <w:tcPr>
            <w:tcW w:w="499" w:type="dxa"/>
            <w:tcBorders>
              <w:top w:val="single" w:color="auto" w:sz="4" w:space="0"/>
              <w:left w:val="single" w:color="auto" w:sz="4" w:space="0"/>
              <w:bottom w:val="single" w:color="auto" w:sz="4" w:space="0"/>
              <w:right w:val="single" w:color="auto" w:sz="4" w:space="0"/>
            </w:tcBorders>
          </w:tcPr>
          <w:p>
            <w:pPr>
              <w:pStyle w:val="140"/>
            </w:pPr>
            <w:r>
              <w:t>1.13</w:t>
            </w:r>
          </w:p>
        </w:tc>
        <w:tc>
          <w:tcPr>
            <w:tcW w:w="505" w:type="dxa"/>
            <w:tcBorders>
              <w:top w:val="single" w:color="auto" w:sz="4" w:space="0"/>
              <w:left w:val="single" w:color="auto" w:sz="4" w:space="0"/>
              <w:bottom w:val="single" w:color="auto" w:sz="4" w:space="0"/>
              <w:right w:val="single" w:color="auto" w:sz="4" w:space="0"/>
            </w:tcBorders>
          </w:tcPr>
          <w:p>
            <w:pPr>
              <w:pStyle w:val="140"/>
            </w:pPr>
            <w:r>
              <w:t>1.79</w:t>
            </w:r>
          </w:p>
        </w:tc>
        <w:tc>
          <w:tcPr>
            <w:tcW w:w="494" w:type="dxa"/>
            <w:tcBorders>
              <w:top w:val="single" w:color="auto" w:sz="4" w:space="0"/>
              <w:left w:val="single" w:color="auto" w:sz="4" w:space="0"/>
              <w:bottom w:val="single" w:color="auto" w:sz="4" w:space="0"/>
              <w:right w:val="single" w:color="auto" w:sz="4" w:space="0"/>
            </w:tcBorders>
          </w:tcPr>
          <w:p>
            <w:pPr>
              <w:pStyle w:val="140"/>
            </w:pPr>
            <w:r>
              <w:t>1.22</w:t>
            </w:r>
          </w:p>
        </w:tc>
        <w:tc>
          <w:tcPr>
            <w:tcW w:w="498" w:type="dxa"/>
            <w:tcBorders>
              <w:top w:val="single" w:color="auto" w:sz="4" w:space="0"/>
              <w:left w:val="single" w:color="auto" w:sz="4" w:space="0"/>
              <w:bottom w:val="single" w:color="auto" w:sz="4" w:space="0"/>
              <w:right w:val="single" w:color="auto" w:sz="4" w:space="0"/>
            </w:tcBorders>
          </w:tcPr>
          <w:p>
            <w:pPr>
              <w:pStyle w:val="140"/>
            </w:pPr>
            <w:r>
              <w:t>1.45</w:t>
            </w:r>
          </w:p>
        </w:tc>
        <w:tc>
          <w:tcPr>
            <w:tcW w:w="492" w:type="dxa"/>
            <w:tcBorders>
              <w:top w:val="single" w:color="auto" w:sz="4" w:space="0"/>
              <w:left w:val="single" w:color="auto" w:sz="4" w:space="0"/>
              <w:bottom w:val="single" w:color="auto" w:sz="4" w:space="0"/>
              <w:right w:val="single" w:color="auto" w:sz="4" w:space="0"/>
            </w:tcBorders>
          </w:tcPr>
          <w:p>
            <w:pPr>
              <w:pStyle w:val="140"/>
            </w:pPr>
            <w:r>
              <w:t>1.20</w:t>
            </w:r>
          </w:p>
        </w:tc>
        <w:tc>
          <w:tcPr>
            <w:tcW w:w="581" w:type="dxa"/>
            <w:tcBorders>
              <w:top w:val="single" w:color="auto" w:sz="4" w:space="0"/>
              <w:left w:val="single" w:color="auto" w:sz="4" w:space="0"/>
              <w:bottom w:val="single" w:color="auto" w:sz="4" w:space="0"/>
              <w:right w:val="single" w:color="auto" w:sz="4" w:space="0"/>
            </w:tcBorders>
          </w:tcPr>
          <w:p>
            <w:pPr>
              <w:pStyle w:val="140"/>
            </w:pPr>
            <w:r>
              <w:t>1.43</w:t>
            </w:r>
          </w:p>
        </w:tc>
        <w:tc>
          <w:tcPr>
            <w:tcW w:w="506" w:type="dxa"/>
            <w:tcBorders>
              <w:top w:val="single" w:color="auto" w:sz="4" w:space="0"/>
              <w:left w:val="single" w:color="auto" w:sz="4" w:space="0"/>
              <w:bottom w:val="single" w:color="auto" w:sz="4" w:space="0"/>
              <w:right w:val="single" w:color="auto" w:sz="4" w:space="0"/>
            </w:tcBorders>
          </w:tcPr>
          <w:p>
            <w:pPr>
              <w:pStyle w:val="140"/>
            </w:pPr>
            <w:r>
              <w:t>1.75</w:t>
            </w:r>
          </w:p>
        </w:tc>
        <w:tc>
          <w:tcPr>
            <w:tcW w:w="684" w:type="dxa"/>
            <w:tcBorders>
              <w:top w:val="single" w:color="auto" w:sz="4" w:space="0"/>
              <w:left w:val="single" w:color="auto" w:sz="4" w:space="0"/>
              <w:bottom w:val="single" w:color="auto" w:sz="4" w:space="0"/>
              <w:right w:val="single" w:color="auto" w:sz="4" w:space="0"/>
            </w:tcBorders>
          </w:tcPr>
          <w:p>
            <w:pPr>
              <w:pStyle w:val="140"/>
            </w:pPr>
            <w:r>
              <w:t>3.00</w:t>
            </w:r>
          </w:p>
        </w:tc>
        <w:tc>
          <w:tcPr>
            <w:tcW w:w="501" w:type="dxa"/>
            <w:tcBorders>
              <w:top w:val="single" w:color="auto" w:sz="4" w:space="0"/>
              <w:left w:val="single" w:color="auto" w:sz="4" w:space="0"/>
              <w:bottom w:val="single" w:color="auto" w:sz="4" w:space="0"/>
              <w:right w:val="single" w:color="auto" w:sz="4" w:space="0"/>
            </w:tcBorders>
          </w:tcPr>
          <w:p>
            <w:pPr>
              <w:pStyle w:val="140"/>
            </w:pPr>
            <w:r>
              <w:t>1.75</w:t>
            </w:r>
          </w:p>
        </w:tc>
        <w:tc>
          <w:tcPr>
            <w:tcW w:w="605" w:type="dxa"/>
            <w:tcBorders>
              <w:top w:val="single" w:color="auto" w:sz="4" w:space="0"/>
              <w:left w:val="single" w:color="auto" w:sz="4" w:space="0"/>
              <w:bottom w:val="single" w:color="auto" w:sz="4" w:space="0"/>
              <w:right w:val="single" w:color="auto" w:sz="4" w:space="0"/>
            </w:tcBorders>
          </w:tcPr>
          <w:p>
            <w:pPr>
              <w:pStyle w:val="140"/>
            </w:pPr>
            <w:r>
              <w:t>2.50</w:t>
            </w:r>
          </w:p>
        </w:tc>
        <w:tc>
          <w:tcPr>
            <w:tcW w:w="525" w:type="dxa"/>
            <w:tcBorders>
              <w:top w:val="single" w:color="auto" w:sz="4" w:space="0"/>
              <w:left w:val="single" w:color="auto" w:sz="4" w:space="0"/>
              <w:bottom w:val="single" w:color="auto" w:sz="4" w:space="0"/>
              <w:right w:val="single" w:color="auto" w:sz="4" w:space="0"/>
            </w:tcBorders>
          </w:tcPr>
          <w:p>
            <w:pPr>
              <w:pStyle w:val="140"/>
            </w:pPr>
            <w:r>
              <w:t>2.33</w:t>
            </w:r>
          </w:p>
        </w:tc>
        <w:tc>
          <w:tcPr>
            <w:tcW w:w="675" w:type="dxa"/>
            <w:tcBorders>
              <w:top w:val="single" w:color="auto" w:sz="4" w:space="0"/>
              <w:left w:val="single" w:color="auto" w:sz="4" w:space="0"/>
              <w:bottom w:val="single" w:color="auto" w:sz="4" w:space="0"/>
              <w:right w:val="single" w:color="auto" w:sz="4" w:space="0"/>
            </w:tcBorders>
          </w:tcPr>
          <w:p>
            <w:pPr>
              <w:pStyle w:val="140"/>
            </w:pPr>
            <w:r>
              <w:t>3.40</w:t>
            </w:r>
          </w:p>
        </w:tc>
        <w:tc>
          <w:tcPr>
            <w:tcW w:w="540" w:type="dxa"/>
            <w:tcBorders>
              <w:top w:val="single" w:color="auto" w:sz="4" w:space="0"/>
              <w:left w:val="single" w:color="auto" w:sz="4" w:space="0"/>
              <w:bottom w:val="single" w:color="auto" w:sz="4" w:space="0"/>
              <w:right w:val="single" w:color="auto" w:sz="4" w:space="0"/>
            </w:tcBorders>
          </w:tcPr>
          <w:p>
            <w:pPr>
              <w:pStyle w:val="140"/>
            </w:pPr>
            <w: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419" w:type="dxa"/>
            <w:tcBorders>
              <w:top w:val="single" w:color="auto" w:sz="4" w:space="0"/>
              <w:left w:val="single" w:color="auto" w:sz="4" w:space="0"/>
              <w:bottom w:val="single" w:color="auto" w:sz="4" w:space="0"/>
              <w:right w:val="single" w:color="auto" w:sz="4" w:space="0"/>
            </w:tcBorders>
          </w:tcPr>
          <w:p>
            <w:pPr>
              <w:pStyle w:val="140"/>
            </w:pPr>
            <w:r>
              <w:t>冬</w:t>
            </w:r>
          </w:p>
        </w:tc>
        <w:tc>
          <w:tcPr>
            <w:tcW w:w="497" w:type="dxa"/>
            <w:tcBorders>
              <w:top w:val="single" w:color="auto" w:sz="4" w:space="0"/>
              <w:left w:val="single" w:color="auto" w:sz="4" w:space="0"/>
              <w:bottom w:val="single" w:color="auto" w:sz="4" w:space="0"/>
              <w:right w:val="single" w:color="auto" w:sz="4" w:space="0"/>
            </w:tcBorders>
          </w:tcPr>
          <w:p>
            <w:pPr>
              <w:pStyle w:val="140"/>
            </w:pPr>
            <w:r>
              <w:t>2.44</w:t>
            </w:r>
          </w:p>
        </w:tc>
        <w:tc>
          <w:tcPr>
            <w:tcW w:w="574" w:type="dxa"/>
            <w:tcBorders>
              <w:top w:val="single" w:color="auto" w:sz="4" w:space="0"/>
              <w:left w:val="single" w:color="auto" w:sz="4" w:space="0"/>
              <w:bottom w:val="single" w:color="auto" w:sz="4" w:space="0"/>
              <w:right w:val="single" w:color="auto" w:sz="4" w:space="0"/>
            </w:tcBorders>
          </w:tcPr>
          <w:p>
            <w:pPr>
              <w:pStyle w:val="140"/>
            </w:pPr>
            <w:r>
              <w:t>2.76</w:t>
            </w:r>
          </w:p>
        </w:tc>
        <w:tc>
          <w:tcPr>
            <w:tcW w:w="505" w:type="dxa"/>
            <w:tcBorders>
              <w:top w:val="single" w:color="auto" w:sz="4" w:space="0"/>
              <w:left w:val="single" w:color="auto" w:sz="4" w:space="0"/>
              <w:bottom w:val="single" w:color="auto" w:sz="4" w:space="0"/>
              <w:right w:val="single" w:color="auto" w:sz="4" w:space="0"/>
            </w:tcBorders>
          </w:tcPr>
          <w:p>
            <w:pPr>
              <w:pStyle w:val="140"/>
            </w:pPr>
            <w:r>
              <w:t>2.88</w:t>
            </w:r>
          </w:p>
        </w:tc>
        <w:tc>
          <w:tcPr>
            <w:tcW w:w="550" w:type="dxa"/>
            <w:tcBorders>
              <w:top w:val="single" w:color="auto" w:sz="4" w:space="0"/>
              <w:left w:val="single" w:color="auto" w:sz="4" w:space="0"/>
              <w:bottom w:val="single" w:color="auto" w:sz="4" w:space="0"/>
              <w:right w:val="single" w:color="auto" w:sz="4" w:space="0"/>
            </w:tcBorders>
          </w:tcPr>
          <w:p>
            <w:pPr>
              <w:pStyle w:val="140"/>
            </w:pPr>
            <w:r>
              <w:t>2.71</w:t>
            </w:r>
          </w:p>
        </w:tc>
        <w:tc>
          <w:tcPr>
            <w:tcW w:w="499" w:type="dxa"/>
            <w:tcBorders>
              <w:top w:val="single" w:color="auto" w:sz="4" w:space="0"/>
              <w:left w:val="single" w:color="auto" w:sz="4" w:space="0"/>
              <w:bottom w:val="single" w:color="auto" w:sz="4" w:space="0"/>
              <w:right w:val="single" w:color="auto" w:sz="4" w:space="0"/>
            </w:tcBorders>
          </w:tcPr>
          <w:p>
            <w:pPr>
              <w:pStyle w:val="140"/>
            </w:pPr>
            <w:r>
              <w:t>2.69</w:t>
            </w:r>
          </w:p>
        </w:tc>
        <w:tc>
          <w:tcPr>
            <w:tcW w:w="505" w:type="dxa"/>
            <w:tcBorders>
              <w:top w:val="single" w:color="auto" w:sz="4" w:space="0"/>
              <w:left w:val="single" w:color="auto" w:sz="4" w:space="0"/>
              <w:bottom w:val="single" w:color="auto" w:sz="4" w:space="0"/>
              <w:right w:val="single" w:color="auto" w:sz="4" w:space="0"/>
            </w:tcBorders>
          </w:tcPr>
          <w:p>
            <w:pPr>
              <w:pStyle w:val="140"/>
            </w:pPr>
            <w:r>
              <w:t>2.19</w:t>
            </w:r>
          </w:p>
        </w:tc>
        <w:tc>
          <w:tcPr>
            <w:tcW w:w="494" w:type="dxa"/>
            <w:tcBorders>
              <w:top w:val="single" w:color="auto" w:sz="4" w:space="0"/>
              <w:left w:val="single" w:color="auto" w:sz="4" w:space="0"/>
              <w:bottom w:val="single" w:color="auto" w:sz="4" w:space="0"/>
              <w:right w:val="single" w:color="auto" w:sz="4" w:space="0"/>
            </w:tcBorders>
          </w:tcPr>
          <w:p>
            <w:pPr>
              <w:pStyle w:val="140"/>
            </w:pPr>
            <w:r>
              <w:t>1.58</w:t>
            </w:r>
          </w:p>
        </w:tc>
        <w:tc>
          <w:tcPr>
            <w:tcW w:w="498" w:type="dxa"/>
            <w:tcBorders>
              <w:top w:val="single" w:color="auto" w:sz="4" w:space="0"/>
              <w:left w:val="single" w:color="auto" w:sz="4" w:space="0"/>
              <w:bottom w:val="single" w:color="auto" w:sz="4" w:space="0"/>
              <w:right w:val="single" w:color="auto" w:sz="4" w:space="0"/>
            </w:tcBorders>
          </w:tcPr>
          <w:p>
            <w:pPr>
              <w:pStyle w:val="140"/>
            </w:pPr>
            <w:r>
              <w:t>1.90</w:t>
            </w:r>
          </w:p>
        </w:tc>
        <w:tc>
          <w:tcPr>
            <w:tcW w:w="492" w:type="dxa"/>
            <w:tcBorders>
              <w:top w:val="single" w:color="auto" w:sz="4" w:space="0"/>
              <w:left w:val="single" w:color="auto" w:sz="4" w:space="0"/>
              <w:bottom w:val="single" w:color="auto" w:sz="4" w:space="0"/>
              <w:right w:val="single" w:color="auto" w:sz="4" w:space="0"/>
            </w:tcBorders>
          </w:tcPr>
          <w:p>
            <w:pPr>
              <w:pStyle w:val="140"/>
            </w:pPr>
            <w:r>
              <w:t>1.32</w:t>
            </w:r>
          </w:p>
        </w:tc>
        <w:tc>
          <w:tcPr>
            <w:tcW w:w="581" w:type="dxa"/>
            <w:tcBorders>
              <w:top w:val="single" w:color="auto" w:sz="4" w:space="0"/>
              <w:left w:val="single" w:color="auto" w:sz="4" w:space="0"/>
              <w:bottom w:val="single" w:color="auto" w:sz="4" w:space="0"/>
              <w:right w:val="single" w:color="auto" w:sz="4" w:space="0"/>
            </w:tcBorders>
          </w:tcPr>
          <w:p>
            <w:pPr>
              <w:pStyle w:val="140"/>
            </w:pPr>
            <w:r>
              <w:t>1.86</w:t>
            </w:r>
          </w:p>
        </w:tc>
        <w:tc>
          <w:tcPr>
            <w:tcW w:w="506" w:type="dxa"/>
            <w:tcBorders>
              <w:top w:val="single" w:color="auto" w:sz="4" w:space="0"/>
              <w:left w:val="single" w:color="auto" w:sz="4" w:space="0"/>
              <w:bottom w:val="single" w:color="auto" w:sz="4" w:space="0"/>
              <w:right w:val="single" w:color="auto" w:sz="4" w:space="0"/>
            </w:tcBorders>
          </w:tcPr>
          <w:p>
            <w:pPr>
              <w:pStyle w:val="140"/>
            </w:pPr>
            <w:r>
              <w:t>2.29</w:t>
            </w:r>
          </w:p>
        </w:tc>
        <w:tc>
          <w:tcPr>
            <w:tcW w:w="684" w:type="dxa"/>
            <w:tcBorders>
              <w:top w:val="single" w:color="auto" w:sz="4" w:space="0"/>
              <w:left w:val="single" w:color="auto" w:sz="4" w:space="0"/>
              <w:bottom w:val="single" w:color="auto" w:sz="4" w:space="0"/>
              <w:right w:val="single" w:color="auto" w:sz="4" w:space="0"/>
            </w:tcBorders>
          </w:tcPr>
          <w:p>
            <w:pPr>
              <w:pStyle w:val="140"/>
            </w:pPr>
            <w:r>
              <w:t>2.41</w:t>
            </w:r>
          </w:p>
        </w:tc>
        <w:tc>
          <w:tcPr>
            <w:tcW w:w="501" w:type="dxa"/>
            <w:tcBorders>
              <w:top w:val="single" w:color="auto" w:sz="4" w:space="0"/>
              <w:left w:val="single" w:color="auto" w:sz="4" w:space="0"/>
              <w:bottom w:val="single" w:color="auto" w:sz="4" w:space="0"/>
              <w:right w:val="single" w:color="auto" w:sz="4" w:space="0"/>
            </w:tcBorders>
          </w:tcPr>
          <w:p>
            <w:pPr>
              <w:pStyle w:val="140"/>
            </w:pPr>
            <w:r>
              <w:t>2.29</w:t>
            </w:r>
          </w:p>
        </w:tc>
        <w:tc>
          <w:tcPr>
            <w:tcW w:w="605" w:type="dxa"/>
            <w:tcBorders>
              <w:top w:val="single" w:color="auto" w:sz="4" w:space="0"/>
              <w:left w:val="single" w:color="auto" w:sz="4" w:space="0"/>
              <w:bottom w:val="single" w:color="auto" w:sz="4" w:space="0"/>
              <w:right w:val="single" w:color="auto" w:sz="4" w:space="0"/>
            </w:tcBorders>
          </w:tcPr>
          <w:p>
            <w:pPr>
              <w:pStyle w:val="140"/>
            </w:pPr>
            <w:r>
              <w:t>2.04</w:t>
            </w:r>
          </w:p>
        </w:tc>
        <w:tc>
          <w:tcPr>
            <w:tcW w:w="525" w:type="dxa"/>
            <w:tcBorders>
              <w:top w:val="single" w:color="auto" w:sz="4" w:space="0"/>
              <w:left w:val="single" w:color="auto" w:sz="4" w:space="0"/>
              <w:bottom w:val="single" w:color="auto" w:sz="4" w:space="0"/>
              <w:right w:val="single" w:color="auto" w:sz="4" w:space="0"/>
            </w:tcBorders>
          </w:tcPr>
          <w:p>
            <w:pPr>
              <w:pStyle w:val="140"/>
            </w:pPr>
            <w:r>
              <w:t>2.95</w:t>
            </w:r>
          </w:p>
        </w:tc>
        <w:tc>
          <w:tcPr>
            <w:tcW w:w="675" w:type="dxa"/>
            <w:tcBorders>
              <w:top w:val="single" w:color="auto" w:sz="4" w:space="0"/>
              <w:left w:val="single" w:color="auto" w:sz="4" w:space="0"/>
              <w:bottom w:val="single" w:color="auto" w:sz="4" w:space="0"/>
              <w:right w:val="single" w:color="auto" w:sz="4" w:space="0"/>
            </w:tcBorders>
          </w:tcPr>
          <w:p>
            <w:pPr>
              <w:pStyle w:val="140"/>
            </w:pPr>
            <w:r>
              <w:t>2.48</w:t>
            </w:r>
          </w:p>
        </w:tc>
        <w:tc>
          <w:tcPr>
            <w:tcW w:w="540" w:type="dxa"/>
            <w:tcBorders>
              <w:top w:val="single" w:color="auto" w:sz="4" w:space="0"/>
              <w:left w:val="single" w:color="auto" w:sz="4" w:space="0"/>
              <w:bottom w:val="single" w:color="auto" w:sz="4" w:space="0"/>
              <w:right w:val="single" w:color="auto" w:sz="4" w:space="0"/>
            </w:tcBorders>
          </w:tcPr>
          <w:p>
            <w:pPr>
              <w:pStyle w:val="140"/>
            </w:pPr>
            <w: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419" w:type="dxa"/>
            <w:tcBorders>
              <w:top w:val="single" w:color="auto" w:sz="4" w:space="0"/>
              <w:left w:val="single" w:color="auto" w:sz="4" w:space="0"/>
              <w:bottom w:val="single" w:color="auto" w:sz="4" w:space="0"/>
              <w:right w:val="single" w:color="auto" w:sz="4" w:space="0"/>
            </w:tcBorders>
          </w:tcPr>
          <w:p>
            <w:pPr>
              <w:pStyle w:val="140"/>
            </w:pPr>
            <w:r>
              <w:t>全年</w:t>
            </w:r>
          </w:p>
        </w:tc>
        <w:tc>
          <w:tcPr>
            <w:tcW w:w="497" w:type="dxa"/>
            <w:tcBorders>
              <w:top w:val="single" w:color="auto" w:sz="4" w:space="0"/>
              <w:left w:val="single" w:color="auto" w:sz="4" w:space="0"/>
              <w:bottom w:val="single" w:color="auto" w:sz="4" w:space="0"/>
              <w:right w:val="single" w:color="auto" w:sz="4" w:space="0"/>
            </w:tcBorders>
          </w:tcPr>
          <w:p>
            <w:pPr>
              <w:pStyle w:val="140"/>
            </w:pPr>
            <w:r>
              <w:t>2.7</w:t>
            </w:r>
          </w:p>
        </w:tc>
        <w:tc>
          <w:tcPr>
            <w:tcW w:w="574" w:type="dxa"/>
            <w:tcBorders>
              <w:top w:val="single" w:color="auto" w:sz="4" w:space="0"/>
              <w:left w:val="single" w:color="auto" w:sz="4" w:space="0"/>
              <w:bottom w:val="single" w:color="auto" w:sz="4" w:space="0"/>
              <w:right w:val="single" w:color="auto" w:sz="4" w:space="0"/>
            </w:tcBorders>
          </w:tcPr>
          <w:p>
            <w:pPr>
              <w:pStyle w:val="140"/>
            </w:pPr>
            <w:r>
              <w:t>2.93</w:t>
            </w:r>
          </w:p>
        </w:tc>
        <w:tc>
          <w:tcPr>
            <w:tcW w:w="505" w:type="dxa"/>
            <w:tcBorders>
              <w:top w:val="single" w:color="auto" w:sz="4" w:space="0"/>
              <w:left w:val="single" w:color="auto" w:sz="4" w:space="0"/>
              <w:bottom w:val="single" w:color="auto" w:sz="4" w:space="0"/>
              <w:right w:val="single" w:color="auto" w:sz="4" w:space="0"/>
            </w:tcBorders>
          </w:tcPr>
          <w:p>
            <w:pPr>
              <w:pStyle w:val="140"/>
            </w:pPr>
            <w:r>
              <w:t>2.42</w:t>
            </w:r>
          </w:p>
        </w:tc>
        <w:tc>
          <w:tcPr>
            <w:tcW w:w="550" w:type="dxa"/>
            <w:tcBorders>
              <w:top w:val="single" w:color="auto" w:sz="4" w:space="0"/>
              <w:left w:val="single" w:color="auto" w:sz="4" w:space="0"/>
              <w:bottom w:val="single" w:color="auto" w:sz="4" w:space="0"/>
              <w:right w:val="single" w:color="auto" w:sz="4" w:space="0"/>
            </w:tcBorders>
          </w:tcPr>
          <w:p>
            <w:pPr>
              <w:pStyle w:val="140"/>
            </w:pPr>
            <w:r>
              <w:t>2.51</w:t>
            </w:r>
          </w:p>
        </w:tc>
        <w:tc>
          <w:tcPr>
            <w:tcW w:w="499" w:type="dxa"/>
            <w:tcBorders>
              <w:top w:val="single" w:color="auto" w:sz="4" w:space="0"/>
              <w:left w:val="single" w:color="auto" w:sz="4" w:space="0"/>
              <w:bottom w:val="single" w:color="auto" w:sz="4" w:space="0"/>
              <w:right w:val="single" w:color="auto" w:sz="4" w:space="0"/>
            </w:tcBorders>
          </w:tcPr>
          <w:p>
            <w:pPr>
              <w:pStyle w:val="140"/>
            </w:pPr>
            <w:r>
              <w:t>2.09</w:t>
            </w:r>
          </w:p>
        </w:tc>
        <w:tc>
          <w:tcPr>
            <w:tcW w:w="505" w:type="dxa"/>
            <w:tcBorders>
              <w:top w:val="single" w:color="auto" w:sz="4" w:space="0"/>
              <w:left w:val="single" w:color="auto" w:sz="4" w:space="0"/>
              <w:bottom w:val="single" w:color="auto" w:sz="4" w:space="0"/>
              <w:right w:val="single" w:color="auto" w:sz="4" w:space="0"/>
            </w:tcBorders>
          </w:tcPr>
          <w:p>
            <w:pPr>
              <w:pStyle w:val="140"/>
            </w:pPr>
            <w:r>
              <w:t>1.98</w:t>
            </w:r>
          </w:p>
        </w:tc>
        <w:tc>
          <w:tcPr>
            <w:tcW w:w="494" w:type="dxa"/>
            <w:tcBorders>
              <w:top w:val="single" w:color="auto" w:sz="4" w:space="0"/>
              <w:left w:val="single" w:color="auto" w:sz="4" w:space="0"/>
              <w:bottom w:val="single" w:color="auto" w:sz="4" w:space="0"/>
              <w:right w:val="single" w:color="auto" w:sz="4" w:space="0"/>
            </w:tcBorders>
          </w:tcPr>
          <w:p>
            <w:pPr>
              <w:pStyle w:val="140"/>
            </w:pPr>
            <w:r>
              <w:t>1.49</w:t>
            </w:r>
          </w:p>
        </w:tc>
        <w:tc>
          <w:tcPr>
            <w:tcW w:w="498" w:type="dxa"/>
            <w:tcBorders>
              <w:top w:val="single" w:color="auto" w:sz="4" w:space="0"/>
              <w:left w:val="single" w:color="auto" w:sz="4" w:space="0"/>
              <w:bottom w:val="single" w:color="auto" w:sz="4" w:space="0"/>
              <w:right w:val="single" w:color="auto" w:sz="4" w:space="0"/>
            </w:tcBorders>
          </w:tcPr>
          <w:p>
            <w:pPr>
              <w:pStyle w:val="140"/>
            </w:pPr>
            <w:r>
              <w:t>1.74</w:t>
            </w:r>
          </w:p>
        </w:tc>
        <w:tc>
          <w:tcPr>
            <w:tcW w:w="492" w:type="dxa"/>
            <w:tcBorders>
              <w:top w:val="single" w:color="auto" w:sz="4" w:space="0"/>
              <w:left w:val="single" w:color="auto" w:sz="4" w:space="0"/>
              <w:bottom w:val="single" w:color="auto" w:sz="4" w:space="0"/>
              <w:right w:val="single" w:color="auto" w:sz="4" w:space="0"/>
            </w:tcBorders>
          </w:tcPr>
          <w:p>
            <w:pPr>
              <w:pStyle w:val="140"/>
            </w:pPr>
            <w:r>
              <w:t>1.56</w:t>
            </w:r>
          </w:p>
        </w:tc>
        <w:tc>
          <w:tcPr>
            <w:tcW w:w="581" w:type="dxa"/>
            <w:tcBorders>
              <w:top w:val="single" w:color="auto" w:sz="4" w:space="0"/>
              <w:left w:val="single" w:color="auto" w:sz="4" w:space="0"/>
              <w:bottom w:val="single" w:color="auto" w:sz="4" w:space="0"/>
              <w:right w:val="single" w:color="auto" w:sz="4" w:space="0"/>
            </w:tcBorders>
          </w:tcPr>
          <w:p>
            <w:pPr>
              <w:pStyle w:val="140"/>
            </w:pPr>
            <w:r>
              <w:t>2.08</w:t>
            </w:r>
          </w:p>
        </w:tc>
        <w:tc>
          <w:tcPr>
            <w:tcW w:w="506" w:type="dxa"/>
            <w:tcBorders>
              <w:top w:val="single" w:color="auto" w:sz="4" w:space="0"/>
              <w:left w:val="single" w:color="auto" w:sz="4" w:space="0"/>
              <w:bottom w:val="single" w:color="auto" w:sz="4" w:space="0"/>
              <w:right w:val="single" w:color="auto" w:sz="4" w:space="0"/>
            </w:tcBorders>
          </w:tcPr>
          <w:p>
            <w:pPr>
              <w:pStyle w:val="140"/>
            </w:pPr>
            <w:r>
              <w:t>2.19</w:t>
            </w:r>
          </w:p>
        </w:tc>
        <w:tc>
          <w:tcPr>
            <w:tcW w:w="684" w:type="dxa"/>
            <w:tcBorders>
              <w:top w:val="single" w:color="auto" w:sz="4" w:space="0"/>
              <w:left w:val="single" w:color="auto" w:sz="4" w:space="0"/>
              <w:bottom w:val="single" w:color="auto" w:sz="4" w:space="0"/>
              <w:right w:val="single" w:color="auto" w:sz="4" w:space="0"/>
            </w:tcBorders>
          </w:tcPr>
          <w:p>
            <w:pPr>
              <w:pStyle w:val="140"/>
            </w:pPr>
            <w:r>
              <w:t>2.48</w:t>
            </w:r>
          </w:p>
        </w:tc>
        <w:tc>
          <w:tcPr>
            <w:tcW w:w="501" w:type="dxa"/>
            <w:tcBorders>
              <w:top w:val="single" w:color="auto" w:sz="4" w:space="0"/>
              <w:left w:val="single" w:color="auto" w:sz="4" w:space="0"/>
              <w:bottom w:val="single" w:color="auto" w:sz="4" w:space="0"/>
              <w:right w:val="single" w:color="auto" w:sz="4" w:space="0"/>
            </w:tcBorders>
          </w:tcPr>
          <w:p>
            <w:pPr>
              <w:pStyle w:val="140"/>
            </w:pPr>
            <w:r>
              <w:t>2.19</w:t>
            </w:r>
          </w:p>
        </w:tc>
        <w:tc>
          <w:tcPr>
            <w:tcW w:w="605" w:type="dxa"/>
            <w:tcBorders>
              <w:top w:val="single" w:color="auto" w:sz="4" w:space="0"/>
              <w:left w:val="single" w:color="auto" w:sz="4" w:space="0"/>
              <w:bottom w:val="single" w:color="auto" w:sz="4" w:space="0"/>
              <w:right w:val="single" w:color="auto" w:sz="4" w:space="0"/>
            </w:tcBorders>
          </w:tcPr>
          <w:p>
            <w:pPr>
              <w:pStyle w:val="140"/>
            </w:pPr>
            <w:r>
              <w:t>2.31</w:t>
            </w:r>
          </w:p>
        </w:tc>
        <w:tc>
          <w:tcPr>
            <w:tcW w:w="525" w:type="dxa"/>
            <w:tcBorders>
              <w:top w:val="single" w:color="auto" w:sz="4" w:space="0"/>
              <w:left w:val="single" w:color="auto" w:sz="4" w:space="0"/>
              <w:bottom w:val="single" w:color="auto" w:sz="4" w:space="0"/>
              <w:right w:val="single" w:color="auto" w:sz="4" w:space="0"/>
            </w:tcBorders>
          </w:tcPr>
          <w:p>
            <w:pPr>
              <w:pStyle w:val="140"/>
            </w:pPr>
            <w:r>
              <w:t>2.56</w:t>
            </w:r>
          </w:p>
        </w:tc>
        <w:tc>
          <w:tcPr>
            <w:tcW w:w="675" w:type="dxa"/>
            <w:tcBorders>
              <w:top w:val="single" w:color="auto" w:sz="4" w:space="0"/>
              <w:left w:val="single" w:color="auto" w:sz="4" w:space="0"/>
              <w:bottom w:val="single" w:color="auto" w:sz="4" w:space="0"/>
              <w:right w:val="single" w:color="auto" w:sz="4" w:space="0"/>
            </w:tcBorders>
          </w:tcPr>
          <w:p>
            <w:pPr>
              <w:pStyle w:val="140"/>
            </w:pPr>
            <w:r>
              <w:t>2.89</w:t>
            </w:r>
          </w:p>
        </w:tc>
        <w:tc>
          <w:tcPr>
            <w:tcW w:w="540" w:type="dxa"/>
            <w:tcBorders>
              <w:top w:val="single" w:color="auto" w:sz="4" w:space="0"/>
              <w:left w:val="single" w:color="auto" w:sz="4" w:space="0"/>
              <w:bottom w:val="single" w:color="auto" w:sz="4" w:space="0"/>
              <w:right w:val="single" w:color="auto" w:sz="4" w:space="0"/>
            </w:tcBorders>
          </w:tcPr>
          <w:p>
            <w:pPr>
              <w:pStyle w:val="140"/>
            </w:pPr>
            <w:r>
              <w:t>1.89</w:t>
            </w:r>
          </w:p>
        </w:tc>
      </w:tr>
    </w:tbl>
    <w:p>
      <w:pPr>
        <w:adjustRightInd w:val="0"/>
        <w:snapToGrid w:val="0"/>
        <w:spacing w:line="500" w:lineRule="exact"/>
        <w:rPr>
          <w:sz w:val="24"/>
        </w:rPr>
      </w:pPr>
      <w:r>
        <w:rPr>
          <w:sz w:val="24"/>
        </w:rPr>
        <w:t>（4）高空气象参数</w:t>
      </w:r>
    </w:p>
    <w:p>
      <w:pPr>
        <w:spacing w:line="500" w:lineRule="exact"/>
        <w:ind w:firstLine="480" w:firstLineChars="200"/>
        <w:rPr>
          <w:bCs/>
          <w:sz w:val="24"/>
          <w:szCs w:val="22"/>
        </w:rPr>
      </w:pPr>
      <w:r>
        <w:rPr>
          <w:bCs/>
          <w:sz w:val="24"/>
          <w:szCs w:val="22"/>
        </w:rPr>
        <w:t>因为项目周围50km范围内无高空气象探测站点，高空气象数据采用环境工程评估中心环境质量模拟重点实验室的中尺度气象模拟数据。模拟高空气象数据模拟网格点编号为（135300），网格点位置经度115.19794°，纬度33.88542°，年限为2016年。</w:t>
      </w:r>
    </w:p>
    <w:p>
      <w:pPr>
        <w:spacing w:line="500" w:lineRule="exact"/>
        <w:ind w:firstLine="480" w:firstLineChars="200"/>
        <w:rPr>
          <w:bCs/>
          <w:sz w:val="24"/>
          <w:szCs w:val="22"/>
        </w:rPr>
      </w:pPr>
      <w:r>
        <w:rPr>
          <w:bCs/>
          <w:sz w:val="24"/>
          <w:szCs w:val="22"/>
        </w:rPr>
        <w:t>该高空气象数据是采用中尺度数值模式WRF模拟生成，把全国共划分为189×159个网格，每个网格的分辨率为27km×27km。该模式采用的原始数据有地形高度、土地利用、陆地—水体标志、植被组成等数据，数据源主要为美国的USGS数据，模式采用美国国家环境预报中心（NCEP）的在分析数据作为模型输入场和边界场。全年共输出高空气象模拟数据文件12个，每个文件包括各月逐日一日两次高空气象模拟数据。数据文件文件名共12位，前4为代表年，第5～6位代表月份，第7～12位代表该网格点编号。各文件中所包括的高空气象数据内容见表4-11。</w:t>
      </w:r>
    </w:p>
    <w:p>
      <w:pPr>
        <w:spacing w:after="120" w:line="500" w:lineRule="exact"/>
        <w:ind w:firstLine="422"/>
        <w:jc w:val="center"/>
        <w:rPr>
          <w:b/>
          <w:szCs w:val="21"/>
        </w:rPr>
      </w:pPr>
      <w:r>
        <w:rPr>
          <w:b/>
          <w:szCs w:val="21"/>
        </w:rPr>
        <w:t>表4-11高空气象数据内容</w:t>
      </w:r>
    </w:p>
    <w:tbl>
      <w:tblPr>
        <w:tblStyle w:val="44"/>
        <w:tblW w:w="894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467"/>
        <w:gridCol w:w="1499"/>
        <w:gridCol w:w="2482"/>
        <w:gridCol w:w="14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tblHeader/>
        </w:trPr>
        <w:tc>
          <w:tcPr>
            <w:tcW w:w="3467" w:type="dxa"/>
            <w:tcBorders>
              <w:top w:val="single" w:color="auto" w:sz="12" w:space="0"/>
              <w:left w:val="single" w:color="auto" w:sz="12" w:space="0"/>
              <w:bottom w:val="single" w:color="auto" w:sz="6" w:space="0"/>
              <w:right w:val="single" w:color="auto" w:sz="4" w:space="0"/>
            </w:tcBorders>
            <w:vAlign w:val="center"/>
          </w:tcPr>
          <w:p>
            <w:pPr>
              <w:jc w:val="center"/>
              <w:rPr>
                <w:szCs w:val="21"/>
              </w:rPr>
            </w:pPr>
            <w:r>
              <w:rPr>
                <w:szCs w:val="21"/>
              </w:rPr>
              <w:t>名称</w:t>
            </w:r>
          </w:p>
        </w:tc>
        <w:tc>
          <w:tcPr>
            <w:tcW w:w="1499" w:type="dxa"/>
            <w:tcBorders>
              <w:top w:val="single" w:color="auto" w:sz="12" w:space="0"/>
              <w:left w:val="single" w:color="auto" w:sz="4" w:space="0"/>
              <w:bottom w:val="single" w:color="auto" w:sz="6" w:space="0"/>
              <w:right w:val="single" w:color="auto" w:sz="6" w:space="0"/>
            </w:tcBorders>
            <w:vAlign w:val="center"/>
          </w:tcPr>
          <w:p>
            <w:pPr>
              <w:jc w:val="center"/>
              <w:rPr>
                <w:szCs w:val="21"/>
              </w:rPr>
            </w:pPr>
            <w:r>
              <w:rPr>
                <w:szCs w:val="21"/>
              </w:rPr>
              <w:t>单位</w:t>
            </w:r>
          </w:p>
        </w:tc>
        <w:tc>
          <w:tcPr>
            <w:tcW w:w="2482" w:type="dxa"/>
            <w:tcBorders>
              <w:top w:val="single" w:color="auto" w:sz="12" w:space="0"/>
              <w:left w:val="single" w:color="auto" w:sz="6" w:space="0"/>
              <w:bottom w:val="single" w:color="auto" w:sz="6" w:space="0"/>
              <w:right w:val="single" w:color="auto" w:sz="4" w:space="0"/>
            </w:tcBorders>
            <w:vAlign w:val="center"/>
          </w:tcPr>
          <w:p>
            <w:pPr>
              <w:jc w:val="center"/>
              <w:rPr>
                <w:szCs w:val="21"/>
              </w:rPr>
            </w:pPr>
            <w:r>
              <w:rPr>
                <w:szCs w:val="21"/>
              </w:rPr>
              <w:t>名称</w:t>
            </w:r>
          </w:p>
        </w:tc>
        <w:tc>
          <w:tcPr>
            <w:tcW w:w="1498" w:type="dxa"/>
            <w:tcBorders>
              <w:top w:val="single" w:color="auto" w:sz="12" w:space="0"/>
              <w:left w:val="single" w:color="auto" w:sz="4" w:space="0"/>
              <w:bottom w:val="single" w:color="auto" w:sz="6" w:space="0"/>
              <w:right w:val="single" w:color="auto" w:sz="12" w:space="0"/>
            </w:tcBorders>
            <w:vAlign w:val="center"/>
          </w:tcPr>
          <w:p>
            <w:pPr>
              <w:jc w:val="center"/>
              <w:rPr>
                <w:szCs w:val="21"/>
              </w:rPr>
            </w:pPr>
            <w:r>
              <w:rPr>
                <w:szCs w:val="21"/>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3467" w:type="dxa"/>
            <w:tcBorders>
              <w:top w:val="single" w:color="auto" w:sz="6" w:space="0"/>
              <w:left w:val="single" w:color="auto" w:sz="12" w:space="0"/>
              <w:bottom w:val="single" w:color="auto" w:sz="6" w:space="0"/>
              <w:right w:val="single" w:color="auto" w:sz="4" w:space="0"/>
            </w:tcBorders>
            <w:vAlign w:val="center"/>
          </w:tcPr>
          <w:p>
            <w:pPr>
              <w:jc w:val="center"/>
              <w:rPr>
                <w:szCs w:val="21"/>
              </w:rPr>
            </w:pPr>
            <w:r>
              <w:rPr>
                <w:szCs w:val="21"/>
              </w:rPr>
              <w:t>年月日时</w:t>
            </w:r>
          </w:p>
        </w:tc>
        <w:tc>
          <w:tcPr>
            <w:tcW w:w="1499" w:type="dxa"/>
            <w:tcBorders>
              <w:top w:val="single" w:color="auto" w:sz="6" w:space="0"/>
              <w:left w:val="single" w:color="auto" w:sz="4" w:space="0"/>
              <w:bottom w:val="single" w:color="auto" w:sz="6" w:space="0"/>
              <w:right w:val="single" w:color="auto" w:sz="6" w:space="0"/>
            </w:tcBorders>
            <w:vAlign w:val="center"/>
          </w:tcPr>
          <w:p>
            <w:pPr>
              <w:jc w:val="center"/>
              <w:rPr>
                <w:szCs w:val="21"/>
              </w:rPr>
            </w:pPr>
            <w:r>
              <w:rPr>
                <w:szCs w:val="21"/>
              </w:rPr>
              <w:t>--</w:t>
            </w:r>
          </w:p>
        </w:tc>
        <w:tc>
          <w:tcPr>
            <w:tcW w:w="2482" w:type="dxa"/>
            <w:tcBorders>
              <w:top w:val="single" w:color="auto" w:sz="6" w:space="0"/>
              <w:left w:val="single" w:color="auto" w:sz="6" w:space="0"/>
              <w:bottom w:val="single" w:color="auto" w:sz="6" w:space="0"/>
              <w:right w:val="single" w:color="auto" w:sz="4" w:space="0"/>
            </w:tcBorders>
            <w:vAlign w:val="center"/>
          </w:tcPr>
          <w:p>
            <w:pPr>
              <w:jc w:val="center"/>
              <w:rPr>
                <w:szCs w:val="21"/>
              </w:rPr>
            </w:pPr>
            <w:r>
              <w:rPr>
                <w:szCs w:val="21"/>
              </w:rPr>
              <w:t>干球温度</w:t>
            </w:r>
          </w:p>
        </w:tc>
        <w:tc>
          <w:tcPr>
            <w:tcW w:w="1498" w:type="dxa"/>
            <w:tcBorders>
              <w:top w:val="single" w:color="auto" w:sz="6" w:space="0"/>
              <w:left w:val="single" w:color="auto" w:sz="4" w:space="0"/>
              <w:bottom w:val="single" w:color="auto" w:sz="6" w:space="0"/>
              <w:right w:val="single" w:color="auto" w:sz="12" w:space="0"/>
            </w:tcBorders>
            <w:vAlign w:val="center"/>
          </w:tcPr>
          <w:p>
            <w:pPr>
              <w:jc w:val="center"/>
              <w:rPr>
                <w:szCs w:val="21"/>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3467" w:type="dxa"/>
            <w:tcBorders>
              <w:top w:val="single" w:color="auto" w:sz="6" w:space="0"/>
              <w:left w:val="single" w:color="auto" w:sz="12" w:space="0"/>
              <w:bottom w:val="single" w:color="auto" w:sz="6" w:space="0"/>
              <w:right w:val="single" w:color="auto" w:sz="4" w:space="0"/>
            </w:tcBorders>
            <w:vAlign w:val="center"/>
          </w:tcPr>
          <w:p>
            <w:pPr>
              <w:jc w:val="center"/>
              <w:rPr>
                <w:szCs w:val="21"/>
              </w:rPr>
            </w:pPr>
            <w:r>
              <w:rPr>
                <w:szCs w:val="21"/>
              </w:rPr>
              <w:t>探空数据层数</w:t>
            </w:r>
          </w:p>
        </w:tc>
        <w:tc>
          <w:tcPr>
            <w:tcW w:w="1499" w:type="dxa"/>
            <w:tcBorders>
              <w:top w:val="single" w:color="auto" w:sz="6" w:space="0"/>
              <w:left w:val="single" w:color="auto" w:sz="4" w:space="0"/>
              <w:bottom w:val="single" w:color="auto" w:sz="6" w:space="0"/>
              <w:right w:val="single" w:color="auto" w:sz="6" w:space="0"/>
            </w:tcBorders>
            <w:vAlign w:val="center"/>
          </w:tcPr>
          <w:p>
            <w:pPr>
              <w:jc w:val="center"/>
              <w:rPr>
                <w:szCs w:val="21"/>
              </w:rPr>
            </w:pPr>
            <w:r>
              <w:rPr>
                <w:szCs w:val="21"/>
              </w:rPr>
              <w:t>--</w:t>
            </w:r>
          </w:p>
        </w:tc>
        <w:tc>
          <w:tcPr>
            <w:tcW w:w="2482" w:type="dxa"/>
            <w:tcBorders>
              <w:top w:val="single" w:color="auto" w:sz="6" w:space="0"/>
              <w:left w:val="single" w:color="auto" w:sz="6" w:space="0"/>
              <w:bottom w:val="single" w:color="auto" w:sz="6" w:space="0"/>
              <w:right w:val="single" w:color="auto" w:sz="4" w:space="0"/>
            </w:tcBorders>
            <w:vAlign w:val="center"/>
          </w:tcPr>
          <w:p>
            <w:pPr>
              <w:jc w:val="center"/>
              <w:rPr>
                <w:szCs w:val="21"/>
              </w:rPr>
            </w:pPr>
            <w:r>
              <w:rPr>
                <w:szCs w:val="21"/>
              </w:rPr>
              <w:t>露点温度</w:t>
            </w:r>
          </w:p>
        </w:tc>
        <w:tc>
          <w:tcPr>
            <w:tcW w:w="1498" w:type="dxa"/>
            <w:tcBorders>
              <w:top w:val="single" w:color="auto" w:sz="6" w:space="0"/>
              <w:left w:val="single" w:color="auto" w:sz="4" w:space="0"/>
              <w:bottom w:val="single" w:color="auto" w:sz="6" w:space="0"/>
              <w:right w:val="single" w:color="auto" w:sz="12" w:space="0"/>
            </w:tcBorders>
            <w:vAlign w:val="center"/>
          </w:tcPr>
          <w:p>
            <w:pPr>
              <w:jc w:val="center"/>
              <w:rPr>
                <w:szCs w:val="21"/>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3467" w:type="dxa"/>
            <w:tcBorders>
              <w:top w:val="single" w:color="auto" w:sz="6" w:space="0"/>
              <w:left w:val="single" w:color="auto" w:sz="12" w:space="0"/>
              <w:bottom w:val="single" w:color="auto" w:sz="6" w:space="0"/>
              <w:right w:val="single" w:color="auto" w:sz="4" w:space="0"/>
            </w:tcBorders>
            <w:vAlign w:val="center"/>
          </w:tcPr>
          <w:p>
            <w:pPr>
              <w:jc w:val="center"/>
              <w:rPr>
                <w:szCs w:val="21"/>
              </w:rPr>
            </w:pPr>
            <w:r>
              <w:rPr>
                <w:szCs w:val="21"/>
              </w:rPr>
              <w:t>气压</w:t>
            </w:r>
          </w:p>
        </w:tc>
        <w:tc>
          <w:tcPr>
            <w:tcW w:w="1499" w:type="dxa"/>
            <w:tcBorders>
              <w:top w:val="single" w:color="auto" w:sz="6" w:space="0"/>
              <w:left w:val="single" w:color="auto" w:sz="4" w:space="0"/>
              <w:bottom w:val="single" w:color="auto" w:sz="6" w:space="0"/>
              <w:right w:val="single" w:color="auto" w:sz="6" w:space="0"/>
            </w:tcBorders>
            <w:vAlign w:val="center"/>
          </w:tcPr>
          <w:p>
            <w:pPr>
              <w:jc w:val="center"/>
              <w:rPr>
                <w:szCs w:val="21"/>
              </w:rPr>
            </w:pPr>
            <w:r>
              <w:rPr>
                <w:szCs w:val="21"/>
              </w:rPr>
              <w:t>hPa</w:t>
            </w:r>
          </w:p>
        </w:tc>
        <w:tc>
          <w:tcPr>
            <w:tcW w:w="2482" w:type="dxa"/>
            <w:tcBorders>
              <w:top w:val="single" w:color="auto" w:sz="6" w:space="0"/>
              <w:left w:val="single" w:color="auto" w:sz="6" w:space="0"/>
              <w:bottom w:val="single" w:color="auto" w:sz="6" w:space="0"/>
              <w:right w:val="single" w:color="auto" w:sz="4" w:space="0"/>
            </w:tcBorders>
            <w:vAlign w:val="center"/>
          </w:tcPr>
          <w:p>
            <w:pPr>
              <w:jc w:val="center"/>
              <w:rPr>
                <w:szCs w:val="21"/>
              </w:rPr>
            </w:pPr>
            <w:r>
              <w:rPr>
                <w:szCs w:val="21"/>
              </w:rPr>
              <w:t>风速</w:t>
            </w:r>
          </w:p>
        </w:tc>
        <w:tc>
          <w:tcPr>
            <w:tcW w:w="1498" w:type="dxa"/>
            <w:tcBorders>
              <w:top w:val="single" w:color="auto" w:sz="6" w:space="0"/>
              <w:left w:val="single" w:color="auto" w:sz="4" w:space="0"/>
              <w:bottom w:val="single" w:color="auto" w:sz="6" w:space="0"/>
              <w:right w:val="single" w:color="auto" w:sz="12" w:space="0"/>
            </w:tcBorders>
            <w:vAlign w:val="center"/>
          </w:tcPr>
          <w:p>
            <w:pPr>
              <w:jc w:val="center"/>
              <w:rPr>
                <w:szCs w:val="21"/>
              </w:rPr>
            </w:pPr>
            <w:r>
              <w:rPr>
                <w:szCs w:val="21"/>
              </w:rPr>
              <w:t>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3467" w:type="dxa"/>
            <w:tcBorders>
              <w:top w:val="single" w:color="auto" w:sz="6" w:space="0"/>
              <w:left w:val="single" w:color="auto" w:sz="12" w:space="0"/>
              <w:bottom w:val="single" w:color="auto" w:sz="12" w:space="0"/>
              <w:right w:val="single" w:color="auto" w:sz="4" w:space="0"/>
            </w:tcBorders>
            <w:vAlign w:val="center"/>
          </w:tcPr>
          <w:p>
            <w:pPr>
              <w:jc w:val="center"/>
              <w:rPr>
                <w:szCs w:val="21"/>
              </w:rPr>
            </w:pPr>
            <w:r>
              <w:rPr>
                <w:szCs w:val="21"/>
              </w:rPr>
              <w:t>高度</w:t>
            </w:r>
          </w:p>
        </w:tc>
        <w:tc>
          <w:tcPr>
            <w:tcW w:w="1499" w:type="dxa"/>
            <w:tcBorders>
              <w:top w:val="single" w:color="auto" w:sz="6" w:space="0"/>
              <w:left w:val="single" w:color="auto" w:sz="4" w:space="0"/>
              <w:bottom w:val="single" w:color="auto" w:sz="12" w:space="0"/>
              <w:right w:val="single" w:color="auto" w:sz="6" w:space="0"/>
            </w:tcBorders>
            <w:vAlign w:val="center"/>
          </w:tcPr>
          <w:p>
            <w:pPr>
              <w:jc w:val="center"/>
              <w:rPr>
                <w:szCs w:val="21"/>
              </w:rPr>
            </w:pPr>
            <w:r>
              <w:rPr>
                <w:szCs w:val="21"/>
              </w:rPr>
              <w:t>m</w:t>
            </w:r>
          </w:p>
        </w:tc>
        <w:tc>
          <w:tcPr>
            <w:tcW w:w="2482" w:type="dxa"/>
            <w:tcBorders>
              <w:top w:val="single" w:color="auto" w:sz="6" w:space="0"/>
              <w:left w:val="single" w:color="auto" w:sz="6" w:space="0"/>
              <w:bottom w:val="single" w:color="auto" w:sz="12" w:space="0"/>
              <w:right w:val="single" w:color="auto" w:sz="4" w:space="0"/>
            </w:tcBorders>
            <w:vAlign w:val="center"/>
          </w:tcPr>
          <w:p>
            <w:pPr>
              <w:jc w:val="center"/>
              <w:rPr>
                <w:szCs w:val="21"/>
              </w:rPr>
            </w:pPr>
            <w:r>
              <w:rPr>
                <w:szCs w:val="21"/>
              </w:rPr>
              <w:t>风向</w:t>
            </w:r>
          </w:p>
        </w:tc>
        <w:tc>
          <w:tcPr>
            <w:tcW w:w="1498" w:type="dxa"/>
            <w:tcBorders>
              <w:top w:val="single" w:color="auto" w:sz="6" w:space="0"/>
              <w:left w:val="single" w:color="auto" w:sz="4" w:space="0"/>
              <w:bottom w:val="single" w:color="auto" w:sz="12" w:space="0"/>
              <w:right w:val="single" w:color="auto" w:sz="12" w:space="0"/>
            </w:tcBorders>
            <w:vAlign w:val="center"/>
          </w:tcPr>
          <w:p>
            <w:pPr>
              <w:jc w:val="center"/>
              <w:rPr>
                <w:szCs w:val="21"/>
              </w:rPr>
            </w:pPr>
            <w:r>
              <w:rPr>
                <w:szCs w:val="21"/>
              </w:rPr>
              <w:t>--</w:t>
            </w:r>
          </w:p>
        </w:tc>
      </w:tr>
    </w:tbl>
    <w:p>
      <w:pPr>
        <w:adjustRightInd w:val="0"/>
        <w:snapToGrid w:val="0"/>
        <w:spacing w:line="500" w:lineRule="exact"/>
        <w:rPr>
          <w:b/>
          <w:color w:val="000000"/>
          <w:sz w:val="24"/>
        </w:rPr>
      </w:pPr>
      <w:r>
        <w:rPr>
          <w:b/>
          <w:color w:val="000000"/>
          <w:sz w:val="24"/>
        </w:rPr>
        <w:t>4.2.1.2 大气污染物地面浓度预测与评价</w:t>
      </w:r>
    </w:p>
    <w:p>
      <w:pPr>
        <w:spacing w:line="520" w:lineRule="exact"/>
        <w:ind w:firstLine="480"/>
        <w:rPr>
          <w:b/>
          <w:bCs/>
          <w:sz w:val="24"/>
          <w:szCs w:val="28"/>
          <w:u w:val="single"/>
        </w:rPr>
      </w:pPr>
      <w:r>
        <w:rPr>
          <w:b/>
          <w:bCs/>
          <w:sz w:val="24"/>
          <w:szCs w:val="28"/>
          <w:u w:val="single"/>
        </w:rPr>
        <w:t>一、预测方法</w:t>
      </w:r>
    </w:p>
    <w:p>
      <w:pPr>
        <w:spacing w:line="520" w:lineRule="exact"/>
        <w:ind w:firstLine="480"/>
        <w:rPr>
          <w:b/>
          <w:bCs/>
          <w:sz w:val="24"/>
          <w:szCs w:val="28"/>
          <w:u w:val="single"/>
        </w:rPr>
      </w:pPr>
      <w:r>
        <w:rPr>
          <w:b/>
          <w:bCs/>
          <w:sz w:val="24"/>
          <w:szCs w:val="28"/>
          <w:u w:val="single"/>
        </w:rPr>
        <w:t>根据《环境影响评价技术导则》HJT2.2-2018对二级评价要求，采用《环境影响评价技术导则-大气环境》（HJ2.2-2018）推荐的AERSCREEN模式算出的最大地面浓度。</w:t>
      </w:r>
    </w:p>
    <w:p>
      <w:pPr>
        <w:adjustRightInd w:val="0"/>
        <w:snapToGrid w:val="0"/>
        <w:spacing w:line="500" w:lineRule="exact"/>
        <w:ind w:firstLine="482" w:firstLineChars="200"/>
        <w:rPr>
          <w:b/>
          <w:bCs/>
          <w:color w:val="000000"/>
          <w:sz w:val="24"/>
          <w:u w:val="single"/>
        </w:rPr>
      </w:pPr>
      <w:r>
        <w:rPr>
          <w:b/>
          <w:bCs/>
          <w:color w:val="000000"/>
          <w:sz w:val="24"/>
          <w:u w:val="single"/>
        </w:rPr>
        <w:t>二、预测因子</w:t>
      </w:r>
    </w:p>
    <w:p>
      <w:pPr>
        <w:adjustRightInd w:val="0"/>
        <w:snapToGrid w:val="0"/>
        <w:spacing w:line="500" w:lineRule="exact"/>
        <w:ind w:firstLine="482" w:firstLineChars="200"/>
        <w:rPr>
          <w:b/>
          <w:bCs/>
          <w:color w:val="000000"/>
          <w:sz w:val="24"/>
          <w:u w:val="single"/>
        </w:rPr>
      </w:pPr>
      <w:r>
        <w:rPr>
          <w:b/>
          <w:bCs/>
          <w:color w:val="000000"/>
          <w:sz w:val="24"/>
          <w:u w:val="single"/>
        </w:rPr>
        <w:t>根据拟建项目污染物排放特征，选取SO</w:t>
      </w:r>
      <w:r>
        <w:rPr>
          <w:b/>
          <w:bCs/>
          <w:color w:val="000000"/>
          <w:sz w:val="24"/>
          <w:u w:val="single"/>
          <w:vertAlign w:val="subscript"/>
        </w:rPr>
        <w:t>2</w:t>
      </w:r>
      <w:r>
        <w:rPr>
          <w:b/>
          <w:bCs/>
          <w:color w:val="000000"/>
          <w:sz w:val="24"/>
          <w:u w:val="single"/>
        </w:rPr>
        <w:t>、NO</w:t>
      </w:r>
      <w:r>
        <w:rPr>
          <w:b/>
          <w:bCs/>
          <w:color w:val="000000"/>
          <w:sz w:val="24"/>
          <w:u w:val="single"/>
          <w:vertAlign w:val="subscript"/>
        </w:rPr>
        <w:t>2</w:t>
      </w:r>
      <w:r>
        <w:rPr>
          <w:b/>
          <w:bCs/>
          <w:color w:val="000000"/>
          <w:sz w:val="24"/>
          <w:u w:val="single"/>
        </w:rPr>
        <w:t>、H</w:t>
      </w:r>
      <w:r>
        <w:rPr>
          <w:b/>
          <w:bCs/>
          <w:color w:val="000000"/>
          <w:sz w:val="24"/>
          <w:u w:val="single"/>
          <w:vertAlign w:val="subscript"/>
        </w:rPr>
        <w:t>2</w:t>
      </w:r>
      <w:r>
        <w:rPr>
          <w:b/>
          <w:bCs/>
          <w:color w:val="000000"/>
          <w:sz w:val="24"/>
          <w:u w:val="single"/>
        </w:rPr>
        <w:t>S和NH</w:t>
      </w:r>
      <w:r>
        <w:rPr>
          <w:b/>
          <w:bCs/>
          <w:color w:val="000000"/>
          <w:sz w:val="24"/>
          <w:u w:val="single"/>
          <w:vertAlign w:val="subscript"/>
        </w:rPr>
        <w:t>3</w:t>
      </w:r>
      <w:r>
        <w:rPr>
          <w:b/>
          <w:bCs/>
          <w:color w:val="000000"/>
          <w:sz w:val="24"/>
          <w:u w:val="single"/>
        </w:rPr>
        <w:t>作为本次评价的预测评价因子。</w:t>
      </w:r>
    </w:p>
    <w:p>
      <w:pPr>
        <w:adjustRightInd w:val="0"/>
        <w:snapToGrid w:val="0"/>
        <w:spacing w:line="500" w:lineRule="exact"/>
        <w:ind w:firstLine="482" w:firstLineChars="200"/>
        <w:rPr>
          <w:b/>
          <w:bCs/>
          <w:color w:val="000000"/>
          <w:sz w:val="24"/>
          <w:u w:val="single"/>
        </w:rPr>
      </w:pPr>
      <w:r>
        <w:rPr>
          <w:b/>
          <w:bCs/>
          <w:color w:val="000000"/>
          <w:sz w:val="24"/>
          <w:u w:val="single"/>
        </w:rPr>
        <w:t>三、评价标准</w:t>
      </w:r>
    </w:p>
    <w:p>
      <w:pPr>
        <w:spacing w:line="500" w:lineRule="exact"/>
        <w:ind w:firstLine="482" w:firstLineChars="200"/>
        <w:rPr>
          <w:b/>
          <w:bCs/>
          <w:color w:val="000000"/>
          <w:sz w:val="24"/>
          <w:szCs w:val="22"/>
          <w:u w:val="single"/>
        </w:rPr>
      </w:pPr>
      <w:r>
        <w:rPr>
          <w:b/>
          <w:bCs/>
          <w:color w:val="000000"/>
          <w:sz w:val="24"/>
          <w:szCs w:val="22"/>
          <w:u w:val="single"/>
        </w:rPr>
        <w:t>本次评价因子执行SO</w:t>
      </w:r>
      <w:r>
        <w:rPr>
          <w:b/>
          <w:bCs/>
          <w:color w:val="000000"/>
          <w:sz w:val="24"/>
          <w:szCs w:val="22"/>
          <w:u w:val="single"/>
          <w:vertAlign w:val="subscript"/>
        </w:rPr>
        <w:t>2</w:t>
      </w:r>
      <w:r>
        <w:rPr>
          <w:b/>
          <w:bCs/>
          <w:color w:val="000000"/>
          <w:sz w:val="24"/>
          <w:szCs w:val="22"/>
          <w:u w:val="single"/>
        </w:rPr>
        <w:t>、NO</w:t>
      </w:r>
      <w:r>
        <w:rPr>
          <w:b/>
          <w:bCs/>
          <w:color w:val="000000"/>
          <w:sz w:val="24"/>
          <w:szCs w:val="22"/>
          <w:u w:val="single"/>
          <w:vertAlign w:val="subscript"/>
        </w:rPr>
        <w:t>2</w:t>
      </w:r>
      <w:r>
        <w:rPr>
          <w:b/>
          <w:bCs/>
          <w:color w:val="000000"/>
          <w:sz w:val="24"/>
          <w:szCs w:val="22"/>
          <w:u w:val="single"/>
        </w:rPr>
        <w:t>执行《环境空气质量标准》（GB3095-2012）二级标准浓度限值，</w:t>
      </w:r>
      <w:r>
        <w:rPr>
          <w:b/>
          <w:bCs/>
          <w:color w:val="000000"/>
          <w:sz w:val="24"/>
          <w:u w:val="single"/>
        </w:rPr>
        <w:t>H</w:t>
      </w:r>
      <w:r>
        <w:rPr>
          <w:b/>
          <w:bCs/>
          <w:color w:val="000000"/>
          <w:sz w:val="24"/>
          <w:u w:val="single"/>
          <w:vertAlign w:val="subscript"/>
        </w:rPr>
        <w:t>2</w:t>
      </w:r>
      <w:r>
        <w:rPr>
          <w:b/>
          <w:bCs/>
          <w:color w:val="000000"/>
          <w:sz w:val="24"/>
          <w:u w:val="single"/>
        </w:rPr>
        <w:t>S、NH</w:t>
      </w:r>
      <w:r>
        <w:rPr>
          <w:b/>
          <w:bCs/>
          <w:color w:val="000000"/>
          <w:sz w:val="24"/>
          <w:u w:val="single"/>
          <w:vertAlign w:val="subscript"/>
        </w:rPr>
        <w:t>3</w:t>
      </w:r>
      <w:r>
        <w:rPr>
          <w:b/>
          <w:bCs/>
          <w:color w:val="000000"/>
          <w:sz w:val="24"/>
          <w:szCs w:val="22"/>
          <w:u w:val="single"/>
        </w:rPr>
        <w:t>执行</w:t>
      </w:r>
      <w:r>
        <w:rPr>
          <w:b/>
          <w:bCs/>
          <w:color w:val="000000"/>
          <w:u w:val="single"/>
        </w:rPr>
        <w:t>《环境影响评价技术导则 大气环境（HJ2.2-2018）》中附录D</w:t>
      </w:r>
      <w:r>
        <w:rPr>
          <w:b/>
          <w:bCs/>
          <w:color w:val="000000"/>
          <w:sz w:val="24"/>
          <w:szCs w:val="22"/>
          <w:u w:val="single"/>
        </w:rPr>
        <w:t>中“居住区大气中有害物质的最高容许浓度”，具体评价标准见表4-12。</w:t>
      </w:r>
    </w:p>
    <w:p>
      <w:pPr>
        <w:spacing w:after="120" w:line="500" w:lineRule="exact"/>
        <w:ind w:firstLine="422"/>
        <w:jc w:val="center"/>
        <w:rPr>
          <w:b/>
          <w:bCs/>
          <w:color w:val="000000"/>
          <w:szCs w:val="21"/>
          <w:u w:val="single"/>
        </w:rPr>
      </w:pPr>
      <w:r>
        <w:rPr>
          <w:b/>
          <w:bCs/>
          <w:color w:val="000000"/>
          <w:szCs w:val="21"/>
          <w:u w:val="single"/>
        </w:rPr>
        <w:t>表4-12   评价标准     单位：mg/m</w:t>
      </w:r>
      <w:r>
        <w:rPr>
          <w:b/>
          <w:bCs/>
          <w:color w:val="000000"/>
          <w:szCs w:val="21"/>
          <w:u w:val="single"/>
          <w:vertAlign w:val="superscript"/>
        </w:rPr>
        <w:t>3</w:t>
      </w:r>
    </w:p>
    <w:tbl>
      <w:tblPr>
        <w:tblStyle w:val="44"/>
        <w:tblW w:w="894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1"/>
        <w:gridCol w:w="1648"/>
        <w:gridCol w:w="2181"/>
        <w:gridCol w:w="2179"/>
        <w:gridCol w:w="21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61" w:type="dxa"/>
            <w:vAlign w:val="center"/>
          </w:tcPr>
          <w:p>
            <w:pPr>
              <w:jc w:val="center"/>
              <w:rPr>
                <w:b/>
                <w:bCs/>
                <w:color w:val="000000"/>
                <w:szCs w:val="21"/>
                <w:u w:val="single"/>
              </w:rPr>
            </w:pPr>
            <w:r>
              <w:rPr>
                <w:b/>
                <w:bCs/>
                <w:color w:val="000000"/>
                <w:szCs w:val="21"/>
                <w:u w:val="single"/>
              </w:rPr>
              <w:t>序号</w:t>
            </w:r>
          </w:p>
        </w:tc>
        <w:tc>
          <w:tcPr>
            <w:tcW w:w="1648" w:type="dxa"/>
            <w:vAlign w:val="center"/>
          </w:tcPr>
          <w:p>
            <w:pPr>
              <w:jc w:val="center"/>
              <w:rPr>
                <w:b/>
                <w:bCs/>
                <w:color w:val="000000"/>
                <w:szCs w:val="21"/>
                <w:u w:val="single"/>
              </w:rPr>
            </w:pPr>
            <w:r>
              <w:rPr>
                <w:b/>
                <w:bCs/>
                <w:color w:val="000000"/>
                <w:szCs w:val="21"/>
                <w:u w:val="single"/>
              </w:rPr>
              <w:t>评价因子</w:t>
            </w:r>
          </w:p>
        </w:tc>
        <w:tc>
          <w:tcPr>
            <w:tcW w:w="2181" w:type="dxa"/>
            <w:vAlign w:val="center"/>
          </w:tcPr>
          <w:p>
            <w:pPr>
              <w:jc w:val="center"/>
              <w:rPr>
                <w:b/>
                <w:bCs/>
                <w:color w:val="000000"/>
                <w:szCs w:val="21"/>
                <w:u w:val="single"/>
              </w:rPr>
            </w:pPr>
            <w:r>
              <w:rPr>
                <w:b/>
                <w:bCs/>
                <w:color w:val="000000"/>
                <w:szCs w:val="21"/>
                <w:u w:val="single"/>
              </w:rPr>
              <w:t>小时值/一次值</w:t>
            </w:r>
          </w:p>
        </w:tc>
        <w:tc>
          <w:tcPr>
            <w:tcW w:w="2179" w:type="dxa"/>
            <w:vAlign w:val="center"/>
          </w:tcPr>
          <w:p>
            <w:pPr>
              <w:jc w:val="center"/>
              <w:rPr>
                <w:b/>
                <w:bCs/>
                <w:color w:val="000000"/>
                <w:szCs w:val="21"/>
                <w:u w:val="single"/>
              </w:rPr>
            </w:pPr>
            <w:r>
              <w:rPr>
                <w:b/>
                <w:bCs/>
                <w:color w:val="000000"/>
                <w:szCs w:val="21"/>
                <w:u w:val="single"/>
              </w:rPr>
              <w:t>日均值</w:t>
            </w:r>
          </w:p>
        </w:tc>
        <w:tc>
          <w:tcPr>
            <w:tcW w:w="2177" w:type="dxa"/>
            <w:vAlign w:val="center"/>
          </w:tcPr>
          <w:p>
            <w:pPr>
              <w:jc w:val="center"/>
              <w:rPr>
                <w:b/>
                <w:bCs/>
                <w:color w:val="000000"/>
                <w:szCs w:val="21"/>
                <w:u w:val="single"/>
              </w:rPr>
            </w:pPr>
            <w:r>
              <w:rPr>
                <w:b/>
                <w:bCs/>
                <w:color w:val="000000"/>
                <w:szCs w:val="21"/>
                <w:u w:val="single"/>
              </w:rPr>
              <w:t>年均值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61" w:type="dxa"/>
            <w:vAlign w:val="center"/>
          </w:tcPr>
          <w:p>
            <w:pPr>
              <w:jc w:val="center"/>
              <w:rPr>
                <w:b/>
                <w:bCs/>
                <w:color w:val="000000"/>
                <w:szCs w:val="21"/>
                <w:u w:val="single"/>
              </w:rPr>
            </w:pPr>
            <w:r>
              <w:rPr>
                <w:b/>
                <w:bCs/>
                <w:color w:val="000000"/>
                <w:szCs w:val="21"/>
                <w:u w:val="single"/>
              </w:rPr>
              <w:t>1</w:t>
            </w:r>
          </w:p>
        </w:tc>
        <w:tc>
          <w:tcPr>
            <w:tcW w:w="1648" w:type="dxa"/>
            <w:vAlign w:val="center"/>
          </w:tcPr>
          <w:p>
            <w:pPr>
              <w:jc w:val="center"/>
              <w:rPr>
                <w:b/>
                <w:bCs/>
                <w:color w:val="000000"/>
                <w:szCs w:val="21"/>
                <w:u w:val="single"/>
              </w:rPr>
            </w:pPr>
            <w:r>
              <w:rPr>
                <w:b/>
                <w:bCs/>
                <w:color w:val="000000"/>
                <w:szCs w:val="21"/>
                <w:u w:val="single"/>
              </w:rPr>
              <w:t>SO</w:t>
            </w:r>
            <w:r>
              <w:rPr>
                <w:b/>
                <w:bCs/>
                <w:color w:val="000000"/>
                <w:szCs w:val="21"/>
                <w:u w:val="single"/>
                <w:vertAlign w:val="subscript"/>
              </w:rPr>
              <w:t>2</w:t>
            </w:r>
          </w:p>
        </w:tc>
        <w:tc>
          <w:tcPr>
            <w:tcW w:w="2181" w:type="dxa"/>
            <w:vAlign w:val="center"/>
          </w:tcPr>
          <w:p>
            <w:pPr>
              <w:jc w:val="center"/>
              <w:rPr>
                <w:b/>
                <w:bCs/>
                <w:color w:val="000000"/>
                <w:szCs w:val="21"/>
                <w:u w:val="single"/>
              </w:rPr>
            </w:pPr>
            <w:r>
              <w:rPr>
                <w:b/>
                <w:bCs/>
                <w:color w:val="000000"/>
                <w:szCs w:val="21"/>
                <w:u w:val="single"/>
              </w:rPr>
              <w:t>0.50</w:t>
            </w:r>
          </w:p>
        </w:tc>
        <w:tc>
          <w:tcPr>
            <w:tcW w:w="2179" w:type="dxa"/>
            <w:vAlign w:val="center"/>
          </w:tcPr>
          <w:p>
            <w:pPr>
              <w:jc w:val="center"/>
              <w:rPr>
                <w:b/>
                <w:bCs/>
                <w:color w:val="000000"/>
                <w:szCs w:val="21"/>
                <w:u w:val="single"/>
              </w:rPr>
            </w:pPr>
            <w:r>
              <w:rPr>
                <w:b/>
                <w:bCs/>
                <w:color w:val="000000"/>
                <w:szCs w:val="21"/>
                <w:u w:val="single"/>
              </w:rPr>
              <w:t>0.15</w:t>
            </w:r>
          </w:p>
        </w:tc>
        <w:tc>
          <w:tcPr>
            <w:tcW w:w="2177" w:type="dxa"/>
            <w:vAlign w:val="center"/>
          </w:tcPr>
          <w:p>
            <w:pPr>
              <w:jc w:val="center"/>
              <w:rPr>
                <w:b/>
                <w:bCs/>
                <w:color w:val="000000"/>
                <w:szCs w:val="21"/>
                <w:u w:val="single"/>
              </w:rPr>
            </w:pPr>
            <w:r>
              <w:rPr>
                <w:b/>
                <w:bCs/>
                <w:color w:val="000000"/>
                <w:szCs w:val="21"/>
                <w:u w:val="single"/>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61" w:type="dxa"/>
            <w:vAlign w:val="center"/>
          </w:tcPr>
          <w:p>
            <w:pPr>
              <w:jc w:val="center"/>
              <w:rPr>
                <w:b/>
                <w:bCs/>
                <w:color w:val="000000"/>
                <w:szCs w:val="21"/>
                <w:u w:val="single"/>
              </w:rPr>
            </w:pPr>
            <w:r>
              <w:rPr>
                <w:b/>
                <w:bCs/>
                <w:color w:val="000000"/>
                <w:szCs w:val="21"/>
                <w:u w:val="single"/>
              </w:rPr>
              <w:t>2</w:t>
            </w:r>
          </w:p>
        </w:tc>
        <w:tc>
          <w:tcPr>
            <w:tcW w:w="1648" w:type="dxa"/>
            <w:vAlign w:val="center"/>
          </w:tcPr>
          <w:p>
            <w:pPr>
              <w:spacing w:line="300" w:lineRule="exact"/>
              <w:jc w:val="center"/>
              <w:rPr>
                <w:b/>
                <w:bCs/>
                <w:color w:val="000000"/>
                <w:szCs w:val="21"/>
                <w:u w:val="single"/>
                <w:vertAlign w:val="subscript"/>
              </w:rPr>
            </w:pPr>
            <w:r>
              <w:rPr>
                <w:b/>
                <w:bCs/>
                <w:color w:val="000000"/>
                <w:szCs w:val="21"/>
                <w:u w:val="single"/>
              </w:rPr>
              <w:t>NO</w:t>
            </w:r>
            <w:r>
              <w:rPr>
                <w:b/>
                <w:bCs/>
                <w:color w:val="000000"/>
                <w:szCs w:val="21"/>
                <w:u w:val="single"/>
                <w:vertAlign w:val="subscript"/>
              </w:rPr>
              <w:t>2</w:t>
            </w:r>
          </w:p>
        </w:tc>
        <w:tc>
          <w:tcPr>
            <w:tcW w:w="2181" w:type="dxa"/>
            <w:vAlign w:val="center"/>
          </w:tcPr>
          <w:p>
            <w:pPr>
              <w:spacing w:line="300" w:lineRule="exact"/>
              <w:jc w:val="center"/>
              <w:rPr>
                <w:b/>
                <w:bCs/>
                <w:color w:val="000000"/>
                <w:szCs w:val="21"/>
                <w:u w:val="single"/>
              </w:rPr>
            </w:pPr>
            <w:r>
              <w:rPr>
                <w:b/>
                <w:bCs/>
                <w:color w:val="000000"/>
                <w:szCs w:val="21"/>
                <w:u w:val="single"/>
              </w:rPr>
              <w:t>0.20</w:t>
            </w:r>
          </w:p>
        </w:tc>
        <w:tc>
          <w:tcPr>
            <w:tcW w:w="2179" w:type="dxa"/>
            <w:vAlign w:val="center"/>
          </w:tcPr>
          <w:p>
            <w:pPr>
              <w:spacing w:line="300" w:lineRule="exact"/>
              <w:jc w:val="center"/>
              <w:rPr>
                <w:b/>
                <w:bCs/>
                <w:color w:val="000000"/>
                <w:szCs w:val="21"/>
                <w:u w:val="single"/>
              </w:rPr>
            </w:pPr>
            <w:r>
              <w:rPr>
                <w:b/>
                <w:bCs/>
                <w:color w:val="000000"/>
                <w:szCs w:val="21"/>
                <w:u w:val="single"/>
              </w:rPr>
              <w:t>0.08</w:t>
            </w:r>
          </w:p>
        </w:tc>
        <w:tc>
          <w:tcPr>
            <w:tcW w:w="2177" w:type="dxa"/>
            <w:vAlign w:val="center"/>
          </w:tcPr>
          <w:p>
            <w:pPr>
              <w:spacing w:line="300" w:lineRule="exact"/>
              <w:jc w:val="center"/>
              <w:rPr>
                <w:b/>
                <w:bCs/>
                <w:color w:val="000000"/>
                <w:szCs w:val="21"/>
                <w:u w:val="single"/>
              </w:rPr>
            </w:pPr>
            <w:r>
              <w:rPr>
                <w:b/>
                <w:bCs/>
                <w:color w:val="000000"/>
                <w:szCs w:val="21"/>
                <w:u w:val="single"/>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61" w:type="dxa"/>
            <w:vAlign w:val="center"/>
          </w:tcPr>
          <w:p>
            <w:pPr>
              <w:jc w:val="center"/>
              <w:rPr>
                <w:b/>
                <w:bCs/>
                <w:color w:val="000000"/>
                <w:szCs w:val="21"/>
                <w:u w:val="single"/>
              </w:rPr>
            </w:pPr>
            <w:r>
              <w:rPr>
                <w:b/>
                <w:bCs/>
                <w:color w:val="000000"/>
                <w:szCs w:val="21"/>
                <w:u w:val="single"/>
              </w:rPr>
              <w:t>3</w:t>
            </w:r>
          </w:p>
        </w:tc>
        <w:tc>
          <w:tcPr>
            <w:tcW w:w="1648" w:type="dxa"/>
            <w:vAlign w:val="center"/>
          </w:tcPr>
          <w:p>
            <w:pPr>
              <w:jc w:val="center"/>
              <w:rPr>
                <w:b/>
                <w:bCs/>
                <w:color w:val="000000"/>
                <w:szCs w:val="21"/>
                <w:u w:val="single"/>
              </w:rPr>
            </w:pPr>
            <w:r>
              <w:rPr>
                <w:b/>
                <w:bCs/>
                <w:color w:val="000000"/>
                <w:szCs w:val="21"/>
                <w:u w:val="single"/>
              </w:rPr>
              <w:t>H</w:t>
            </w:r>
            <w:r>
              <w:rPr>
                <w:b/>
                <w:bCs/>
                <w:color w:val="000000"/>
                <w:szCs w:val="21"/>
                <w:u w:val="single"/>
                <w:vertAlign w:val="subscript"/>
              </w:rPr>
              <w:t>2</w:t>
            </w:r>
            <w:r>
              <w:rPr>
                <w:b/>
                <w:bCs/>
                <w:color w:val="000000"/>
                <w:szCs w:val="21"/>
                <w:u w:val="single"/>
              </w:rPr>
              <w:t>S</w:t>
            </w:r>
          </w:p>
        </w:tc>
        <w:tc>
          <w:tcPr>
            <w:tcW w:w="2181" w:type="dxa"/>
            <w:vAlign w:val="center"/>
          </w:tcPr>
          <w:p>
            <w:pPr>
              <w:jc w:val="center"/>
              <w:rPr>
                <w:b/>
                <w:bCs/>
                <w:color w:val="000000"/>
                <w:szCs w:val="21"/>
                <w:u w:val="single"/>
              </w:rPr>
            </w:pPr>
            <w:r>
              <w:rPr>
                <w:b/>
                <w:bCs/>
                <w:color w:val="000000"/>
                <w:szCs w:val="21"/>
                <w:u w:val="single"/>
              </w:rPr>
              <w:t>0.01</w:t>
            </w:r>
          </w:p>
        </w:tc>
        <w:tc>
          <w:tcPr>
            <w:tcW w:w="2179" w:type="dxa"/>
            <w:vAlign w:val="center"/>
          </w:tcPr>
          <w:p>
            <w:pPr>
              <w:jc w:val="center"/>
              <w:rPr>
                <w:b/>
                <w:bCs/>
                <w:color w:val="000000"/>
                <w:szCs w:val="21"/>
                <w:u w:val="single"/>
              </w:rPr>
            </w:pPr>
            <w:r>
              <w:rPr>
                <w:b/>
                <w:bCs/>
                <w:color w:val="000000"/>
                <w:szCs w:val="21"/>
                <w:u w:val="single"/>
              </w:rPr>
              <w:t>/</w:t>
            </w:r>
          </w:p>
        </w:tc>
        <w:tc>
          <w:tcPr>
            <w:tcW w:w="2177" w:type="dxa"/>
            <w:vAlign w:val="center"/>
          </w:tcPr>
          <w:p>
            <w:pPr>
              <w:jc w:val="center"/>
              <w:rPr>
                <w:b/>
                <w:bCs/>
                <w:color w:val="000000"/>
                <w:szCs w:val="21"/>
                <w:u w:val="single"/>
              </w:rPr>
            </w:pPr>
            <w:r>
              <w:rPr>
                <w:b/>
                <w:bCs/>
                <w:color w:val="000000"/>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761" w:type="dxa"/>
            <w:vAlign w:val="center"/>
          </w:tcPr>
          <w:p>
            <w:pPr>
              <w:jc w:val="center"/>
              <w:rPr>
                <w:b/>
                <w:bCs/>
                <w:color w:val="000000"/>
                <w:szCs w:val="21"/>
                <w:u w:val="single"/>
              </w:rPr>
            </w:pPr>
            <w:r>
              <w:rPr>
                <w:b/>
                <w:bCs/>
                <w:color w:val="000000"/>
                <w:szCs w:val="21"/>
                <w:u w:val="single"/>
              </w:rPr>
              <w:t>4</w:t>
            </w:r>
          </w:p>
        </w:tc>
        <w:tc>
          <w:tcPr>
            <w:tcW w:w="1648" w:type="dxa"/>
            <w:vAlign w:val="center"/>
          </w:tcPr>
          <w:p>
            <w:pPr>
              <w:jc w:val="center"/>
              <w:rPr>
                <w:b/>
                <w:bCs/>
                <w:color w:val="000000"/>
                <w:szCs w:val="21"/>
                <w:u w:val="single"/>
              </w:rPr>
            </w:pPr>
            <w:r>
              <w:rPr>
                <w:b/>
                <w:bCs/>
                <w:color w:val="000000"/>
                <w:szCs w:val="21"/>
                <w:u w:val="single"/>
              </w:rPr>
              <w:t>NH</w:t>
            </w:r>
            <w:r>
              <w:rPr>
                <w:b/>
                <w:bCs/>
                <w:color w:val="000000"/>
                <w:szCs w:val="21"/>
                <w:u w:val="single"/>
                <w:vertAlign w:val="subscript"/>
              </w:rPr>
              <w:t>3</w:t>
            </w:r>
          </w:p>
        </w:tc>
        <w:tc>
          <w:tcPr>
            <w:tcW w:w="2181" w:type="dxa"/>
            <w:vAlign w:val="center"/>
          </w:tcPr>
          <w:p>
            <w:pPr>
              <w:jc w:val="center"/>
              <w:rPr>
                <w:b/>
                <w:bCs/>
                <w:color w:val="000000"/>
                <w:szCs w:val="21"/>
                <w:u w:val="single"/>
              </w:rPr>
            </w:pPr>
            <w:r>
              <w:rPr>
                <w:b/>
                <w:bCs/>
                <w:color w:val="000000"/>
                <w:szCs w:val="21"/>
                <w:u w:val="single"/>
              </w:rPr>
              <w:t>0.20</w:t>
            </w:r>
          </w:p>
        </w:tc>
        <w:tc>
          <w:tcPr>
            <w:tcW w:w="2179" w:type="dxa"/>
            <w:vAlign w:val="center"/>
          </w:tcPr>
          <w:p>
            <w:pPr>
              <w:jc w:val="center"/>
              <w:rPr>
                <w:b/>
                <w:bCs/>
                <w:color w:val="000000"/>
                <w:szCs w:val="21"/>
                <w:u w:val="single"/>
              </w:rPr>
            </w:pPr>
            <w:r>
              <w:rPr>
                <w:b/>
                <w:bCs/>
                <w:color w:val="000000"/>
                <w:szCs w:val="21"/>
                <w:u w:val="single"/>
              </w:rPr>
              <w:t>/</w:t>
            </w:r>
          </w:p>
        </w:tc>
        <w:tc>
          <w:tcPr>
            <w:tcW w:w="2177" w:type="dxa"/>
            <w:vAlign w:val="center"/>
          </w:tcPr>
          <w:p>
            <w:pPr>
              <w:jc w:val="center"/>
              <w:rPr>
                <w:b/>
                <w:bCs/>
                <w:color w:val="000000"/>
                <w:szCs w:val="21"/>
                <w:u w:val="single"/>
              </w:rPr>
            </w:pPr>
            <w:r>
              <w:rPr>
                <w:b/>
                <w:bCs/>
                <w:color w:val="000000"/>
                <w:szCs w:val="21"/>
                <w:u w:val="single"/>
              </w:rPr>
              <w:t>/</w:t>
            </w:r>
          </w:p>
        </w:tc>
      </w:tr>
    </w:tbl>
    <w:p>
      <w:pPr>
        <w:adjustRightInd w:val="0"/>
        <w:snapToGrid w:val="0"/>
        <w:spacing w:line="500" w:lineRule="exact"/>
        <w:ind w:firstLine="482" w:firstLineChars="200"/>
        <w:rPr>
          <w:b/>
          <w:bCs/>
          <w:color w:val="000000"/>
          <w:sz w:val="24"/>
          <w:u w:val="single"/>
        </w:rPr>
      </w:pPr>
      <w:r>
        <w:rPr>
          <w:b/>
          <w:bCs/>
          <w:color w:val="000000"/>
          <w:sz w:val="24"/>
          <w:u w:val="single"/>
        </w:rPr>
        <w:t>四、本项目污染排放源强</w:t>
      </w:r>
    </w:p>
    <w:p>
      <w:pPr>
        <w:adjustRightInd w:val="0"/>
        <w:snapToGrid w:val="0"/>
        <w:spacing w:line="500" w:lineRule="exact"/>
        <w:ind w:firstLine="482" w:firstLineChars="200"/>
        <w:rPr>
          <w:b/>
          <w:bCs/>
          <w:color w:val="000000"/>
          <w:sz w:val="24"/>
          <w:u w:val="single"/>
        </w:rPr>
      </w:pPr>
      <w:r>
        <w:rPr>
          <w:b/>
          <w:bCs/>
          <w:color w:val="000000"/>
          <w:sz w:val="24"/>
          <w:u w:val="single"/>
        </w:rPr>
        <w:t>本次预测污染源情况见表4-13。</w:t>
      </w:r>
    </w:p>
    <w:p>
      <w:pPr>
        <w:adjustRightInd w:val="0"/>
        <w:snapToGrid w:val="0"/>
        <w:spacing w:beforeLines="50" w:afterLines="50"/>
        <w:ind w:firstLine="422" w:firstLineChars="200"/>
        <w:jc w:val="center"/>
        <w:rPr>
          <w:b/>
          <w:bCs/>
          <w:color w:val="000000"/>
          <w:szCs w:val="21"/>
          <w:u w:val="single"/>
        </w:rPr>
      </w:pPr>
      <w:r>
        <w:rPr>
          <w:b/>
          <w:bCs/>
          <w:color w:val="000000"/>
          <w:szCs w:val="21"/>
          <w:u w:val="single"/>
        </w:rPr>
        <w:t>表4-13项目污染物排放源强</w:t>
      </w:r>
    </w:p>
    <w:tbl>
      <w:tblPr>
        <w:tblStyle w:val="44"/>
        <w:tblW w:w="900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256"/>
        <w:gridCol w:w="975"/>
        <w:gridCol w:w="900"/>
        <w:gridCol w:w="1116"/>
        <w:gridCol w:w="977"/>
        <w:gridCol w:w="695"/>
        <w:gridCol w:w="338"/>
        <w:gridCol w:w="832"/>
        <w:gridCol w:w="9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39" w:type="dxa"/>
            <w:vMerge w:val="restart"/>
            <w:vAlign w:val="center"/>
          </w:tcPr>
          <w:p>
            <w:pPr>
              <w:adjustRightInd w:val="0"/>
              <w:snapToGrid w:val="0"/>
              <w:spacing w:line="240" w:lineRule="exact"/>
              <w:jc w:val="center"/>
              <w:rPr>
                <w:b/>
                <w:bCs/>
                <w:color w:val="000000"/>
                <w:szCs w:val="21"/>
                <w:u w:val="single"/>
              </w:rPr>
            </w:pPr>
            <w:r>
              <w:rPr>
                <w:b/>
                <w:bCs/>
                <w:color w:val="000000"/>
                <w:szCs w:val="21"/>
                <w:u w:val="single"/>
              </w:rPr>
              <w:t>点源</w:t>
            </w:r>
          </w:p>
        </w:tc>
        <w:tc>
          <w:tcPr>
            <w:tcW w:w="1256" w:type="dxa"/>
            <w:vMerge w:val="restart"/>
            <w:vAlign w:val="center"/>
          </w:tcPr>
          <w:p>
            <w:pPr>
              <w:spacing w:line="240" w:lineRule="exact"/>
              <w:jc w:val="center"/>
              <w:rPr>
                <w:b/>
                <w:bCs/>
                <w:color w:val="000000"/>
                <w:spacing w:val="-20"/>
                <w:szCs w:val="21"/>
                <w:u w:val="single"/>
              </w:rPr>
            </w:pPr>
            <w:r>
              <w:rPr>
                <w:b/>
                <w:bCs/>
                <w:color w:val="000000"/>
                <w:spacing w:val="-20"/>
                <w:szCs w:val="21"/>
                <w:u w:val="single"/>
              </w:rPr>
              <w:t>排气筒高度（m）</w:t>
            </w:r>
          </w:p>
        </w:tc>
        <w:tc>
          <w:tcPr>
            <w:tcW w:w="975" w:type="dxa"/>
            <w:vMerge w:val="restart"/>
            <w:vAlign w:val="center"/>
          </w:tcPr>
          <w:p>
            <w:pPr>
              <w:spacing w:line="240" w:lineRule="exact"/>
              <w:jc w:val="center"/>
              <w:rPr>
                <w:b/>
                <w:bCs/>
                <w:color w:val="000000"/>
                <w:spacing w:val="-20"/>
                <w:szCs w:val="21"/>
                <w:u w:val="single"/>
              </w:rPr>
            </w:pPr>
            <w:r>
              <w:rPr>
                <w:b/>
                <w:bCs/>
                <w:color w:val="000000"/>
                <w:spacing w:val="-20"/>
                <w:szCs w:val="21"/>
                <w:u w:val="single"/>
              </w:rPr>
              <w:t>排气筒内径（m）</w:t>
            </w:r>
          </w:p>
        </w:tc>
        <w:tc>
          <w:tcPr>
            <w:tcW w:w="900" w:type="dxa"/>
            <w:vMerge w:val="restart"/>
            <w:vAlign w:val="center"/>
          </w:tcPr>
          <w:p>
            <w:pPr>
              <w:spacing w:line="240" w:lineRule="exact"/>
              <w:jc w:val="center"/>
              <w:rPr>
                <w:b/>
                <w:bCs/>
                <w:color w:val="000000"/>
                <w:spacing w:val="-20"/>
                <w:szCs w:val="21"/>
                <w:u w:val="single"/>
              </w:rPr>
            </w:pPr>
            <w:r>
              <w:rPr>
                <w:b/>
                <w:bCs/>
                <w:color w:val="000000"/>
                <w:spacing w:val="-20"/>
                <w:szCs w:val="21"/>
                <w:u w:val="single"/>
              </w:rPr>
              <w:t>烟气量（m</w:t>
            </w:r>
            <w:r>
              <w:rPr>
                <w:b/>
                <w:bCs/>
                <w:color w:val="000000"/>
                <w:spacing w:val="-20"/>
                <w:szCs w:val="21"/>
                <w:u w:val="single"/>
                <w:vertAlign w:val="superscript"/>
              </w:rPr>
              <w:t>3</w:t>
            </w:r>
            <w:r>
              <w:rPr>
                <w:b/>
                <w:bCs/>
                <w:color w:val="000000"/>
                <w:spacing w:val="-20"/>
                <w:szCs w:val="21"/>
                <w:u w:val="single"/>
              </w:rPr>
              <w:t>/a）</w:t>
            </w:r>
          </w:p>
        </w:tc>
        <w:tc>
          <w:tcPr>
            <w:tcW w:w="1116" w:type="dxa"/>
            <w:vMerge w:val="restart"/>
            <w:vAlign w:val="center"/>
          </w:tcPr>
          <w:p>
            <w:pPr>
              <w:spacing w:line="240" w:lineRule="exact"/>
              <w:jc w:val="center"/>
              <w:rPr>
                <w:b/>
                <w:bCs/>
                <w:color w:val="000000"/>
                <w:szCs w:val="21"/>
                <w:u w:val="single"/>
              </w:rPr>
            </w:pPr>
            <w:r>
              <w:rPr>
                <w:b/>
                <w:bCs/>
                <w:color w:val="000000"/>
                <w:szCs w:val="21"/>
                <w:u w:val="single"/>
              </w:rPr>
              <w:t>烟气出口温度（</w:t>
            </w:r>
            <w:r>
              <w:rPr>
                <w:rFonts w:hint="eastAsia" w:ascii="宋体" w:hAnsi="宋体" w:cs="宋体"/>
                <w:b/>
                <w:bCs/>
                <w:color w:val="000000"/>
                <w:szCs w:val="21"/>
                <w:u w:val="single"/>
              </w:rPr>
              <w:t>℃</w:t>
            </w:r>
            <w:r>
              <w:rPr>
                <w:b/>
                <w:bCs/>
                <w:color w:val="000000"/>
                <w:szCs w:val="21"/>
                <w:u w:val="single"/>
              </w:rPr>
              <w:t>）</w:t>
            </w:r>
          </w:p>
        </w:tc>
        <w:tc>
          <w:tcPr>
            <w:tcW w:w="977" w:type="dxa"/>
            <w:vMerge w:val="restart"/>
            <w:vAlign w:val="center"/>
          </w:tcPr>
          <w:p>
            <w:pPr>
              <w:spacing w:line="240" w:lineRule="exact"/>
              <w:jc w:val="center"/>
              <w:rPr>
                <w:b/>
                <w:bCs/>
                <w:color w:val="000000"/>
                <w:szCs w:val="21"/>
                <w:u w:val="single"/>
              </w:rPr>
            </w:pPr>
            <w:r>
              <w:rPr>
                <w:b/>
                <w:bCs/>
                <w:color w:val="000000"/>
                <w:szCs w:val="21"/>
                <w:u w:val="single"/>
              </w:rPr>
              <w:t>年排放天数（d）</w:t>
            </w:r>
          </w:p>
        </w:tc>
        <w:tc>
          <w:tcPr>
            <w:tcW w:w="695" w:type="dxa"/>
            <w:vMerge w:val="restart"/>
            <w:vAlign w:val="center"/>
          </w:tcPr>
          <w:p>
            <w:pPr>
              <w:spacing w:line="240" w:lineRule="exact"/>
              <w:jc w:val="center"/>
              <w:rPr>
                <w:b/>
                <w:bCs/>
                <w:color w:val="000000"/>
                <w:szCs w:val="21"/>
                <w:u w:val="single"/>
              </w:rPr>
            </w:pPr>
            <w:r>
              <w:rPr>
                <w:b/>
                <w:bCs/>
                <w:color w:val="000000"/>
                <w:szCs w:val="21"/>
                <w:u w:val="single"/>
              </w:rPr>
              <w:t>排放工况</w:t>
            </w:r>
          </w:p>
        </w:tc>
        <w:tc>
          <w:tcPr>
            <w:tcW w:w="2149" w:type="dxa"/>
            <w:gridSpan w:val="3"/>
            <w:vAlign w:val="center"/>
          </w:tcPr>
          <w:p>
            <w:pPr>
              <w:adjustRightInd w:val="0"/>
              <w:snapToGrid w:val="0"/>
              <w:spacing w:line="240" w:lineRule="exact"/>
              <w:jc w:val="center"/>
              <w:rPr>
                <w:b/>
                <w:bCs/>
                <w:color w:val="000000"/>
                <w:szCs w:val="21"/>
                <w:u w:val="single"/>
              </w:rPr>
            </w:pPr>
            <w:r>
              <w:rPr>
                <w:b/>
                <w:bCs/>
                <w:color w:val="000000"/>
                <w:szCs w:val="21"/>
                <w:u w:val="single"/>
              </w:rPr>
              <w:t>污染物排放量(t/a)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9" w:type="dxa"/>
            <w:vMerge w:val="continue"/>
            <w:vAlign w:val="center"/>
          </w:tcPr>
          <w:p>
            <w:pPr>
              <w:tabs>
                <w:tab w:val="center" w:pos="618"/>
              </w:tabs>
              <w:adjustRightInd w:val="0"/>
              <w:snapToGrid w:val="0"/>
              <w:spacing w:line="240" w:lineRule="exact"/>
              <w:jc w:val="center"/>
              <w:rPr>
                <w:b/>
                <w:bCs/>
                <w:color w:val="000000"/>
                <w:szCs w:val="21"/>
                <w:u w:val="single"/>
              </w:rPr>
            </w:pPr>
          </w:p>
        </w:tc>
        <w:tc>
          <w:tcPr>
            <w:tcW w:w="1256" w:type="dxa"/>
            <w:vMerge w:val="continue"/>
            <w:vAlign w:val="center"/>
          </w:tcPr>
          <w:p>
            <w:pPr>
              <w:tabs>
                <w:tab w:val="center" w:pos="618"/>
              </w:tabs>
              <w:adjustRightInd w:val="0"/>
              <w:snapToGrid w:val="0"/>
              <w:spacing w:line="240" w:lineRule="exact"/>
              <w:jc w:val="center"/>
              <w:rPr>
                <w:b/>
                <w:bCs/>
                <w:color w:val="000000"/>
                <w:szCs w:val="21"/>
                <w:u w:val="single"/>
              </w:rPr>
            </w:pPr>
          </w:p>
        </w:tc>
        <w:tc>
          <w:tcPr>
            <w:tcW w:w="975" w:type="dxa"/>
            <w:vMerge w:val="continue"/>
            <w:vAlign w:val="center"/>
          </w:tcPr>
          <w:p>
            <w:pPr>
              <w:tabs>
                <w:tab w:val="center" w:pos="618"/>
              </w:tabs>
              <w:adjustRightInd w:val="0"/>
              <w:snapToGrid w:val="0"/>
              <w:spacing w:line="240" w:lineRule="exact"/>
              <w:jc w:val="center"/>
              <w:rPr>
                <w:b/>
                <w:bCs/>
                <w:color w:val="000000"/>
                <w:szCs w:val="21"/>
                <w:u w:val="single"/>
              </w:rPr>
            </w:pPr>
          </w:p>
        </w:tc>
        <w:tc>
          <w:tcPr>
            <w:tcW w:w="900" w:type="dxa"/>
            <w:vMerge w:val="continue"/>
            <w:vAlign w:val="center"/>
          </w:tcPr>
          <w:p>
            <w:pPr>
              <w:tabs>
                <w:tab w:val="center" w:pos="618"/>
              </w:tabs>
              <w:adjustRightInd w:val="0"/>
              <w:snapToGrid w:val="0"/>
              <w:spacing w:line="240" w:lineRule="exact"/>
              <w:jc w:val="center"/>
              <w:rPr>
                <w:b/>
                <w:bCs/>
                <w:color w:val="000000"/>
                <w:szCs w:val="21"/>
                <w:u w:val="single"/>
              </w:rPr>
            </w:pPr>
          </w:p>
        </w:tc>
        <w:tc>
          <w:tcPr>
            <w:tcW w:w="1116" w:type="dxa"/>
            <w:vMerge w:val="continue"/>
            <w:vAlign w:val="center"/>
          </w:tcPr>
          <w:p>
            <w:pPr>
              <w:tabs>
                <w:tab w:val="center" w:pos="618"/>
              </w:tabs>
              <w:adjustRightInd w:val="0"/>
              <w:snapToGrid w:val="0"/>
              <w:spacing w:line="240" w:lineRule="exact"/>
              <w:jc w:val="center"/>
              <w:rPr>
                <w:b/>
                <w:bCs/>
                <w:color w:val="000000"/>
                <w:szCs w:val="21"/>
                <w:u w:val="single"/>
              </w:rPr>
            </w:pPr>
          </w:p>
        </w:tc>
        <w:tc>
          <w:tcPr>
            <w:tcW w:w="977" w:type="dxa"/>
            <w:vMerge w:val="continue"/>
            <w:vAlign w:val="center"/>
          </w:tcPr>
          <w:p>
            <w:pPr>
              <w:tabs>
                <w:tab w:val="center" w:pos="618"/>
              </w:tabs>
              <w:adjustRightInd w:val="0"/>
              <w:snapToGrid w:val="0"/>
              <w:spacing w:line="240" w:lineRule="exact"/>
              <w:jc w:val="center"/>
              <w:rPr>
                <w:b/>
                <w:bCs/>
                <w:color w:val="000000"/>
                <w:szCs w:val="21"/>
                <w:u w:val="single"/>
              </w:rPr>
            </w:pPr>
          </w:p>
        </w:tc>
        <w:tc>
          <w:tcPr>
            <w:tcW w:w="695" w:type="dxa"/>
            <w:vMerge w:val="continue"/>
            <w:vAlign w:val="center"/>
          </w:tcPr>
          <w:p>
            <w:pPr>
              <w:tabs>
                <w:tab w:val="center" w:pos="618"/>
              </w:tabs>
              <w:adjustRightInd w:val="0"/>
              <w:snapToGrid w:val="0"/>
              <w:spacing w:line="240" w:lineRule="exact"/>
              <w:jc w:val="center"/>
              <w:rPr>
                <w:b/>
                <w:bCs/>
                <w:color w:val="000000"/>
                <w:szCs w:val="21"/>
                <w:u w:val="single"/>
              </w:rPr>
            </w:pPr>
          </w:p>
        </w:tc>
        <w:tc>
          <w:tcPr>
            <w:tcW w:w="1170" w:type="dxa"/>
            <w:gridSpan w:val="2"/>
            <w:vAlign w:val="center"/>
          </w:tcPr>
          <w:p>
            <w:pPr>
              <w:adjustRightInd w:val="0"/>
              <w:snapToGrid w:val="0"/>
              <w:spacing w:line="240" w:lineRule="exact"/>
              <w:jc w:val="center"/>
              <w:rPr>
                <w:b/>
                <w:bCs/>
                <w:color w:val="000000"/>
                <w:szCs w:val="21"/>
                <w:u w:val="single"/>
              </w:rPr>
            </w:pPr>
            <w:r>
              <w:rPr>
                <w:b/>
                <w:bCs/>
                <w:color w:val="000000"/>
                <w:szCs w:val="21"/>
                <w:u w:val="single"/>
              </w:rPr>
              <w:t>SO</w:t>
            </w:r>
            <w:r>
              <w:rPr>
                <w:b/>
                <w:bCs/>
                <w:color w:val="000000"/>
                <w:szCs w:val="21"/>
                <w:u w:val="single"/>
                <w:vertAlign w:val="subscript"/>
              </w:rPr>
              <w:t>2</w:t>
            </w:r>
          </w:p>
        </w:tc>
        <w:tc>
          <w:tcPr>
            <w:tcW w:w="979" w:type="dxa"/>
            <w:vAlign w:val="center"/>
          </w:tcPr>
          <w:p>
            <w:pPr>
              <w:adjustRightInd w:val="0"/>
              <w:snapToGrid w:val="0"/>
              <w:spacing w:line="240" w:lineRule="exact"/>
              <w:jc w:val="center"/>
              <w:rPr>
                <w:b/>
                <w:bCs/>
                <w:color w:val="000000"/>
                <w:szCs w:val="21"/>
                <w:u w:val="single"/>
              </w:rPr>
            </w:pPr>
            <w:r>
              <w:rPr>
                <w:b/>
                <w:bCs/>
                <w:color w:val="000000"/>
                <w:szCs w:val="21"/>
                <w:u w:val="single"/>
              </w:rPr>
              <w:t>NO</w:t>
            </w:r>
            <w:r>
              <w:rPr>
                <w:b/>
                <w:bCs/>
                <w:color w:val="000000"/>
                <w:szCs w:val="21"/>
                <w:u w:val="single"/>
                <w:vertAlign w:val="sub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39" w:type="dxa"/>
            <w:vAlign w:val="center"/>
          </w:tcPr>
          <w:p>
            <w:pPr>
              <w:adjustRightInd w:val="0"/>
              <w:snapToGrid w:val="0"/>
              <w:spacing w:line="240" w:lineRule="exact"/>
              <w:rPr>
                <w:b/>
                <w:bCs/>
                <w:color w:val="000000"/>
                <w:szCs w:val="21"/>
                <w:u w:val="single"/>
              </w:rPr>
            </w:pPr>
            <w:r>
              <w:rPr>
                <w:b/>
                <w:bCs/>
                <w:color w:val="000000"/>
                <w:szCs w:val="21"/>
                <w:u w:val="single"/>
              </w:rPr>
              <w:t>沼气燃烧废气</w:t>
            </w:r>
          </w:p>
        </w:tc>
        <w:tc>
          <w:tcPr>
            <w:tcW w:w="1256" w:type="dxa"/>
            <w:vAlign w:val="center"/>
          </w:tcPr>
          <w:p>
            <w:pPr>
              <w:adjustRightInd w:val="0"/>
              <w:snapToGrid w:val="0"/>
              <w:spacing w:line="240" w:lineRule="exact"/>
              <w:jc w:val="center"/>
              <w:rPr>
                <w:b/>
                <w:bCs/>
                <w:color w:val="000000"/>
                <w:szCs w:val="21"/>
                <w:u w:val="single"/>
              </w:rPr>
            </w:pPr>
            <w:r>
              <w:rPr>
                <w:b/>
                <w:bCs/>
                <w:color w:val="000000"/>
                <w:szCs w:val="21"/>
                <w:u w:val="single"/>
              </w:rPr>
              <w:t>8</w:t>
            </w:r>
          </w:p>
        </w:tc>
        <w:tc>
          <w:tcPr>
            <w:tcW w:w="975" w:type="dxa"/>
            <w:vAlign w:val="center"/>
          </w:tcPr>
          <w:p>
            <w:pPr>
              <w:adjustRightInd w:val="0"/>
              <w:snapToGrid w:val="0"/>
              <w:spacing w:line="240" w:lineRule="exact"/>
              <w:jc w:val="center"/>
              <w:rPr>
                <w:b/>
                <w:bCs/>
                <w:color w:val="000000"/>
                <w:szCs w:val="21"/>
                <w:u w:val="single"/>
              </w:rPr>
            </w:pPr>
            <w:r>
              <w:rPr>
                <w:rFonts w:hint="eastAsia"/>
                <w:b/>
                <w:bCs/>
                <w:color w:val="000000"/>
                <w:szCs w:val="21"/>
                <w:u w:val="single"/>
              </w:rPr>
              <w:t>0.3</w:t>
            </w:r>
          </w:p>
        </w:tc>
        <w:tc>
          <w:tcPr>
            <w:tcW w:w="900" w:type="dxa"/>
            <w:vAlign w:val="center"/>
          </w:tcPr>
          <w:p>
            <w:pPr>
              <w:adjustRightInd w:val="0"/>
              <w:snapToGrid w:val="0"/>
              <w:spacing w:line="240" w:lineRule="exact"/>
              <w:jc w:val="center"/>
              <w:rPr>
                <w:b/>
                <w:bCs/>
                <w:color w:val="000000"/>
                <w:szCs w:val="21"/>
                <w:u w:val="single"/>
              </w:rPr>
            </w:pPr>
            <w:r>
              <w:rPr>
                <w:b/>
                <w:bCs/>
                <w:szCs w:val="21"/>
                <w:u w:val="single"/>
              </w:rPr>
              <w:t>796595</w:t>
            </w:r>
          </w:p>
        </w:tc>
        <w:tc>
          <w:tcPr>
            <w:tcW w:w="1116" w:type="dxa"/>
            <w:vAlign w:val="center"/>
          </w:tcPr>
          <w:p>
            <w:pPr>
              <w:adjustRightInd w:val="0"/>
              <w:snapToGrid w:val="0"/>
              <w:spacing w:line="240" w:lineRule="exact"/>
              <w:jc w:val="center"/>
              <w:rPr>
                <w:b/>
                <w:bCs/>
                <w:color w:val="000000"/>
                <w:szCs w:val="21"/>
                <w:u w:val="single"/>
              </w:rPr>
            </w:pPr>
            <w:r>
              <w:rPr>
                <w:b/>
                <w:bCs/>
                <w:color w:val="000000"/>
                <w:szCs w:val="21"/>
                <w:u w:val="single"/>
              </w:rPr>
              <w:t>100</w:t>
            </w:r>
          </w:p>
        </w:tc>
        <w:tc>
          <w:tcPr>
            <w:tcW w:w="977" w:type="dxa"/>
            <w:vAlign w:val="center"/>
          </w:tcPr>
          <w:p>
            <w:pPr>
              <w:adjustRightInd w:val="0"/>
              <w:snapToGrid w:val="0"/>
              <w:spacing w:line="240" w:lineRule="exact"/>
              <w:jc w:val="center"/>
              <w:rPr>
                <w:b/>
                <w:bCs/>
                <w:color w:val="000000"/>
                <w:szCs w:val="21"/>
                <w:u w:val="single"/>
              </w:rPr>
            </w:pPr>
            <w:r>
              <w:rPr>
                <w:b/>
                <w:bCs/>
                <w:color w:val="000000"/>
                <w:szCs w:val="21"/>
                <w:u w:val="single"/>
              </w:rPr>
              <w:t>365</w:t>
            </w:r>
          </w:p>
        </w:tc>
        <w:tc>
          <w:tcPr>
            <w:tcW w:w="695" w:type="dxa"/>
            <w:vAlign w:val="center"/>
          </w:tcPr>
          <w:p>
            <w:pPr>
              <w:tabs>
                <w:tab w:val="center" w:pos="618"/>
              </w:tabs>
              <w:adjustRightInd w:val="0"/>
              <w:snapToGrid w:val="0"/>
              <w:spacing w:line="240" w:lineRule="exact"/>
              <w:jc w:val="center"/>
              <w:rPr>
                <w:b/>
                <w:bCs/>
                <w:color w:val="000000"/>
                <w:szCs w:val="21"/>
                <w:u w:val="single"/>
              </w:rPr>
            </w:pPr>
            <w:r>
              <w:rPr>
                <w:b/>
                <w:bCs/>
                <w:color w:val="000000"/>
                <w:szCs w:val="21"/>
                <w:u w:val="single"/>
              </w:rPr>
              <w:t>4h/d</w:t>
            </w:r>
          </w:p>
        </w:tc>
        <w:tc>
          <w:tcPr>
            <w:tcW w:w="1170" w:type="dxa"/>
            <w:gridSpan w:val="2"/>
            <w:vAlign w:val="center"/>
          </w:tcPr>
          <w:p>
            <w:pPr>
              <w:adjustRightInd w:val="0"/>
              <w:snapToGrid w:val="0"/>
              <w:spacing w:line="240" w:lineRule="exact"/>
              <w:jc w:val="center"/>
              <w:rPr>
                <w:b/>
                <w:bCs/>
                <w:color w:val="000000"/>
                <w:szCs w:val="21"/>
                <w:u w:val="single"/>
              </w:rPr>
            </w:pPr>
            <w:r>
              <w:rPr>
                <w:b/>
                <w:bCs/>
                <w:color w:val="000000"/>
                <w:szCs w:val="21"/>
                <w:u w:val="single"/>
              </w:rPr>
              <w:t>0.0018</w:t>
            </w:r>
          </w:p>
        </w:tc>
        <w:tc>
          <w:tcPr>
            <w:tcW w:w="979" w:type="dxa"/>
            <w:vAlign w:val="center"/>
          </w:tcPr>
          <w:p>
            <w:pPr>
              <w:adjustRightInd w:val="0"/>
              <w:snapToGrid w:val="0"/>
              <w:spacing w:line="240" w:lineRule="exact"/>
              <w:jc w:val="center"/>
              <w:rPr>
                <w:b/>
                <w:bCs/>
                <w:color w:val="000000"/>
                <w:szCs w:val="21"/>
                <w:u w:val="single"/>
              </w:rPr>
            </w:pPr>
            <w:r>
              <w:rPr>
                <w:b/>
                <w:bCs/>
                <w:color w:val="000000"/>
                <w:szCs w:val="21"/>
                <w:u w:val="single"/>
              </w:rPr>
              <w:t>0.0</w:t>
            </w:r>
            <w:r>
              <w:rPr>
                <w:rFonts w:hint="eastAsia"/>
                <w:b/>
                <w:bCs/>
                <w:color w:val="000000"/>
                <w:szCs w:val="21"/>
                <w:u w:val="single"/>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95" w:type="dxa"/>
            <w:gridSpan w:val="2"/>
            <w:vMerge w:val="restart"/>
            <w:vAlign w:val="center"/>
          </w:tcPr>
          <w:p>
            <w:pPr>
              <w:adjustRightInd w:val="0"/>
              <w:snapToGrid w:val="0"/>
              <w:spacing w:line="240" w:lineRule="exact"/>
              <w:jc w:val="center"/>
              <w:rPr>
                <w:b/>
                <w:bCs/>
                <w:color w:val="000000"/>
                <w:szCs w:val="21"/>
                <w:u w:val="single"/>
              </w:rPr>
            </w:pPr>
            <w:r>
              <w:rPr>
                <w:b/>
                <w:bCs/>
                <w:color w:val="000000"/>
                <w:szCs w:val="21"/>
                <w:u w:val="single"/>
              </w:rPr>
              <w:t>面源</w:t>
            </w:r>
          </w:p>
        </w:tc>
        <w:tc>
          <w:tcPr>
            <w:tcW w:w="1875" w:type="dxa"/>
            <w:gridSpan w:val="2"/>
            <w:vMerge w:val="restart"/>
            <w:vAlign w:val="center"/>
          </w:tcPr>
          <w:p>
            <w:pPr>
              <w:jc w:val="center"/>
              <w:rPr>
                <w:b/>
                <w:bCs/>
                <w:color w:val="000000"/>
                <w:szCs w:val="21"/>
                <w:u w:val="single"/>
              </w:rPr>
            </w:pPr>
            <w:r>
              <w:rPr>
                <w:b/>
                <w:bCs/>
                <w:color w:val="000000"/>
                <w:szCs w:val="21"/>
                <w:u w:val="single"/>
              </w:rPr>
              <w:t>占地面积（m</w:t>
            </w:r>
            <w:r>
              <w:rPr>
                <w:b/>
                <w:bCs/>
                <w:color w:val="000000"/>
                <w:szCs w:val="21"/>
                <w:u w:val="single"/>
                <w:vertAlign w:val="superscript"/>
              </w:rPr>
              <w:t>2</w:t>
            </w:r>
            <w:r>
              <w:rPr>
                <w:b/>
                <w:bCs/>
                <w:color w:val="000000"/>
                <w:szCs w:val="21"/>
                <w:u w:val="single"/>
              </w:rPr>
              <w:t>）</w:t>
            </w:r>
          </w:p>
        </w:tc>
        <w:tc>
          <w:tcPr>
            <w:tcW w:w="2093" w:type="dxa"/>
            <w:gridSpan w:val="2"/>
            <w:vMerge w:val="restart"/>
            <w:vAlign w:val="center"/>
          </w:tcPr>
          <w:p>
            <w:pPr>
              <w:jc w:val="center"/>
              <w:rPr>
                <w:b/>
                <w:bCs/>
                <w:color w:val="000000"/>
                <w:szCs w:val="21"/>
                <w:u w:val="single"/>
              </w:rPr>
            </w:pPr>
            <w:r>
              <w:rPr>
                <w:b/>
                <w:bCs/>
                <w:color w:val="000000"/>
                <w:szCs w:val="21"/>
                <w:u w:val="single"/>
              </w:rPr>
              <w:t>面源特征（m）</w:t>
            </w:r>
          </w:p>
        </w:tc>
        <w:tc>
          <w:tcPr>
            <w:tcW w:w="2844" w:type="dxa"/>
            <w:gridSpan w:val="4"/>
            <w:vAlign w:val="center"/>
          </w:tcPr>
          <w:p>
            <w:pPr>
              <w:adjustRightInd w:val="0"/>
              <w:snapToGrid w:val="0"/>
              <w:spacing w:line="240" w:lineRule="exact"/>
              <w:jc w:val="center"/>
              <w:rPr>
                <w:b/>
                <w:bCs/>
                <w:color w:val="000000"/>
                <w:szCs w:val="21"/>
                <w:u w:val="single"/>
              </w:rPr>
            </w:pPr>
            <w:r>
              <w:rPr>
                <w:b/>
                <w:bCs/>
                <w:color w:val="000000"/>
                <w:szCs w:val="21"/>
                <w:u w:val="single"/>
              </w:rPr>
              <w:t>污染物排放量(t/a)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95" w:type="dxa"/>
            <w:gridSpan w:val="2"/>
            <w:vMerge w:val="continue"/>
            <w:vAlign w:val="center"/>
          </w:tcPr>
          <w:p>
            <w:pPr>
              <w:adjustRightInd w:val="0"/>
              <w:snapToGrid w:val="0"/>
              <w:spacing w:line="240" w:lineRule="exact"/>
              <w:jc w:val="center"/>
              <w:rPr>
                <w:b/>
                <w:bCs/>
                <w:color w:val="000000"/>
                <w:szCs w:val="21"/>
                <w:u w:val="single"/>
              </w:rPr>
            </w:pPr>
          </w:p>
        </w:tc>
        <w:tc>
          <w:tcPr>
            <w:tcW w:w="1875" w:type="dxa"/>
            <w:gridSpan w:val="2"/>
            <w:vMerge w:val="continue"/>
            <w:vAlign w:val="center"/>
          </w:tcPr>
          <w:p>
            <w:pPr>
              <w:tabs>
                <w:tab w:val="center" w:pos="618"/>
              </w:tabs>
              <w:adjustRightInd w:val="0"/>
              <w:snapToGrid w:val="0"/>
              <w:spacing w:line="240" w:lineRule="exact"/>
              <w:jc w:val="center"/>
              <w:rPr>
                <w:b/>
                <w:bCs/>
                <w:color w:val="000000"/>
                <w:szCs w:val="21"/>
                <w:u w:val="single"/>
              </w:rPr>
            </w:pPr>
          </w:p>
        </w:tc>
        <w:tc>
          <w:tcPr>
            <w:tcW w:w="2093" w:type="dxa"/>
            <w:gridSpan w:val="2"/>
            <w:vMerge w:val="continue"/>
            <w:vAlign w:val="center"/>
          </w:tcPr>
          <w:p>
            <w:pPr>
              <w:tabs>
                <w:tab w:val="center" w:pos="618"/>
              </w:tabs>
              <w:adjustRightInd w:val="0"/>
              <w:snapToGrid w:val="0"/>
              <w:spacing w:line="240" w:lineRule="exact"/>
              <w:jc w:val="center"/>
              <w:rPr>
                <w:b/>
                <w:bCs/>
                <w:color w:val="000000"/>
                <w:szCs w:val="21"/>
                <w:u w:val="single"/>
              </w:rPr>
            </w:pPr>
          </w:p>
        </w:tc>
        <w:tc>
          <w:tcPr>
            <w:tcW w:w="1033" w:type="dxa"/>
            <w:gridSpan w:val="2"/>
            <w:vAlign w:val="center"/>
          </w:tcPr>
          <w:p>
            <w:pPr>
              <w:adjustRightInd w:val="0"/>
              <w:snapToGrid w:val="0"/>
              <w:spacing w:line="240" w:lineRule="exact"/>
              <w:jc w:val="center"/>
              <w:rPr>
                <w:b/>
                <w:bCs/>
                <w:color w:val="000000"/>
                <w:szCs w:val="21"/>
                <w:u w:val="single"/>
              </w:rPr>
            </w:pPr>
            <w:r>
              <w:rPr>
                <w:b/>
                <w:bCs/>
                <w:color w:val="000000"/>
                <w:szCs w:val="21"/>
                <w:u w:val="single"/>
              </w:rPr>
              <w:t>H</w:t>
            </w:r>
            <w:r>
              <w:rPr>
                <w:b/>
                <w:bCs/>
                <w:color w:val="000000"/>
                <w:szCs w:val="21"/>
                <w:u w:val="single"/>
                <w:vertAlign w:val="subscript"/>
              </w:rPr>
              <w:t>2</w:t>
            </w:r>
            <w:r>
              <w:rPr>
                <w:b/>
                <w:bCs/>
                <w:color w:val="000000"/>
                <w:szCs w:val="21"/>
                <w:u w:val="single"/>
              </w:rPr>
              <w:t>S</w:t>
            </w:r>
          </w:p>
        </w:tc>
        <w:tc>
          <w:tcPr>
            <w:tcW w:w="1811" w:type="dxa"/>
            <w:gridSpan w:val="2"/>
            <w:vAlign w:val="center"/>
          </w:tcPr>
          <w:p>
            <w:pPr>
              <w:adjustRightInd w:val="0"/>
              <w:snapToGrid w:val="0"/>
              <w:spacing w:line="240" w:lineRule="exact"/>
              <w:jc w:val="center"/>
              <w:rPr>
                <w:b/>
                <w:bCs/>
                <w:color w:val="000000"/>
                <w:szCs w:val="21"/>
                <w:u w:val="single"/>
              </w:rPr>
            </w:pPr>
            <w:r>
              <w:rPr>
                <w:b/>
                <w:bCs/>
                <w:color w:val="000000"/>
                <w:szCs w:val="21"/>
                <w:u w:val="single"/>
              </w:rPr>
              <w:t>NH</w:t>
            </w:r>
            <w:r>
              <w:rPr>
                <w:b/>
                <w:bCs/>
                <w:color w:val="000000"/>
                <w:szCs w:val="21"/>
                <w:u w:val="single"/>
                <w:vertAlign w:val="sub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95" w:type="dxa"/>
            <w:gridSpan w:val="2"/>
            <w:vAlign w:val="center"/>
          </w:tcPr>
          <w:p>
            <w:pPr>
              <w:spacing w:line="240" w:lineRule="atLeast"/>
              <w:jc w:val="center"/>
              <w:rPr>
                <w:b/>
                <w:bCs/>
                <w:color w:val="000000"/>
                <w:szCs w:val="21"/>
                <w:u w:val="single"/>
              </w:rPr>
            </w:pPr>
            <w:r>
              <w:rPr>
                <w:b/>
                <w:bCs/>
                <w:color w:val="000000"/>
                <w:szCs w:val="21"/>
                <w:u w:val="single"/>
              </w:rPr>
              <w:t>厂区</w:t>
            </w:r>
          </w:p>
        </w:tc>
        <w:tc>
          <w:tcPr>
            <w:tcW w:w="1875" w:type="dxa"/>
            <w:gridSpan w:val="2"/>
            <w:vAlign w:val="center"/>
          </w:tcPr>
          <w:p>
            <w:pPr>
              <w:adjustRightInd w:val="0"/>
              <w:snapToGrid w:val="0"/>
              <w:jc w:val="center"/>
              <w:rPr>
                <w:b/>
                <w:bCs/>
                <w:color w:val="000000"/>
                <w:szCs w:val="21"/>
                <w:u w:val="single"/>
              </w:rPr>
            </w:pPr>
            <w:r>
              <w:rPr>
                <w:b/>
                <w:bCs/>
                <w:color w:val="000000"/>
                <w:szCs w:val="21"/>
                <w:u w:val="single"/>
              </w:rPr>
              <w:t>135401</w:t>
            </w:r>
          </w:p>
        </w:tc>
        <w:tc>
          <w:tcPr>
            <w:tcW w:w="2093" w:type="dxa"/>
            <w:gridSpan w:val="2"/>
            <w:vAlign w:val="center"/>
          </w:tcPr>
          <w:p>
            <w:pPr>
              <w:adjustRightInd w:val="0"/>
              <w:snapToGrid w:val="0"/>
              <w:jc w:val="center"/>
              <w:rPr>
                <w:b/>
                <w:bCs/>
                <w:color w:val="000000"/>
                <w:szCs w:val="21"/>
                <w:u w:val="single"/>
              </w:rPr>
            </w:pPr>
            <w:r>
              <w:rPr>
                <w:rFonts w:hint="eastAsia"/>
                <w:b/>
                <w:bCs/>
                <w:color w:val="000000"/>
                <w:szCs w:val="21"/>
                <w:u w:val="single"/>
              </w:rPr>
              <w:t>510</w:t>
            </w:r>
            <w:r>
              <w:rPr>
                <w:b/>
                <w:bCs/>
                <w:color w:val="000000"/>
                <w:szCs w:val="21"/>
                <w:u w:val="single"/>
              </w:rPr>
              <w:t>×</w:t>
            </w:r>
            <w:r>
              <w:rPr>
                <w:rFonts w:hint="eastAsia"/>
                <w:b/>
                <w:bCs/>
                <w:color w:val="000000"/>
                <w:szCs w:val="21"/>
                <w:u w:val="single"/>
              </w:rPr>
              <w:t>265</w:t>
            </w:r>
            <w:r>
              <w:rPr>
                <w:b/>
                <w:bCs/>
                <w:color w:val="000000"/>
                <w:szCs w:val="21"/>
                <w:u w:val="single"/>
              </w:rPr>
              <w:t>×5.6</w:t>
            </w:r>
          </w:p>
        </w:tc>
        <w:tc>
          <w:tcPr>
            <w:tcW w:w="1033" w:type="dxa"/>
            <w:gridSpan w:val="2"/>
            <w:vAlign w:val="center"/>
          </w:tcPr>
          <w:p>
            <w:pPr>
              <w:adjustRightInd w:val="0"/>
              <w:snapToGrid w:val="0"/>
              <w:spacing w:line="280" w:lineRule="exact"/>
              <w:jc w:val="center"/>
              <w:rPr>
                <w:b/>
                <w:bCs/>
                <w:color w:val="000000"/>
                <w:szCs w:val="21"/>
                <w:u w:val="single"/>
              </w:rPr>
            </w:pPr>
            <w:r>
              <w:rPr>
                <w:b/>
                <w:bCs/>
                <w:color w:val="000000"/>
                <w:szCs w:val="21"/>
                <w:u w:val="single"/>
              </w:rPr>
              <w:t>0.1</w:t>
            </w:r>
            <w:r>
              <w:rPr>
                <w:rFonts w:hint="eastAsia"/>
                <w:b/>
                <w:bCs/>
                <w:color w:val="000000"/>
                <w:szCs w:val="21"/>
                <w:u w:val="single"/>
              </w:rPr>
              <w:t>037</w:t>
            </w:r>
          </w:p>
        </w:tc>
        <w:tc>
          <w:tcPr>
            <w:tcW w:w="1811" w:type="dxa"/>
            <w:gridSpan w:val="2"/>
            <w:vAlign w:val="center"/>
          </w:tcPr>
          <w:p>
            <w:pPr>
              <w:adjustRightInd w:val="0"/>
              <w:snapToGrid w:val="0"/>
              <w:spacing w:line="280" w:lineRule="exact"/>
              <w:jc w:val="center"/>
              <w:rPr>
                <w:b/>
                <w:bCs/>
                <w:color w:val="000000"/>
                <w:szCs w:val="21"/>
                <w:u w:val="single"/>
              </w:rPr>
            </w:pPr>
            <w:r>
              <w:rPr>
                <w:b/>
                <w:bCs/>
                <w:color w:val="000000"/>
                <w:szCs w:val="21"/>
                <w:u w:val="single"/>
              </w:rPr>
              <w:t>1.</w:t>
            </w:r>
            <w:r>
              <w:rPr>
                <w:rFonts w:hint="eastAsia"/>
                <w:b/>
                <w:bCs/>
                <w:color w:val="000000"/>
                <w:szCs w:val="21"/>
                <w:u w:val="single"/>
              </w:rPr>
              <w:t>433</w:t>
            </w:r>
          </w:p>
        </w:tc>
      </w:tr>
    </w:tbl>
    <w:p>
      <w:pPr>
        <w:spacing w:line="520" w:lineRule="exact"/>
        <w:ind w:firstLine="2833" w:firstLineChars="1176"/>
        <w:rPr>
          <w:b/>
          <w:bCs/>
          <w:sz w:val="24"/>
          <w:u w:val="single"/>
        </w:rPr>
      </w:pPr>
      <w:r>
        <w:rPr>
          <w:b/>
          <w:bCs/>
          <w:sz w:val="24"/>
          <w:u w:val="single"/>
        </w:rPr>
        <w:t>表4-14  模型参数表</w:t>
      </w:r>
    </w:p>
    <w:tbl>
      <w:tblPr>
        <w:tblStyle w:val="44"/>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81" w:type="dxa"/>
            <w:gridSpan w:val="2"/>
            <w:noWrap/>
            <w:vAlign w:val="center"/>
          </w:tcPr>
          <w:p>
            <w:pPr>
              <w:ind w:firstLine="422"/>
              <w:jc w:val="center"/>
              <w:rPr>
                <w:b/>
                <w:bCs/>
                <w:szCs w:val="21"/>
                <w:u w:val="single"/>
              </w:rPr>
            </w:pPr>
            <w:r>
              <w:rPr>
                <w:b/>
                <w:bCs/>
                <w:szCs w:val="21"/>
                <w:u w:val="single"/>
              </w:rPr>
              <w:t>参数</w:t>
            </w:r>
          </w:p>
        </w:tc>
        <w:tc>
          <w:tcPr>
            <w:tcW w:w="2841" w:type="dxa"/>
            <w:noWrap/>
            <w:vAlign w:val="center"/>
          </w:tcPr>
          <w:p>
            <w:pPr>
              <w:ind w:firstLine="422"/>
              <w:jc w:val="center"/>
              <w:rPr>
                <w:b/>
                <w:bCs/>
                <w:szCs w:val="21"/>
                <w:u w:val="single"/>
              </w:rPr>
            </w:pPr>
            <w:r>
              <w:rPr>
                <w:b/>
                <w:bCs/>
                <w:szCs w:val="21"/>
                <w:u w:val="single"/>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restart"/>
            <w:noWrap/>
            <w:vAlign w:val="center"/>
          </w:tcPr>
          <w:p>
            <w:pPr>
              <w:ind w:firstLine="420"/>
              <w:jc w:val="center"/>
              <w:rPr>
                <w:b/>
                <w:bCs/>
                <w:szCs w:val="21"/>
                <w:u w:val="single"/>
              </w:rPr>
            </w:pPr>
            <w:r>
              <w:rPr>
                <w:b/>
                <w:bCs/>
                <w:szCs w:val="21"/>
                <w:u w:val="single"/>
              </w:rPr>
              <w:t>城市/农村选项</w:t>
            </w:r>
          </w:p>
        </w:tc>
        <w:tc>
          <w:tcPr>
            <w:tcW w:w="2841" w:type="dxa"/>
            <w:noWrap/>
            <w:vAlign w:val="center"/>
          </w:tcPr>
          <w:p>
            <w:pPr>
              <w:ind w:firstLine="420"/>
              <w:jc w:val="center"/>
              <w:rPr>
                <w:b/>
                <w:bCs/>
                <w:szCs w:val="21"/>
                <w:u w:val="single"/>
              </w:rPr>
            </w:pPr>
            <w:r>
              <w:rPr>
                <w:b/>
                <w:bCs/>
                <w:szCs w:val="21"/>
                <w:u w:val="single"/>
              </w:rPr>
              <w:t>城市/农村</w:t>
            </w:r>
          </w:p>
        </w:tc>
        <w:tc>
          <w:tcPr>
            <w:tcW w:w="2841" w:type="dxa"/>
            <w:noWrap/>
            <w:vAlign w:val="center"/>
          </w:tcPr>
          <w:p>
            <w:pPr>
              <w:ind w:firstLine="420"/>
              <w:jc w:val="center"/>
              <w:rPr>
                <w:b/>
                <w:bCs/>
                <w:szCs w:val="21"/>
                <w:u w:val="single"/>
              </w:rPr>
            </w:pPr>
            <w:r>
              <w:rPr>
                <w:b/>
                <w:bCs/>
                <w:szCs w:val="21"/>
                <w:u w:val="single"/>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noWrap/>
            <w:vAlign w:val="center"/>
          </w:tcPr>
          <w:p>
            <w:pPr>
              <w:ind w:firstLine="420"/>
              <w:jc w:val="center"/>
              <w:rPr>
                <w:b/>
                <w:bCs/>
                <w:szCs w:val="21"/>
                <w:u w:val="single"/>
              </w:rPr>
            </w:pPr>
          </w:p>
        </w:tc>
        <w:tc>
          <w:tcPr>
            <w:tcW w:w="2841" w:type="dxa"/>
            <w:noWrap/>
            <w:vAlign w:val="center"/>
          </w:tcPr>
          <w:p>
            <w:pPr>
              <w:ind w:firstLine="420"/>
              <w:jc w:val="center"/>
              <w:rPr>
                <w:b/>
                <w:bCs/>
                <w:szCs w:val="21"/>
                <w:u w:val="single"/>
              </w:rPr>
            </w:pPr>
            <w:r>
              <w:rPr>
                <w:b/>
                <w:bCs/>
                <w:szCs w:val="21"/>
                <w:u w:val="single"/>
              </w:rPr>
              <w:t>人口数（城市选项时）</w:t>
            </w:r>
          </w:p>
        </w:tc>
        <w:tc>
          <w:tcPr>
            <w:tcW w:w="2841" w:type="dxa"/>
            <w:noWrap/>
            <w:vAlign w:val="center"/>
          </w:tcPr>
          <w:p>
            <w:pPr>
              <w:ind w:firstLine="420"/>
              <w:jc w:val="center"/>
              <w:rPr>
                <w:b/>
                <w:bCs/>
                <w:szCs w:val="21"/>
                <w:u w:val="single"/>
              </w:rPr>
            </w:pPr>
            <w:r>
              <w:rPr>
                <w:b/>
                <w:bCs/>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81" w:type="dxa"/>
            <w:gridSpan w:val="2"/>
            <w:noWrap/>
            <w:vAlign w:val="center"/>
          </w:tcPr>
          <w:p>
            <w:pPr>
              <w:ind w:firstLine="420"/>
              <w:jc w:val="center"/>
              <w:rPr>
                <w:b/>
                <w:bCs/>
                <w:szCs w:val="21"/>
                <w:u w:val="single"/>
              </w:rPr>
            </w:pPr>
            <w:r>
              <w:rPr>
                <w:b/>
                <w:bCs/>
                <w:szCs w:val="21"/>
                <w:u w:val="single"/>
              </w:rPr>
              <w:t>最高环境温度/</w:t>
            </w:r>
            <w:r>
              <w:rPr>
                <w:rFonts w:hint="eastAsia" w:ascii="宋体" w:hAnsi="宋体" w:cs="宋体"/>
                <w:b/>
                <w:bCs/>
                <w:szCs w:val="21"/>
                <w:u w:val="single"/>
              </w:rPr>
              <w:t>℃</w:t>
            </w:r>
          </w:p>
        </w:tc>
        <w:tc>
          <w:tcPr>
            <w:tcW w:w="2841" w:type="dxa"/>
            <w:noWrap/>
            <w:vAlign w:val="center"/>
          </w:tcPr>
          <w:p>
            <w:pPr>
              <w:ind w:firstLine="420"/>
              <w:jc w:val="center"/>
              <w:rPr>
                <w:b/>
                <w:bCs/>
                <w:szCs w:val="21"/>
                <w:u w:val="single"/>
              </w:rPr>
            </w:pPr>
            <w:r>
              <w:rPr>
                <w:b/>
                <w:bCs/>
                <w:szCs w:val="21"/>
                <w:u w:val="single"/>
              </w:rPr>
              <w:t>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1" w:type="dxa"/>
            <w:gridSpan w:val="2"/>
            <w:noWrap/>
            <w:vAlign w:val="center"/>
          </w:tcPr>
          <w:p>
            <w:pPr>
              <w:ind w:firstLine="420"/>
              <w:jc w:val="center"/>
              <w:rPr>
                <w:b/>
                <w:bCs/>
                <w:szCs w:val="21"/>
                <w:u w:val="single"/>
              </w:rPr>
            </w:pPr>
            <w:r>
              <w:rPr>
                <w:b/>
                <w:bCs/>
                <w:szCs w:val="21"/>
                <w:u w:val="single"/>
              </w:rPr>
              <w:t>最低环境温度/</w:t>
            </w:r>
            <w:r>
              <w:rPr>
                <w:rFonts w:hint="eastAsia" w:ascii="宋体" w:hAnsi="宋体" w:cs="宋体"/>
                <w:b/>
                <w:bCs/>
                <w:szCs w:val="21"/>
                <w:u w:val="single"/>
              </w:rPr>
              <w:t>℃</w:t>
            </w:r>
          </w:p>
        </w:tc>
        <w:tc>
          <w:tcPr>
            <w:tcW w:w="2841" w:type="dxa"/>
            <w:noWrap/>
            <w:vAlign w:val="center"/>
          </w:tcPr>
          <w:p>
            <w:pPr>
              <w:ind w:firstLine="420"/>
              <w:jc w:val="center"/>
              <w:rPr>
                <w:b/>
                <w:bCs/>
                <w:szCs w:val="21"/>
                <w:u w:val="single"/>
              </w:rPr>
            </w:pPr>
            <w:r>
              <w:rPr>
                <w:b/>
                <w:bCs/>
                <w:szCs w:val="21"/>
                <w:u w:val="single"/>
              </w:rPr>
              <w:t>-19.6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81" w:type="dxa"/>
            <w:gridSpan w:val="2"/>
            <w:noWrap/>
            <w:vAlign w:val="center"/>
          </w:tcPr>
          <w:p>
            <w:pPr>
              <w:ind w:firstLine="420"/>
              <w:jc w:val="center"/>
              <w:rPr>
                <w:b/>
                <w:bCs/>
                <w:szCs w:val="21"/>
                <w:u w:val="single"/>
              </w:rPr>
            </w:pPr>
            <w:r>
              <w:rPr>
                <w:b/>
                <w:bCs/>
                <w:szCs w:val="21"/>
                <w:u w:val="single"/>
              </w:rPr>
              <w:t>土地利用类型</w:t>
            </w:r>
          </w:p>
        </w:tc>
        <w:tc>
          <w:tcPr>
            <w:tcW w:w="2841" w:type="dxa"/>
            <w:noWrap/>
            <w:vAlign w:val="center"/>
          </w:tcPr>
          <w:p>
            <w:pPr>
              <w:ind w:firstLine="420"/>
              <w:jc w:val="center"/>
              <w:rPr>
                <w:b/>
                <w:bCs/>
                <w:szCs w:val="21"/>
                <w:u w:val="single"/>
              </w:rPr>
            </w:pPr>
            <w:r>
              <w:rPr>
                <w:b/>
                <w:bCs/>
                <w:szCs w:val="21"/>
                <w:u w:val="single"/>
              </w:rPr>
              <w:t>农用地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81" w:type="dxa"/>
            <w:gridSpan w:val="2"/>
            <w:noWrap/>
            <w:vAlign w:val="center"/>
          </w:tcPr>
          <w:p>
            <w:pPr>
              <w:ind w:firstLine="420"/>
              <w:jc w:val="center"/>
              <w:rPr>
                <w:b/>
                <w:bCs/>
                <w:szCs w:val="21"/>
                <w:u w:val="single"/>
              </w:rPr>
            </w:pPr>
            <w:r>
              <w:rPr>
                <w:b/>
                <w:bCs/>
                <w:szCs w:val="21"/>
                <w:u w:val="single"/>
              </w:rPr>
              <w:t>区域湿度条件</w:t>
            </w:r>
          </w:p>
        </w:tc>
        <w:tc>
          <w:tcPr>
            <w:tcW w:w="2841" w:type="dxa"/>
            <w:noWrap/>
            <w:vAlign w:val="center"/>
          </w:tcPr>
          <w:p>
            <w:pPr>
              <w:ind w:firstLine="420"/>
              <w:jc w:val="center"/>
              <w:rPr>
                <w:b/>
                <w:bCs/>
                <w:szCs w:val="21"/>
                <w:u w:val="single"/>
              </w:rPr>
            </w:pPr>
            <w:r>
              <w:rPr>
                <w:b/>
                <w:bCs/>
                <w:szCs w:val="21"/>
                <w:u w:val="single"/>
              </w:rPr>
              <w:t>中等湿度气候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restart"/>
            <w:noWrap/>
            <w:vAlign w:val="center"/>
          </w:tcPr>
          <w:p>
            <w:pPr>
              <w:ind w:firstLine="420"/>
              <w:jc w:val="center"/>
              <w:rPr>
                <w:b/>
                <w:bCs/>
                <w:szCs w:val="21"/>
                <w:u w:val="single"/>
              </w:rPr>
            </w:pPr>
            <w:r>
              <w:rPr>
                <w:b/>
                <w:bCs/>
                <w:szCs w:val="21"/>
                <w:u w:val="single"/>
              </w:rPr>
              <w:t>是否考虑地形</w:t>
            </w:r>
          </w:p>
        </w:tc>
        <w:tc>
          <w:tcPr>
            <w:tcW w:w="2841" w:type="dxa"/>
            <w:noWrap/>
            <w:vAlign w:val="center"/>
          </w:tcPr>
          <w:p>
            <w:pPr>
              <w:ind w:firstLine="420"/>
              <w:jc w:val="center"/>
              <w:rPr>
                <w:b/>
                <w:bCs/>
                <w:szCs w:val="21"/>
                <w:u w:val="single"/>
              </w:rPr>
            </w:pPr>
            <w:r>
              <w:rPr>
                <w:b/>
                <w:bCs/>
                <w:szCs w:val="21"/>
                <w:u w:val="single"/>
              </w:rPr>
              <w:t>考虑地形</w:t>
            </w:r>
          </w:p>
        </w:tc>
        <w:tc>
          <w:tcPr>
            <w:tcW w:w="2841" w:type="dxa"/>
            <w:noWrap/>
            <w:vAlign w:val="center"/>
          </w:tcPr>
          <w:p>
            <w:pPr>
              <w:ind w:firstLine="420"/>
              <w:jc w:val="center"/>
              <w:rPr>
                <w:b/>
                <w:bCs/>
                <w:szCs w:val="21"/>
                <w:u w:val="single"/>
              </w:rPr>
            </w:pPr>
            <w:r>
              <w:rPr>
                <w:b/>
                <w:bCs/>
                <w:szCs w:val="21"/>
                <w:u w:val="single"/>
              </w:rPr>
              <w:sym w:font="Wingdings" w:char="00A8"/>
            </w:r>
            <w:r>
              <w:rPr>
                <w:b/>
                <w:bCs/>
                <w:szCs w:val="21"/>
                <w:u w:val="single"/>
              </w:rPr>
              <w:t xml:space="preserve">是  </w:t>
            </w:r>
            <w:r>
              <w:rPr>
                <w:b/>
                <w:bCs/>
                <w:szCs w:val="21"/>
                <w:u w:val="single"/>
              </w:rPr>
              <w:sym w:font="Wingdings" w:char="00FE"/>
            </w:r>
            <w:r>
              <w:rPr>
                <w:b/>
                <w:bCs/>
                <w:szCs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noWrap/>
            <w:vAlign w:val="center"/>
          </w:tcPr>
          <w:p>
            <w:pPr>
              <w:ind w:firstLine="420"/>
              <w:jc w:val="center"/>
              <w:rPr>
                <w:b/>
                <w:bCs/>
                <w:szCs w:val="21"/>
                <w:u w:val="single"/>
              </w:rPr>
            </w:pPr>
          </w:p>
        </w:tc>
        <w:tc>
          <w:tcPr>
            <w:tcW w:w="2841" w:type="dxa"/>
            <w:noWrap/>
            <w:vAlign w:val="center"/>
          </w:tcPr>
          <w:p>
            <w:pPr>
              <w:ind w:firstLine="420"/>
              <w:jc w:val="center"/>
              <w:rPr>
                <w:b/>
                <w:bCs/>
                <w:szCs w:val="21"/>
                <w:u w:val="single"/>
              </w:rPr>
            </w:pPr>
            <w:r>
              <w:rPr>
                <w:b/>
                <w:bCs/>
                <w:szCs w:val="21"/>
                <w:u w:val="single"/>
              </w:rPr>
              <w:t>地形数据分辨率/m</w:t>
            </w:r>
          </w:p>
        </w:tc>
        <w:tc>
          <w:tcPr>
            <w:tcW w:w="2841" w:type="dxa"/>
            <w:noWrap/>
            <w:vAlign w:val="center"/>
          </w:tcPr>
          <w:p>
            <w:pPr>
              <w:ind w:firstLine="420"/>
              <w:jc w:val="center"/>
              <w:rPr>
                <w:b/>
                <w:bCs/>
                <w:szCs w:val="21"/>
                <w:u w:val="single"/>
              </w:rPr>
            </w:pPr>
            <w:r>
              <w:rPr>
                <w:b/>
                <w:bCs/>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0" w:type="dxa"/>
            <w:vMerge w:val="restart"/>
            <w:noWrap/>
            <w:vAlign w:val="center"/>
          </w:tcPr>
          <w:p>
            <w:pPr>
              <w:ind w:firstLine="420"/>
              <w:jc w:val="center"/>
              <w:rPr>
                <w:b/>
                <w:bCs/>
                <w:szCs w:val="21"/>
                <w:u w:val="single"/>
              </w:rPr>
            </w:pPr>
            <w:r>
              <w:rPr>
                <w:b/>
                <w:bCs/>
                <w:szCs w:val="21"/>
                <w:u w:val="single"/>
              </w:rPr>
              <w:t>是否考虑岸线熏烟</w:t>
            </w:r>
          </w:p>
        </w:tc>
        <w:tc>
          <w:tcPr>
            <w:tcW w:w="2841" w:type="dxa"/>
            <w:noWrap/>
            <w:vAlign w:val="center"/>
          </w:tcPr>
          <w:p>
            <w:pPr>
              <w:ind w:firstLine="420"/>
              <w:jc w:val="center"/>
              <w:rPr>
                <w:b/>
                <w:bCs/>
                <w:szCs w:val="21"/>
                <w:u w:val="single"/>
              </w:rPr>
            </w:pPr>
            <w:r>
              <w:rPr>
                <w:b/>
                <w:bCs/>
                <w:szCs w:val="21"/>
                <w:u w:val="single"/>
              </w:rPr>
              <w:t>考虑岸线熏烟</w:t>
            </w:r>
          </w:p>
        </w:tc>
        <w:tc>
          <w:tcPr>
            <w:tcW w:w="2841" w:type="dxa"/>
            <w:noWrap/>
            <w:vAlign w:val="center"/>
          </w:tcPr>
          <w:p>
            <w:pPr>
              <w:ind w:firstLine="420"/>
              <w:jc w:val="center"/>
              <w:rPr>
                <w:b/>
                <w:bCs/>
                <w:szCs w:val="21"/>
                <w:u w:val="single"/>
              </w:rPr>
            </w:pPr>
            <w:r>
              <w:rPr>
                <w:b/>
                <w:bCs/>
                <w:szCs w:val="21"/>
                <w:u w:val="single"/>
              </w:rPr>
              <w:sym w:font="Wingdings" w:char="00A8"/>
            </w:r>
            <w:r>
              <w:rPr>
                <w:b/>
                <w:bCs/>
                <w:szCs w:val="21"/>
                <w:u w:val="single"/>
              </w:rPr>
              <w:t xml:space="preserve">是  </w:t>
            </w:r>
            <w:r>
              <w:rPr>
                <w:b/>
                <w:bCs/>
                <w:szCs w:val="21"/>
                <w:u w:val="single"/>
              </w:rPr>
              <w:sym w:font="Wingdings" w:char="00FE"/>
            </w:r>
            <w:r>
              <w:rPr>
                <w:b/>
                <w:bCs/>
                <w:szCs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noWrap/>
            <w:vAlign w:val="center"/>
          </w:tcPr>
          <w:p>
            <w:pPr>
              <w:ind w:firstLine="420"/>
              <w:jc w:val="center"/>
              <w:rPr>
                <w:b/>
                <w:bCs/>
                <w:szCs w:val="21"/>
                <w:u w:val="single"/>
              </w:rPr>
            </w:pPr>
          </w:p>
        </w:tc>
        <w:tc>
          <w:tcPr>
            <w:tcW w:w="2841" w:type="dxa"/>
            <w:noWrap/>
            <w:vAlign w:val="center"/>
          </w:tcPr>
          <w:p>
            <w:pPr>
              <w:ind w:firstLine="420"/>
              <w:jc w:val="center"/>
              <w:rPr>
                <w:b/>
                <w:bCs/>
                <w:szCs w:val="21"/>
                <w:u w:val="single"/>
              </w:rPr>
            </w:pPr>
            <w:r>
              <w:rPr>
                <w:b/>
                <w:bCs/>
                <w:szCs w:val="21"/>
                <w:u w:val="single"/>
              </w:rPr>
              <w:t>岸线距离/km</w:t>
            </w:r>
          </w:p>
        </w:tc>
        <w:tc>
          <w:tcPr>
            <w:tcW w:w="2841" w:type="dxa"/>
            <w:noWrap/>
            <w:vAlign w:val="center"/>
          </w:tcPr>
          <w:p>
            <w:pPr>
              <w:ind w:firstLine="420"/>
              <w:jc w:val="center"/>
              <w:rPr>
                <w:b/>
                <w:bCs/>
                <w:szCs w:val="21"/>
                <w:u w:val="single"/>
              </w:rPr>
            </w:pPr>
            <w:r>
              <w:rPr>
                <w:b/>
                <w:bCs/>
                <w:szCs w:val="21"/>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Merge w:val="continue"/>
            <w:noWrap/>
            <w:vAlign w:val="center"/>
          </w:tcPr>
          <w:p>
            <w:pPr>
              <w:ind w:firstLine="420"/>
              <w:jc w:val="center"/>
              <w:rPr>
                <w:b/>
                <w:bCs/>
                <w:szCs w:val="21"/>
                <w:u w:val="single"/>
              </w:rPr>
            </w:pPr>
          </w:p>
        </w:tc>
        <w:tc>
          <w:tcPr>
            <w:tcW w:w="2841" w:type="dxa"/>
            <w:noWrap/>
            <w:vAlign w:val="center"/>
          </w:tcPr>
          <w:p>
            <w:pPr>
              <w:ind w:firstLine="420"/>
              <w:jc w:val="center"/>
              <w:rPr>
                <w:b/>
                <w:bCs/>
                <w:szCs w:val="21"/>
                <w:u w:val="single"/>
              </w:rPr>
            </w:pPr>
            <w:r>
              <w:rPr>
                <w:b/>
                <w:bCs/>
                <w:szCs w:val="21"/>
                <w:u w:val="single"/>
              </w:rPr>
              <w:t>岸线方向/°</w:t>
            </w:r>
          </w:p>
        </w:tc>
        <w:tc>
          <w:tcPr>
            <w:tcW w:w="2841" w:type="dxa"/>
            <w:noWrap/>
            <w:vAlign w:val="center"/>
          </w:tcPr>
          <w:p>
            <w:pPr>
              <w:ind w:firstLine="420"/>
              <w:jc w:val="center"/>
              <w:rPr>
                <w:b/>
                <w:bCs/>
                <w:szCs w:val="21"/>
                <w:u w:val="single"/>
              </w:rPr>
            </w:pPr>
            <w:r>
              <w:rPr>
                <w:b/>
                <w:bCs/>
                <w:szCs w:val="21"/>
                <w:u w:val="single"/>
              </w:rPr>
              <w:t>/</w:t>
            </w:r>
          </w:p>
        </w:tc>
      </w:tr>
    </w:tbl>
    <w:p>
      <w:pPr>
        <w:adjustRightInd w:val="0"/>
        <w:snapToGrid w:val="0"/>
        <w:spacing w:line="500" w:lineRule="exact"/>
        <w:ind w:firstLine="482" w:firstLineChars="200"/>
        <w:rPr>
          <w:b/>
          <w:bCs/>
          <w:color w:val="000000"/>
          <w:sz w:val="24"/>
          <w:u w:val="single"/>
        </w:rPr>
      </w:pPr>
      <w:r>
        <w:rPr>
          <w:b/>
          <w:bCs/>
          <w:color w:val="000000"/>
          <w:sz w:val="24"/>
          <w:u w:val="single"/>
        </w:rPr>
        <w:t>五、预测范围、预测方案</w:t>
      </w:r>
    </w:p>
    <w:p>
      <w:pPr>
        <w:adjustRightInd w:val="0"/>
        <w:snapToGrid w:val="0"/>
        <w:spacing w:line="500" w:lineRule="exact"/>
        <w:ind w:firstLine="482" w:firstLineChars="200"/>
        <w:rPr>
          <w:b/>
          <w:bCs/>
          <w:color w:val="000000"/>
          <w:sz w:val="24"/>
          <w:u w:val="single"/>
        </w:rPr>
      </w:pPr>
      <w:r>
        <w:rPr>
          <w:rFonts w:hint="eastAsia" w:ascii="宋体" w:hAnsi="宋体" w:cs="宋体"/>
          <w:b/>
          <w:bCs/>
          <w:color w:val="000000"/>
          <w:sz w:val="24"/>
          <w:u w:val="single"/>
        </w:rPr>
        <w:t>①</w:t>
      </w:r>
      <w:r>
        <w:rPr>
          <w:b/>
          <w:bCs/>
          <w:color w:val="000000"/>
          <w:sz w:val="24"/>
          <w:u w:val="single"/>
        </w:rPr>
        <w:t>预测范围：分别以拟建项目场址中心为预测范围中心点，向E、S、W、N各延伸2.5km，总面积分别为2.5km</w:t>
      </w:r>
      <w:r>
        <w:rPr>
          <w:b/>
          <w:bCs/>
          <w:color w:val="000000"/>
          <w:sz w:val="24"/>
          <w:u w:val="single"/>
          <w:vertAlign w:val="superscript"/>
        </w:rPr>
        <w:t>2</w:t>
      </w:r>
      <w:r>
        <w:rPr>
          <w:b/>
          <w:bCs/>
          <w:color w:val="000000"/>
          <w:sz w:val="24"/>
          <w:u w:val="single"/>
        </w:rPr>
        <w:t>。</w:t>
      </w:r>
    </w:p>
    <w:p>
      <w:pPr>
        <w:adjustRightInd w:val="0"/>
        <w:snapToGrid w:val="0"/>
        <w:spacing w:line="500" w:lineRule="exact"/>
        <w:ind w:firstLine="482" w:firstLineChars="200"/>
        <w:rPr>
          <w:b/>
          <w:bCs/>
          <w:color w:val="000000"/>
          <w:sz w:val="24"/>
          <w:u w:val="single"/>
        </w:rPr>
      </w:pPr>
      <w:r>
        <w:rPr>
          <w:rFonts w:hint="eastAsia" w:ascii="宋体" w:hAnsi="宋体" w:cs="宋体"/>
          <w:b/>
          <w:bCs/>
          <w:color w:val="000000"/>
          <w:sz w:val="24"/>
          <w:u w:val="single"/>
        </w:rPr>
        <w:t>②</w:t>
      </w:r>
      <w:r>
        <w:rPr>
          <w:b/>
          <w:bCs/>
          <w:color w:val="000000"/>
          <w:sz w:val="24"/>
          <w:u w:val="single"/>
        </w:rPr>
        <w:t>预测方案：根据HJ2.2-2018要求，大气预测主要考虑项目建成后正常排放下各污染物对评价区域和环境空气敏感点的最大影响，预测内容包括计算评价区小时平均浓度、各场界浓度达标分析、计算无组织排放源的大气环境防护距离、确定卫生防护距离。</w:t>
      </w:r>
    </w:p>
    <w:p>
      <w:pPr>
        <w:adjustRightInd w:val="0"/>
        <w:snapToGrid w:val="0"/>
        <w:spacing w:line="500" w:lineRule="exact"/>
        <w:ind w:firstLine="482" w:firstLineChars="200"/>
        <w:rPr>
          <w:b/>
          <w:bCs/>
          <w:color w:val="000000"/>
          <w:sz w:val="24"/>
          <w:u w:val="single"/>
        </w:rPr>
      </w:pPr>
      <w:r>
        <w:rPr>
          <w:b/>
          <w:bCs/>
          <w:color w:val="000000"/>
          <w:sz w:val="24"/>
          <w:u w:val="single"/>
        </w:rPr>
        <w:t>六、大气环境影响预测结果与评价</w:t>
      </w:r>
    </w:p>
    <w:p>
      <w:pPr>
        <w:adjustRightInd w:val="0"/>
        <w:snapToGrid w:val="0"/>
        <w:spacing w:line="500" w:lineRule="exact"/>
        <w:ind w:firstLine="482" w:firstLineChars="200"/>
        <w:rPr>
          <w:b/>
          <w:bCs/>
          <w:color w:val="000000"/>
          <w:sz w:val="24"/>
          <w:u w:val="single"/>
        </w:rPr>
      </w:pPr>
      <w:r>
        <w:rPr>
          <w:b/>
          <w:bCs/>
          <w:color w:val="000000"/>
          <w:sz w:val="24"/>
          <w:u w:val="single"/>
        </w:rPr>
        <w:t>1、无组织排放污染源贡献浓度预测</w:t>
      </w:r>
    </w:p>
    <w:p>
      <w:pPr>
        <w:adjustRightInd w:val="0"/>
        <w:snapToGrid w:val="0"/>
        <w:spacing w:line="500" w:lineRule="exact"/>
        <w:ind w:firstLine="482" w:firstLineChars="200"/>
        <w:rPr>
          <w:b/>
          <w:bCs/>
          <w:color w:val="000000"/>
          <w:sz w:val="24"/>
          <w:u w:val="single"/>
        </w:rPr>
      </w:pPr>
      <w:r>
        <w:rPr>
          <w:b/>
          <w:bCs/>
          <w:color w:val="000000"/>
          <w:sz w:val="24"/>
          <w:u w:val="single"/>
        </w:rPr>
        <w:t>（1）、本次无组织排放污染源贡献浓度预测结果见下表。</w:t>
      </w:r>
    </w:p>
    <w:p>
      <w:pPr>
        <w:jc w:val="center"/>
        <w:rPr>
          <w:b/>
          <w:bCs/>
          <w:color w:val="000000"/>
          <w:sz w:val="24"/>
          <w:u w:val="single"/>
        </w:rPr>
      </w:pPr>
      <w:r>
        <w:rPr>
          <w:b/>
          <w:bCs/>
          <w:color w:val="000000"/>
          <w:szCs w:val="21"/>
          <w:u w:val="single"/>
        </w:rPr>
        <w:t>表4-15    本项目无组织排放NH</w:t>
      </w:r>
      <w:r>
        <w:rPr>
          <w:b/>
          <w:bCs/>
          <w:color w:val="000000"/>
          <w:szCs w:val="21"/>
          <w:u w:val="single"/>
          <w:vertAlign w:val="subscript"/>
        </w:rPr>
        <w:t>3</w:t>
      </w:r>
      <w:r>
        <w:rPr>
          <w:b/>
          <w:bCs/>
          <w:color w:val="000000"/>
          <w:szCs w:val="21"/>
          <w:u w:val="single"/>
        </w:rPr>
        <w:t>及H</w:t>
      </w:r>
      <w:r>
        <w:rPr>
          <w:b/>
          <w:bCs/>
          <w:color w:val="000000"/>
          <w:szCs w:val="21"/>
          <w:u w:val="single"/>
          <w:vertAlign w:val="subscript"/>
        </w:rPr>
        <w:t>2</w:t>
      </w:r>
      <w:r>
        <w:rPr>
          <w:b/>
          <w:bCs/>
          <w:color w:val="000000"/>
          <w:szCs w:val="21"/>
          <w:u w:val="single"/>
        </w:rPr>
        <w:t>S贡献值预测结果（mg/m</w:t>
      </w:r>
      <w:r>
        <w:rPr>
          <w:b/>
          <w:bCs/>
          <w:color w:val="000000"/>
          <w:szCs w:val="21"/>
          <w:u w:val="single"/>
          <w:vertAlign w:val="superscript"/>
        </w:rPr>
        <w:t>3</w:t>
      </w:r>
      <w:r>
        <w:rPr>
          <w:b/>
          <w:bCs/>
          <w:color w:val="000000"/>
          <w:szCs w:val="21"/>
          <w:u w:val="single"/>
        </w:rPr>
        <w:t>）</w:t>
      </w:r>
    </w:p>
    <w:tbl>
      <w:tblPr>
        <w:tblStyle w:val="44"/>
        <w:tblW w:w="8846"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57" w:type="dxa"/>
          <w:bottom w:w="0" w:type="dxa"/>
          <w:right w:w="57" w:type="dxa"/>
        </w:tblCellMar>
      </w:tblPr>
      <w:tblGrid>
        <w:gridCol w:w="1676"/>
        <w:gridCol w:w="1785"/>
        <w:gridCol w:w="1629"/>
        <w:gridCol w:w="2128"/>
        <w:gridCol w:w="162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blHeader/>
        </w:trPr>
        <w:tc>
          <w:tcPr>
            <w:tcW w:w="1676" w:type="dxa"/>
            <w:vMerge w:val="restart"/>
            <w:tcBorders>
              <w:top w:val="single" w:color="auto" w:sz="12" w:space="0"/>
              <w:left w:val="single" w:color="auto" w:sz="12" w:space="0"/>
              <w:bottom w:val="single" w:color="auto" w:sz="4" w:space="0"/>
              <w:right w:val="single" w:color="auto" w:sz="4" w:space="0"/>
            </w:tcBorders>
            <w:vAlign w:val="center"/>
          </w:tcPr>
          <w:p>
            <w:pPr>
              <w:adjustRightInd w:val="0"/>
              <w:snapToGrid w:val="0"/>
              <w:jc w:val="center"/>
              <w:rPr>
                <w:b/>
                <w:bCs/>
                <w:color w:val="000000"/>
                <w:spacing w:val="-6"/>
                <w:szCs w:val="21"/>
                <w:u w:val="single"/>
              </w:rPr>
            </w:pPr>
            <w:r>
              <w:rPr>
                <w:b/>
                <w:bCs/>
                <w:color w:val="000000"/>
                <w:spacing w:val="-6"/>
                <w:kern w:val="0"/>
                <w:szCs w:val="21"/>
                <w:u w:val="single"/>
              </w:rPr>
              <w:t>距离（m）</w:t>
            </w:r>
          </w:p>
        </w:tc>
        <w:tc>
          <w:tcPr>
            <w:tcW w:w="3414" w:type="dxa"/>
            <w:gridSpan w:val="2"/>
            <w:tcBorders>
              <w:top w:val="single" w:color="auto" w:sz="12" w:space="0"/>
              <w:left w:val="single" w:color="auto" w:sz="4" w:space="0"/>
              <w:bottom w:val="single" w:color="auto" w:sz="4" w:space="0"/>
              <w:right w:val="single" w:color="auto" w:sz="4" w:space="0"/>
            </w:tcBorders>
            <w:vAlign w:val="center"/>
          </w:tcPr>
          <w:p>
            <w:pPr>
              <w:ind w:firstLine="398" w:firstLineChars="200"/>
              <w:jc w:val="center"/>
              <w:rPr>
                <w:b/>
                <w:bCs/>
                <w:color w:val="000000"/>
                <w:spacing w:val="-6"/>
                <w:szCs w:val="21"/>
                <w:u w:val="single"/>
              </w:rPr>
            </w:pPr>
            <w:r>
              <w:rPr>
                <w:b/>
                <w:bCs/>
                <w:color w:val="000000"/>
                <w:spacing w:val="-6"/>
                <w:kern w:val="0"/>
                <w:szCs w:val="21"/>
                <w:u w:val="single"/>
              </w:rPr>
              <w:t>NH</w:t>
            </w:r>
            <w:r>
              <w:rPr>
                <w:b/>
                <w:bCs/>
                <w:color w:val="000000"/>
                <w:spacing w:val="-6"/>
                <w:kern w:val="0"/>
                <w:szCs w:val="21"/>
                <w:u w:val="single"/>
                <w:vertAlign w:val="subscript"/>
              </w:rPr>
              <w:t>3</w:t>
            </w:r>
            <w:r>
              <w:rPr>
                <w:b/>
                <w:bCs/>
                <w:color w:val="000000"/>
                <w:spacing w:val="-6"/>
                <w:kern w:val="0"/>
                <w:szCs w:val="21"/>
                <w:u w:val="single"/>
              </w:rPr>
              <w:t>1小时最大浓度</w:t>
            </w:r>
          </w:p>
        </w:tc>
        <w:tc>
          <w:tcPr>
            <w:tcW w:w="3756" w:type="dxa"/>
            <w:gridSpan w:val="2"/>
            <w:tcBorders>
              <w:top w:val="single" w:color="auto" w:sz="12" w:space="0"/>
              <w:left w:val="single" w:color="auto" w:sz="4" w:space="0"/>
              <w:bottom w:val="single" w:color="auto" w:sz="4" w:space="0"/>
              <w:right w:val="single" w:color="auto" w:sz="12" w:space="0"/>
            </w:tcBorders>
            <w:vAlign w:val="center"/>
          </w:tcPr>
          <w:p>
            <w:pPr>
              <w:jc w:val="center"/>
              <w:rPr>
                <w:b/>
                <w:bCs/>
                <w:color w:val="000000"/>
                <w:spacing w:val="-6"/>
                <w:szCs w:val="21"/>
                <w:u w:val="single"/>
              </w:rPr>
            </w:pPr>
            <w:r>
              <w:rPr>
                <w:b/>
                <w:bCs/>
                <w:color w:val="000000"/>
                <w:spacing w:val="-6"/>
                <w:kern w:val="0"/>
                <w:szCs w:val="21"/>
                <w:u w:val="single"/>
              </w:rPr>
              <w:t>H</w:t>
            </w:r>
            <w:r>
              <w:rPr>
                <w:b/>
                <w:bCs/>
                <w:color w:val="000000"/>
                <w:spacing w:val="-6"/>
                <w:kern w:val="0"/>
                <w:szCs w:val="21"/>
                <w:u w:val="single"/>
                <w:vertAlign w:val="subscript"/>
              </w:rPr>
              <w:t>2</w:t>
            </w:r>
            <w:r>
              <w:rPr>
                <w:b/>
                <w:bCs/>
                <w:color w:val="000000"/>
                <w:spacing w:val="-6"/>
                <w:kern w:val="0"/>
                <w:szCs w:val="21"/>
                <w:u w:val="single"/>
              </w:rPr>
              <w:t>S1小时平均最大浓度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blHeader/>
        </w:trPr>
        <w:tc>
          <w:tcPr>
            <w:tcW w:w="1676" w:type="dxa"/>
            <w:vMerge w:val="continue"/>
            <w:tcBorders>
              <w:top w:val="single" w:color="auto" w:sz="4" w:space="0"/>
              <w:left w:val="single" w:color="auto" w:sz="12" w:space="0"/>
              <w:bottom w:val="single" w:color="auto" w:sz="4" w:space="0"/>
              <w:right w:val="single" w:color="auto" w:sz="4" w:space="0"/>
            </w:tcBorders>
            <w:vAlign w:val="center"/>
          </w:tcPr>
          <w:p>
            <w:pPr>
              <w:jc w:val="center"/>
              <w:rPr>
                <w:b/>
                <w:bCs/>
                <w:color w:val="000000"/>
                <w:szCs w:val="21"/>
                <w:u w:val="single"/>
              </w:rPr>
            </w:pPr>
          </w:p>
        </w:tc>
        <w:tc>
          <w:tcPr>
            <w:tcW w:w="17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color w:val="000000"/>
                <w:spacing w:val="-6"/>
                <w:szCs w:val="21"/>
                <w:u w:val="single"/>
              </w:rPr>
            </w:pPr>
            <w:r>
              <w:rPr>
                <w:b/>
                <w:bCs/>
                <w:color w:val="000000"/>
                <w:spacing w:val="-6"/>
                <w:kern w:val="0"/>
                <w:szCs w:val="21"/>
                <w:u w:val="single"/>
              </w:rPr>
              <w:t>预测浓度</w:t>
            </w:r>
          </w:p>
        </w:tc>
        <w:tc>
          <w:tcPr>
            <w:tcW w:w="16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color w:val="000000"/>
                <w:spacing w:val="-6"/>
                <w:szCs w:val="21"/>
                <w:u w:val="single"/>
              </w:rPr>
            </w:pPr>
            <w:r>
              <w:rPr>
                <w:b/>
                <w:bCs/>
                <w:color w:val="000000"/>
                <w:spacing w:val="-6"/>
                <w:kern w:val="0"/>
                <w:szCs w:val="21"/>
                <w:u w:val="single"/>
              </w:rPr>
              <w:t>占标率%</w:t>
            </w:r>
          </w:p>
        </w:tc>
        <w:tc>
          <w:tcPr>
            <w:tcW w:w="21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color w:val="000000"/>
                <w:spacing w:val="-6"/>
                <w:szCs w:val="21"/>
                <w:u w:val="single"/>
              </w:rPr>
            </w:pPr>
            <w:r>
              <w:rPr>
                <w:b/>
                <w:bCs/>
                <w:color w:val="000000"/>
                <w:spacing w:val="-6"/>
                <w:kern w:val="0"/>
                <w:szCs w:val="21"/>
                <w:u w:val="single"/>
              </w:rPr>
              <w:t>预测浓度</w:t>
            </w:r>
          </w:p>
        </w:tc>
        <w:tc>
          <w:tcPr>
            <w:tcW w:w="1628"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b/>
                <w:bCs/>
                <w:color w:val="000000"/>
                <w:spacing w:val="-6"/>
                <w:szCs w:val="21"/>
                <w:u w:val="single"/>
              </w:rPr>
            </w:pPr>
            <w:r>
              <w:rPr>
                <w:b/>
                <w:bCs/>
                <w:color w:val="000000"/>
                <w:spacing w:val="-6"/>
                <w:kern w:val="0"/>
                <w:szCs w:val="21"/>
                <w:u w:val="single"/>
              </w:rPr>
              <w:t>占标率%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0.004643</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2.32</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0.0003357</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3.36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tcMar>
              <w:left w:w="28" w:type="dxa"/>
              <w:right w:w="28" w:type="dxa"/>
            </w:tcMar>
            <w:vAlign w:val="center"/>
          </w:tcPr>
          <w:p>
            <w:pPr>
              <w:widowControl/>
              <w:jc w:val="center"/>
              <w:textAlignment w:val="center"/>
              <w:rPr>
                <w:b/>
                <w:bCs/>
                <w:color w:val="000000"/>
                <w:spacing w:val="-6"/>
                <w:szCs w:val="21"/>
                <w:u w:val="single"/>
              </w:rPr>
            </w:pPr>
            <w:r>
              <w:rPr>
                <w:b/>
                <w:bCs/>
                <w:color w:val="000000"/>
                <w:kern w:val="0"/>
                <w:szCs w:val="21"/>
                <w:u w:val="single"/>
              </w:rPr>
              <w:t>100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0.006132</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3.07</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0.0004434</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4.43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200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0.007594</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3.8</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0.0005491</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5.49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300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0.009251</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4.63</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0.000669</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6.69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400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0.01082</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5.41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0.0007825</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7.82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500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0.01109</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5.54</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0.0008022</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8.02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600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0.01039</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5.2</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0.0007515</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7.51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700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0.009554</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4.78</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0.0006908</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6.91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800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0.008797</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4.4</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0.0006361</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6.36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900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0.008146</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4.07</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0.0005891</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5.89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1000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0.007602</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3.8</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0.0005497</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5.5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1100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0.007137</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3.57</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0.000516</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5.16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1200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0.006731</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3.37</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0.0004867</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4.87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1300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0.006376</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3.19</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0.0004611</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4.61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1400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0.00606</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3.03</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0.0004382</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4.38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1500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0.005775</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2.89</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0.0004176</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4.18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1600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0.005516</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2.76</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0.0003989</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3.99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1700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0.005279</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2.64</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0.0003817</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3.82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1800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0.005062</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2.53</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0.000366</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3.66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1900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0.004867</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2.43</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0.0003519</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3.52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2000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0.004689</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2.34</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0.000339</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3.39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2100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0.004526</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2.26</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0.0003273</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3.27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2200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0.004378</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2.19</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0.0003166</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3.17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2300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0.00424</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2.12</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0.0003066</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3.07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2400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0.004115</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2.06</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0.0002976</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2.98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kern w:val="0"/>
                <w:szCs w:val="21"/>
                <w:u w:val="single"/>
              </w:rPr>
            </w:pPr>
            <w:r>
              <w:rPr>
                <w:b/>
                <w:bCs/>
                <w:color w:val="000000"/>
                <w:kern w:val="0"/>
                <w:szCs w:val="21"/>
                <w:u w:val="single"/>
              </w:rPr>
              <w:t>2500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0.003995</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2</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0.0002889</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2.89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b/>
                <w:bCs/>
                <w:color w:val="000000"/>
                <w:spacing w:val="-6"/>
                <w:szCs w:val="21"/>
                <w:u w:val="single"/>
              </w:rPr>
            </w:pPr>
            <w:r>
              <w:rPr>
                <w:b/>
                <w:bCs/>
                <w:color w:val="000000"/>
                <w:spacing w:val="-6"/>
                <w:kern w:val="0"/>
                <w:szCs w:val="21"/>
                <w:u w:val="single"/>
              </w:rPr>
              <w:t>最大浓度（463m）</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0.01118</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5.59</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0.0008086</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8.09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12" w:space="0"/>
              <w:right w:val="single" w:color="auto" w:sz="4" w:space="0"/>
            </w:tcBorders>
            <w:vAlign w:val="center"/>
          </w:tcPr>
          <w:p>
            <w:pPr>
              <w:adjustRightInd w:val="0"/>
              <w:snapToGrid w:val="0"/>
              <w:jc w:val="center"/>
              <w:rPr>
                <w:b/>
                <w:bCs/>
                <w:color w:val="000000"/>
                <w:spacing w:val="-6"/>
                <w:szCs w:val="21"/>
                <w:u w:val="single"/>
              </w:rPr>
            </w:pPr>
            <w:r>
              <w:rPr>
                <w:b/>
                <w:bCs/>
                <w:color w:val="000000"/>
                <w:spacing w:val="-6"/>
                <w:kern w:val="0"/>
                <w:szCs w:val="21"/>
                <w:u w:val="single"/>
              </w:rPr>
              <w:t>标准</w:t>
            </w:r>
          </w:p>
        </w:tc>
        <w:tc>
          <w:tcPr>
            <w:tcW w:w="3414" w:type="dxa"/>
            <w:gridSpan w:val="2"/>
            <w:tcBorders>
              <w:top w:val="single" w:color="auto" w:sz="4" w:space="0"/>
              <w:left w:val="single" w:color="auto" w:sz="4" w:space="0"/>
              <w:bottom w:val="single" w:color="auto" w:sz="12" w:space="0"/>
              <w:right w:val="single" w:color="auto" w:sz="4" w:space="0"/>
            </w:tcBorders>
            <w:vAlign w:val="center"/>
          </w:tcPr>
          <w:p>
            <w:pPr>
              <w:jc w:val="center"/>
              <w:rPr>
                <w:b/>
                <w:bCs/>
                <w:color w:val="000000"/>
                <w:spacing w:val="-6"/>
                <w:szCs w:val="21"/>
                <w:u w:val="single"/>
              </w:rPr>
            </w:pPr>
            <w:r>
              <w:rPr>
                <w:b/>
                <w:bCs/>
                <w:color w:val="000000"/>
                <w:spacing w:val="-6"/>
                <w:kern w:val="0"/>
                <w:szCs w:val="21"/>
                <w:u w:val="single"/>
              </w:rPr>
              <w:t>0.2mg/m</w:t>
            </w:r>
            <w:r>
              <w:rPr>
                <w:b/>
                <w:bCs/>
                <w:color w:val="000000"/>
                <w:spacing w:val="-6"/>
                <w:kern w:val="0"/>
                <w:szCs w:val="21"/>
                <w:u w:val="single"/>
                <w:vertAlign w:val="superscript"/>
              </w:rPr>
              <w:t>3</w:t>
            </w:r>
          </w:p>
        </w:tc>
        <w:tc>
          <w:tcPr>
            <w:tcW w:w="3756" w:type="dxa"/>
            <w:gridSpan w:val="2"/>
            <w:tcBorders>
              <w:top w:val="single" w:color="auto" w:sz="4" w:space="0"/>
              <w:left w:val="single" w:color="auto" w:sz="4" w:space="0"/>
              <w:bottom w:val="single" w:color="auto" w:sz="12" w:space="0"/>
              <w:right w:val="single" w:color="auto" w:sz="12" w:space="0"/>
            </w:tcBorders>
            <w:vAlign w:val="center"/>
          </w:tcPr>
          <w:p>
            <w:pPr>
              <w:jc w:val="center"/>
              <w:rPr>
                <w:b/>
                <w:bCs/>
                <w:color w:val="000000"/>
                <w:spacing w:val="-6"/>
                <w:szCs w:val="21"/>
                <w:u w:val="single"/>
              </w:rPr>
            </w:pPr>
            <w:r>
              <w:rPr>
                <w:b/>
                <w:bCs/>
                <w:color w:val="000000"/>
                <w:spacing w:val="-6"/>
                <w:kern w:val="0"/>
                <w:szCs w:val="21"/>
                <w:u w:val="single"/>
              </w:rPr>
              <w:t>0.01 mg/m</w:t>
            </w:r>
            <w:r>
              <w:rPr>
                <w:b/>
                <w:bCs/>
                <w:color w:val="000000"/>
                <w:spacing w:val="-6"/>
                <w:kern w:val="0"/>
                <w:szCs w:val="21"/>
                <w:u w:val="single"/>
                <w:vertAlign w:val="superscript"/>
              </w:rPr>
              <w:t>3</w:t>
            </w:r>
          </w:p>
        </w:tc>
      </w:tr>
    </w:tbl>
    <w:p>
      <w:pPr>
        <w:adjustRightInd w:val="0"/>
        <w:snapToGrid w:val="0"/>
        <w:spacing w:line="500" w:lineRule="exact"/>
        <w:ind w:firstLine="482" w:firstLineChars="200"/>
        <w:rPr>
          <w:b/>
          <w:bCs/>
          <w:color w:val="000000"/>
          <w:sz w:val="24"/>
          <w:u w:val="single"/>
        </w:rPr>
      </w:pPr>
      <w:r>
        <w:rPr>
          <w:b/>
          <w:bCs/>
          <w:color w:val="000000"/>
          <w:sz w:val="24"/>
          <w:u w:val="single"/>
        </w:rPr>
        <w:t>从上表可以看出，本项目无组织排放NH</w:t>
      </w:r>
      <w:r>
        <w:rPr>
          <w:b/>
          <w:bCs/>
          <w:color w:val="000000"/>
          <w:sz w:val="24"/>
          <w:u w:val="single"/>
          <w:vertAlign w:val="subscript"/>
        </w:rPr>
        <w:t>3</w:t>
      </w:r>
      <w:r>
        <w:rPr>
          <w:b/>
          <w:bCs/>
          <w:color w:val="000000"/>
          <w:sz w:val="24"/>
          <w:u w:val="single"/>
        </w:rPr>
        <w:t>、H</w:t>
      </w:r>
      <w:r>
        <w:rPr>
          <w:b/>
          <w:bCs/>
          <w:color w:val="000000"/>
          <w:sz w:val="24"/>
          <w:u w:val="single"/>
          <w:vertAlign w:val="subscript"/>
        </w:rPr>
        <w:t>2</w:t>
      </w:r>
      <w:r>
        <w:rPr>
          <w:b/>
          <w:bCs/>
          <w:color w:val="000000"/>
          <w:sz w:val="24"/>
          <w:u w:val="single"/>
        </w:rPr>
        <w:t>S对敏感点NH</w:t>
      </w:r>
      <w:r>
        <w:rPr>
          <w:b/>
          <w:bCs/>
          <w:color w:val="000000"/>
          <w:sz w:val="24"/>
          <w:u w:val="single"/>
          <w:vertAlign w:val="subscript"/>
        </w:rPr>
        <w:t>3</w:t>
      </w:r>
      <w:r>
        <w:rPr>
          <w:b/>
          <w:bCs/>
          <w:color w:val="000000"/>
          <w:sz w:val="24"/>
          <w:u w:val="single"/>
        </w:rPr>
        <w:t>、H</w:t>
      </w:r>
      <w:r>
        <w:rPr>
          <w:b/>
          <w:bCs/>
          <w:color w:val="000000"/>
          <w:sz w:val="24"/>
          <w:u w:val="single"/>
          <w:vertAlign w:val="subscript"/>
        </w:rPr>
        <w:t>2</w:t>
      </w:r>
      <w:r>
        <w:rPr>
          <w:b/>
          <w:bCs/>
          <w:color w:val="000000"/>
          <w:sz w:val="24"/>
          <w:u w:val="single"/>
        </w:rPr>
        <w:t>S小时最大浓度贡献值出现在463m，占标率分别为</w:t>
      </w:r>
      <w:r>
        <w:rPr>
          <w:rFonts w:hint="eastAsia"/>
          <w:b/>
          <w:bCs/>
          <w:color w:val="000000"/>
          <w:sz w:val="24"/>
          <w:u w:val="single"/>
        </w:rPr>
        <w:t>5.59</w:t>
      </w:r>
      <w:r>
        <w:rPr>
          <w:b/>
          <w:bCs/>
          <w:color w:val="000000"/>
          <w:sz w:val="24"/>
          <w:u w:val="single"/>
        </w:rPr>
        <w:t>%、</w:t>
      </w:r>
      <w:r>
        <w:rPr>
          <w:rFonts w:hint="eastAsia"/>
          <w:b/>
          <w:bCs/>
          <w:color w:val="000000"/>
          <w:sz w:val="24"/>
          <w:u w:val="single"/>
        </w:rPr>
        <w:t>8.09</w:t>
      </w:r>
      <w:r>
        <w:rPr>
          <w:b/>
          <w:bCs/>
          <w:color w:val="000000"/>
          <w:sz w:val="24"/>
          <w:u w:val="single"/>
        </w:rPr>
        <w:t>%。</w:t>
      </w:r>
    </w:p>
    <w:p>
      <w:pPr>
        <w:adjustRightInd w:val="0"/>
        <w:snapToGrid w:val="0"/>
        <w:spacing w:line="500" w:lineRule="exact"/>
        <w:ind w:firstLine="482" w:firstLineChars="200"/>
        <w:rPr>
          <w:b/>
          <w:bCs/>
          <w:color w:val="000000"/>
          <w:sz w:val="24"/>
          <w:u w:val="single"/>
        </w:rPr>
      </w:pPr>
      <w:r>
        <w:rPr>
          <w:b/>
          <w:bCs/>
          <w:color w:val="000000"/>
          <w:sz w:val="24"/>
          <w:u w:val="single"/>
        </w:rPr>
        <w:t>（2）无组织排放厂界浓度贡献值预测</w:t>
      </w:r>
    </w:p>
    <w:p>
      <w:pPr>
        <w:adjustRightInd w:val="0"/>
        <w:snapToGrid w:val="0"/>
        <w:spacing w:line="500" w:lineRule="exact"/>
        <w:ind w:firstLine="482" w:firstLineChars="200"/>
        <w:rPr>
          <w:b/>
          <w:bCs/>
          <w:color w:val="000000"/>
          <w:sz w:val="24"/>
          <w:u w:val="single"/>
        </w:rPr>
      </w:pPr>
      <w:r>
        <w:rPr>
          <w:b/>
          <w:bCs/>
          <w:color w:val="000000"/>
          <w:sz w:val="24"/>
          <w:u w:val="single"/>
        </w:rPr>
        <w:t>预测本项目无组织面源污染物NH</w:t>
      </w:r>
      <w:r>
        <w:rPr>
          <w:b/>
          <w:bCs/>
          <w:color w:val="000000"/>
          <w:sz w:val="24"/>
          <w:u w:val="single"/>
          <w:vertAlign w:val="subscript"/>
        </w:rPr>
        <w:t>3</w:t>
      </w:r>
      <w:r>
        <w:rPr>
          <w:b/>
          <w:bCs/>
          <w:color w:val="000000"/>
          <w:sz w:val="24"/>
          <w:u w:val="single"/>
        </w:rPr>
        <w:t>、H</w:t>
      </w:r>
      <w:r>
        <w:rPr>
          <w:b/>
          <w:bCs/>
          <w:color w:val="000000"/>
          <w:sz w:val="24"/>
          <w:u w:val="single"/>
          <w:vertAlign w:val="subscript"/>
        </w:rPr>
        <w:t>2</w:t>
      </w:r>
      <w:r>
        <w:rPr>
          <w:b/>
          <w:bCs/>
          <w:color w:val="000000"/>
          <w:sz w:val="24"/>
          <w:u w:val="single"/>
        </w:rPr>
        <w:t>S对各场界的贡献值，预测结果见下表。</w:t>
      </w:r>
    </w:p>
    <w:p>
      <w:pPr>
        <w:jc w:val="center"/>
        <w:rPr>
          <w:b/>
          <w:bCs/>
          <w:color w:val="000000"/>
          <w:szCs w:val="21"/>
          <w:u w:val="single"/>
        </w:rPr>
      </w:pPr>
      <w:r>
        <w:rPr>
          <w:b/>
          <w:bCs/>
          <w:color w:val="000000"/>
          <w:szCs w:val="21"/>
          <w:u w:val="single"/>
        </w:rPr>
        <w:t>表4-16        场界无组织排放废气预测结果</w:t>
      </w:r>
    </w:p>
    <w:tbl>
      <w:tblPr>
        <w:tblStyle w:val="44"/>
        <w:tblW w:w="884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443"/>
        <w:gridCol w:w="1851"/>
        <w:gridCol w:w="1850"/>
        <w:gridCol w:w="1850"/>
        <w:gridCol w:w="18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443" w:type="dxa"/>
            <w:vMerge w:val="restart"/>
            <w:vAlign w:val="center"/>
          </w:tcPr>
          <w:p>
            <w:pPr>
              <w:spacing w:line="360" w:lineRule="exact"/>
              <w:ind w:left="-105" w:leftChars="-50" w:right="-105" w:rightChars="-50"/>
              <w:jc w:val="center"/>
              <w:rPr>
                <w:b/>
                <w:bCs/>
                <w:color w:val="000000"/>
                <w:szCs w:val="21"/>
                <w:u w:val="single"/>
              </w:rPr>
            </w:pPr>
            <w:r>
              <w:rPr>
                <w:b/>
                <w:bCs/>
                <w:color w:val="000000"/>
                <w:kern w:val="0"/>
                <w:szCs w:val="21"/>
                <w:u w:val="single"/>
              </w:rPr>
              <w:t>预测点</w:t>
            </w:r>
          </w:p>
        </w:tc>
        <w:tc>
          <w:tcPr>
            <w:tcW w:w="3701" w:type="dxa"/>
            <w:gridSpan w:val="2"/>
            <w:vAlign w:val="center"/>
          </w:tcPr>
          <w:p>
            <w:pPr>
              <w:spacing w:line="360" w:lineRule="exact"/>
              <w:ind w:left="-105" w:leftChars="-50" w:right="-105" w:rightChars="-50"/>
              <w:jc w:val="center"/>
              <w:rPr>
                <w:b/>
                <w:bCs/>
                <w:color w:val="000000"/>
                <w:szCs w:val="21"/>
                <w:u w:val="single"/>
              </w:rPr>
            </w:pPr>
            <w:r>
              <w:rPr>
                <w:b/>
                <w:bCs/>
                <w:color w:val="000000"/>
                <w:kern w:val="0"/>
                <w:szCs w:val="21"/>
                <w:u w:val="single"/>
              </w:rPr>
              <w:t>NH</w:t>
            </w:r>
            <w:r>
              <w:rPr>
                <w:b/>
                <w:bCs/>
                <w:color w:val="000000"/>
                <w:kern w:val="0"/>
                <w:szCs w:val="21"/>
                <w:u w:val="single"/>
                <w:vertAlign w:val="subscript"/>
              </w:rPr>
              <w:t>3</w:t>
            </w:r>
          </w:p>
        </w:tc>
        <w:tc>
          <w:tcPr>
            <w:tcW w:w="3700" w:type="dxa"/>
            <w:gridSpan w:val="2"/>
            <w:vAlign w:val="center"/>
          </w:tcPr>
          <w:p>
            <w:pPr>
              <w:spacing w:line="360" w:lineRule="exact"/>
              <w:ind w:left="-105" w:leftChars="-50" w:right="-105" w:rightChars="-50"/>
              <w:jc w:val="center"/>
              <w:rPr>
                <w:b/>
                <w:bCs/>
                <w:color w:val="000000"/>
                <w:szCs w:val="21"/>
                <w:u w:val="single"/>
              </w:rPr>
            </w:pPr>
            <w:r>
              <w:rPr>
                <w:b/>
                <w:bCs/>
                <w:color w:val="000000"/>
                <w:kern w:val="0"/>
                <w:szCs w:val="21"/>
                <w:u w:val="single"/>
              </w:rPr>
              <w:t>H</w:t>
            </w:r>
            <w:r>
              <w:rPr>
                <w:b/>
                <w:bCs/>
                <w:color w:val="000000"/>
                <w:kern w:val="0"/>
                <w:szCs w:val="21"/>
                <w:u w:val="single"/>
                <w:vertAlign w:val="subscript"/>
              </w:rPr>
              <w:t>2</w:t>
            </w:r>
            <w:r>
              <w:rPr>
                <w:b/>
                <w:bCs/>
                <w:color w:val="000000"/>
                <w:kern w:val="0"/>
                <w:szCs w:val="21"/>
                <w:u w:val="single"/>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443" w:type="dxa"/>
            <w:vMerge w:val="continue"/>
            <w:vAlign w:val="center"/>
          </w:tcPr>
          <w:p>
            <w:pPr>
              <w:rPr>
                <w:b/>
                <w:bCs/>
                <w:color w:val="000000"/>
                <w:szCs w:val="21"/>
                <w:u w:val="single"/>
              </w:rPr>
            </w:pPr>
          </w:p>
        </w:tc>
        <w:tc>
          <w:tcPr>
            <w:tcW w:w="1851" w:type="dxa"/>
            <w:vAlign w:val="center"/>
          </w:tcPr>
          <w:p>
            <w:pPr>
              <w:spacing w:line="360" w:lineRule="exact"/>
              <w:jc w:val="center"/>
              <w:rPr>
                <w:b/>
                <w:bCs/>
                <w:color w:val="000000"/>
                <w:szCs w:val="21"/>
                <w:u w:val="single"/>
              </w:rPr>
            </w:pPr>
            <w:r>
              <w:rPr>
                <w:b/>
                <w:bCs/>
                <w:color w:val="000000"/>
                <w:kern w:val="0"/>
                <w:szCs w:val="21"/>
                <w:u w:val="single"/>
              </w:rPr>
              <w:t>预测值（mg/m</w:t>
            </w:r>
            <w:r>
              <w:rPr>
                <w:b/>
                <w:bCs/>
                <w:color w:val="000000"/>
                <w:kern w:val="0"/>
                <w:szCs w:val="21"/>
                <w:u w:val="single"/>
                <w:vertAlign w:val="superscript"/>
              </w:rPr>
              <w:t>3</w:t>
            </w:r>
            <w:r>
              <w:rPr>
                <w:b/>
                <w:bCs/>
                <w:color w:val="000000"/>
                <w:kern w:val="0"/>
                <w:szCs w:val="21"/>
                <w:u w:val="single"/>
              </w:rPr>
              <w:t>）</w:t>
            </w:r>
          </w:p>
        </w:tc>
        <w:tc>
          <w:tcPr>
            <w:tcW w:w="1850" w:type="dxa"/>
            <w:vAlign w:val="center"/>
          </w:tcPr>
          <w:p>
            <w:pPr>
              <w:spacing w:line="360" w:lineRule="exact"/>
              <w:jc w:val="center"/>
              <w:rPr>
                <w:b/>
                <w:bCs/>
                <w:color w:val="000000"/>
                <w:szCs w:val="21"/>
                <w:u w:val="single"/>
              </w:rPr>
            </w:pPr>
            <w:r>
              <w:rPr>
                <w:b/>
                <w:bCs/>
                <w:color w:val="000000"/>
                <w:kern w:val="0"/>
                <w:szCs w:val="21"/>
                <w:u w:val="single"/>
              </w:rPr>
              <w:t>占标率（%）</w:t>
            </w:r>
          </w:p>
        </w:tc>
        <w:tc>
          <w:tcPr>
            <w:tcW w:w="1850" w:type="dxa"/>
            <w:vAlign w:val="center"/>
          </w:tcPr>
          <w:p>
            <w:pPr>
              <w:spacing w:line="360" w:lineRule="exact"/>
              <w:jc w:val="center"/>
              <w:rPr>
                <w:b/>
                <w:bCs/>
                <w:color w:val="000000"/>
                <w:szCs w:val="21"/>
                <w:u w:val="single"/>
              </w:rPr>
            </w:pPr>
            <w:r>
              <w:rPr>
                <w:b/>
                <w:bCs/>
                <w:color w:val="000000"/>
                <w:kern w:val="0"/>
                <w:szCs w:val="21"/>
                <w:u w:val="single"/>
              </w:rPr>
              <w:t>预测值（mg/m</w:t>
            </w:r>
            <w:r>
              <w:rPr>
                <w:b/>
                <w:bCs/>
                <w:color w:val="000000"/>
                <w:kern w:val="0"/>
                <w:szCs w:val="21"/>
                <w:u w:val="single"/>
                <w:vertAlign w:val="superscript"/>
              </w:rPr>
              <w:t>3</w:t>
            </w:r>
            <w:r>
              <w:rPr>
                <w:b/>
                <w:bCs/>
                <w:color w:val="000000"/>
                <w:kern w:val="0"/>
                <w:szCs w:val="21"/>
                <w:u w:val="single"/>
              </w:rPr>
              <w:t>）</w:t>
            </w:r>
          </w:p>
        </w:tc>
        <w:tc>
          <w:tcPr>
            <w:tcW w:w="1850" w:type="dxa"/>
            <w:vAlign w:val="center"/>
          </w:tcPr>
          <w:p>
            <w:pPr>
              <w:spacing w:line="360" w:lineRule="exact"/>
              <w:jc w:val="center"/>
              <w:rPr>
                <w:b/>
                <w:bCs/>
                <w:color w:val="000000"/>
                <w:szCs w:val="21"/>
                <w:u w:val="single"/>
              </w:rPr>
            </w:pPr>
            <w:r>
              <w:rPr>
                <w:b/>
                <w:bCs/>
                <w:color w:val="000000"/>
                <w:kern w:val="0"/>
                <w:szCs w:val="21"/>
                <w:u w:val="singl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443" w:type="dxa"/>
            <w:vAlign w:val="center"/>
          </w:tcPr>
          <w:p>
            <w:pPr>
              <w:spacing w:line="360" w:lineRule="exact"/>
              <w:ind w:left="-105" w:leftChars="-50" w:right="-105" w:rightChars="-50"/>
              <w:jc w:val="center"/>
              <w:rPr>
                <w:b/>
                <w:bCs/>
                <w:color w:val="000000"/>
                <w:szCs w:val="21"/>
                <w:u w:val="single"/>
              </w:rPr>
            </w:pPr>
            <w:r>
              <w:rPr>
                <w:b/>
                <w:bCs/>
                <w:color w:val="000000"/>
                <w:kern w:val="0"/>
                <w:szCs w:val="21"/>
                <w:u w:val="single"/>
              </w:rPr>
              <w:t>北场界</w:t>
            </w:r>
          </w:p>
        </w:tc>
        <w:tc>
          <w:tcPr>
            <w:tcW w:w="1851" w:type="dxa"/>
            <w:vAlign w:val="center"/>
          </w:tcPr>
          <w:p>
            <w:pPr>
              <w:jc w:val="center"/>
              <w:rPr>
                <w:b/>
                <w:bCs/>
                <w:color w:val="000000"/>
                <w:sz w:val="22"/>
                <w:szCs w:val="22"/>
                <w:u w:val="single"/>
              </w:rPr>
            </w:pPr>
            <w:r>
              <w:rPr>
                <w:b/>
                <w:bCs/>
                <w:color w:val="000000"/>
                <w:sz w:val="22"/>
                <w:szCs w:val="22"/>
                <w:u w:val="single"/>
              </w:rPr>
              <w:t>0.005634</w:t>
            </w:r>
          </w:p>
        </w:tc>
        <w:tc>
          <w:tcPr>
            <w:tcW w:w="1850" w:type="dxa"/>
            <w:vAlign w:val="center"/>
          </w:tcPr>
          <w:p>
            <w:pPr>
              <w:jc w:val="center"/>
              <w:rPr>
                <w:b/>
                <w:bCs/>
                <w:color w:val="000000"/>
                <w:sz w:val="22"/>
                <w:szCs w:val="22"/>
                <w:u w:val="single"/>
              </w:rPr>
            </w:pPr>
            <w:r>
              <w:rPr>
                <w:b/>
                <w:bCs/>
                <w:color w:val="000000"/>
                <w:sz w:val="22"/>
                <w:szCs w:val="22"/>
                <w:u w:val="single"/>
              </w:rPr>
              <w:t>2.82</w:t>
            </w:r>
          </w:p>
        </w:tc>
        <w:tc>
          <w:tcPr>
            <w:tcW w:w="1850" w:type="dxa"/>
            <w:vAlign w:val="center"/>
          </w:tcPr>
          <w:p>
            <w:pPr>
              <w:jc w:val="center"/>
              <w:rPr>
                <w:b/>
                <w:bCs/>
                <w:color w:val="000000"/>
                <w:sz w:val="22"/>
                <w:szCs w:val="22"/>
                <w:u w:val="single"/>
              </w:rPr>
            </w:pPr>
            <w:r>
              <w:rPr>
                <w:b/>
                <w:bCs/>
                <w:color w:val="000000"/>
                <w:sz w:val="22"/>
                <w:szCs w:val="22"/>
                <w:u w:val="single"/>
              </w:rPr>
              <w:t>0.000411</w:t>
            </w:r>
          </w:p>
        </w:tc>
        <w:tc>
          <w:tcPr>
            <w:tcW w:w="1850" w:type="dxa"/>
            <w:vAlign w:val="center"/>
          </w:tcPr>
          <w:p>
            <w:pPr>
              <w:jc w:val="center"/>
              <w:rPr>
                <w:b/>
                <w:bCs/>
                <w:color w:val="000000"/>
                <w:sz w:val="22"/>
                <w:szCs w:val="22"/>
                <w:u w:val="single"/>
              </w:rPr>
            </w:pPr>
            <w:r>
              <w:rPr>
                <w:b/>
                <w:bCs/>
                <w:color w:val="000000"/>
                <w:sz w:val="22"/>
                <w:szCs w:val="22"/>
                <w:u w:val="single"/>
              </w:rPr>
              <w:t>4.11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443" w:type="dxa"/>
            <w:vAlign w:val="center"/>
          </w:tcPr>
          <w:p>
            <w:pPr>
              <w:spacing w:line="360" w:lineRule="exact"/>
              <w:ind w:left="-105" w:leftChars="-50" w:right="-105" w:rightChars="-50"/>
              <w:jc w:val="center"/>
              <w:rPr>
                <w:b/>
                <w:bCs/>
                <w:color w:val="000000"/>
                <w:szCs w:val="21"/>
                <w:u w:val="single"/>
              </w:rPr>
            </w:pPr>
            <w:r>
              <w:rPr>
                <w:b/>
                <w:bCs/>
                <w:color w:val="000000"/>
                <w:kern w:val="0"/>
                <w:szCs w:val="21"/>
                <w:u w:val="single"/>
              </w:rPr>
              <w:t>南场界</w:t>
            </w:r>
          </w:p>
        </w:tc>
        <w:tc>
          <w:tcPr>
            <w:tcW w:w="1851" w:type="dxa"/>
            <w:vAlign w:val="center"/>
          </w:tcPr>
          <w:p>
            <w:pPr>
              <w:jc w:val="center"/>
              <w:rPr>
                <w:b/>
                <w:bCs/>
                <w:color w:val="000000"/>
                <w:szCs w:val="21"/>
                <w:u w:val="single"/>
              </w:rPr>
            </w:pPr>
            <w:r>
              <w:rPr>
                <w:b/>
                <w:bCs/>
                <w:color w:val="000000"/>
                <w:szCs w:val="21"/>
                <w:u w:val="single"/>
              </w:rPr>
              <w:t>0.003860</w:t>
            </w:r>
          </w:p>
        </w:tc>
        <w:tc>
          <w:tcPr>
            <w:tcW w:w="1850" w:type="dxa"/>
            <w:vAlign w:val="center"/>
          </w:tcPr>
          <w:p>
            <w:pPr>
              <w:jc w:val="center"/>
              <w:rPr>
                <w:b/>
                <w:bCs/>
                <w:color w:val="000000"/>
                <w:szCs w:val="21"/>
                <w:u w:val="single"/>
              </w:rPr>
            </w:pPr>
            <w:r>
              <w:rPr>
                <w:b/>
                <w:bCs/>
                <w:color w:val="000000"/>
                <w:szCs w:val="21"/>
                <w:u w:val="single"/>
              </w:rPr>
              <w:t>1.930</w:t>
            </w:r>
          </w:p>
        </w:tc>
        <w:tc>
          <w:tcPr>
            <w:tcW w:w="1850" w:type="dxa"/>
            <w:vAlign w:val="center"/>
          </w:tcPr>
          <w:p>
            <w:pPr>
              <w:jc w:val="center"/>
              <w:rPr>
                <w:b/>
                <w:bCs/>
                <w:color w:val="000000"/>
                <w:szCs w:val="21"/>
                <w:u w:val="single"/>
              </w:rPr>
            </w:pPr>
            <w:r>
              <w:rPr>
                <w:b/>
                <w:bCs/>
                <w:color w:val="000000"/>
                <w:szCs w:val="21"/>
                <w:u w:val="single"/>
              </w:rPr>
              <w:t>0.000227</w:t>
            </w:r>
          </w:p>
        </w:tc>
        <w:tc>
          <w:tcPr>
            <w:tcW w:w="1850" w:type="dxa"/>
            <w:vAlign w:val="center"/>
          </w:tcPr>
          <w:p>
            <w:pPr>
              <w:jc w:val="center"/>
              <w:rPr>
                <w:b/>
                <w:bCs/>
                <w:color w:val="000000"/>
                <w:szCs w:val="21"/>
                <w:u w:val="single"/>
              </w:rPr>
            </w:pPr>
            <w:r>
              <w:rPr>
                <w:b/>
                <w:bCs/>
                <w:color w:val="000000"/>
                <w:szCs w:val="21"/>
                <w:u w:val="single"/>
              </w:rPr>
              <w:t>2.275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443" w:type="dxa"/>
            <w:vAlign w:val="center"/>
          </w:tcPr>
          <w:p>
            <w:pPr>
              <w:spacing w:line="360" w:lineRule="exact"/>
              <w:ind w:left="-105" w:leftChars="-50" w:right="-105" w:rightChars="-50"/>
              <w:jc w:val="center"/>
              <w:rPr>
                <w:b/>
                <w:bCs/>
                <w:color w:val="000000"/>
                <w:szCs w:val="21"/>
                <w:u w:val="single"/>
              </w:rPr>
            </w:pPr>
            <w:r>
              <w:rPr>
                <w:b/>
                <w:bCs/>
                <w:color w:val="000000"/>
                <w:kern w:val="0"/>
                <w:szCs w:val="21"/>
                <w:u w:val="single"/>
              </w:rPr>
              <w:t>东场界</w:t>
            </w:r>
          </w:p>
        </w:tc>
        <w:tc>
          <w:tcPr>
            <w:tcW w:w="1851" w:type="dxa"/>
            <w:vAlign w:val="center"/>
          </w:tcPr>
          <w:p>
            <w:pPr>
              <w:jc w:val="center"/>
              <w:rPr>
                <w:b/>
                <w:bCs/>
                <w:color w:val="000000"/>
                <w:szCs w:val="21"/>
                <w:u w:val="single"/>
              </w:rPr>
            </w:pPr>
            <w:r>
              <w:rPr>
                <w:b/>
                <w:bCs/>
                <w:color w:val="000000"/>
                <w:szCs w:val="21"/>
                <w:u w:val="single"/>
              </w:rPr>
              <w:t>0.004213</w:t>
            </w:r>
          </w:p>
        </w:tc>
        <w:tc>
          <w:tcPr>
            <w:tcW w:w="1850" w:type="dxa"/>
            <w:vAlign w:val="center"/>
          </w:tcPr>
          <w:p>
            <w:pPr>
              <w:jc w:val="center"/>
              <w:rPr>
                <w:b/>
                <w:bCs/>
                <w:color w:val="000000"/>
                <w:szCs w:val="21"/>
                <w:u w:val="single"/>
              </w:rPr>
            </w:pPr>
            <w:r>
              <w:rPr>
                <w:b/>
                <w:bCs/>
                <w:color w:val="000000"/>
                <w:szCs w:val="21"/>
                <w:u w:val="single"/>
              </w:rPr>
              <w:t>2.107</w:t>
            </w:r>
          </w:p>
        </w:tc>
        <w:tc>
          <w:tcPr>
            <w:tcW w:w="1850" w:type="dxa"/>
            <w:vAlign w:val="center"/>
          </w:tcPr>
          <w:p>
            <w:pPr>
              <w:jc w:val="center"/>
              <w:rPr>
                <w:b/>
                <w:bCs/>
                <w:color w:val="000000"/>
                <w:szCs w:val="21"/>
                <w:u w:val="single"/>
              </w:rPr>
            </w:pPr>
            <w:r>
              <w:rPr>
                <w:b/>
                <w:bCs/>
                <w:color w:val="000000"/>
                <w:szCs w:val="21"/>
                <w:u w:val="single"/>
              </w:rPr>
              <w:t>0.000248</w:t>
            </w:r>
          </w:p>
        </w:tc>
        <w:tc>
          <w:tcPr>
            <w:tcW w:w="1850" w:type="dxa"/>
            <w:vAlign w:val="center"/>
          </w:tcPr>
          <w:p>
            <w:pPr>
              <w:jc w:val="center"/>
              <w:rPr>
                <w:b/>
                <w:bCs/>
                <w:color w:val="000000"/>
                <w:szCs w:val="21"/>
                <w:u w:val="single"/>
              </w:rPr>
            </w:pPr>
            <w:r>
              <w:rPr>
                <w:b/>
                <w:bCs/>
                <w:color w:val="000000"/>
                <w:szCs w:val="21"/>
                <w:u w:val="single"/>
              </w:rPr>
              <w:t>2.482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443" w:type="dxa"/>
            <w:vAlign w:val="center"/>
          </w:tcPr>
          <w:p>
            <w:pPr>
              <w:spacing w:line="360" w:lineRule="exact"/>
              <w:ind w:left="-105" w:leftChars="-50" w:right="-105" w:rightChars="-50"/>
              <w:jc w:val="center"/>
              <w:rPr>
                <w:b/>
                <w:bCs/>
                <w:color w:val="000000"/>
                <w:szCs w:val="21"/>
                <w:u w:val="single"/>
              </w:rPr>
            </w:pPr>
            <w:r>
              <w:rPr>
                <w:b/>
                <w:bCs/>
                <w:color w:val="000000"/>
                <w:kern w:val="0"/>
                <w:szCs w:val="21"/>
                <w:u w:val="single"/>
              </w:rPr>
              <w:t>西场界</w:t>
            </w:r>
          </w:p>
        </w:tc>
        <w:tc>
          <w:tcPr>
            <w:tcW w:w="1851" w:type="dxa"/>
            <w:vAlign w:val="center"/>
          </w:tcPr>
          <w:p>
            <w:pPr>
              <w:jc w:val="center"/>
              <w:rPr>
                <w:b/>
                <w:bCs/>
                <w:color w:val="000000"/>
                <w:szCs w:val="21"/>
                <w:u w:val="single"/>
              </w:rPr>
            </w:pPr>
            <w:r>
              <w:rPr>
                <w:b/>
                <w:bCs/>
                <w:color w:val="000000"/>
                <w:szCs w:val="21"/>
                <w:u w:val="single"/>
              </w:rPr>
              <w:t>0.004708</w:t>
            </w:r>
          </w:p>
        </w:tc>
        <w:tc>
          <w:tcPr>
            <w:tcW w:w="1850" w:type="dxa"/>
            <w:vAlign w:val="center"/>
          </w:tcPr>
          <w:p>
            <w:pPr>
              <w:jc w:val="center"/>
              <w:rPr>
                <w:b/>
                <w:bCs/>
                <w:color w:val="000000"/>
                <w:szCs w:val="21"/>
                <w:u w:val="single"/>
              </w:rPr>
            </w:pPr>
            <w:r>
              <w:rPr>
                <w:b/>
                <w:bCs/>
                <w:color w:val="000000"/>
                <w:szCs w:val="21"/>
                <w:u w:val="single"/>
              </w:rPr>
              <w:t>2.354</w:t>
            </w:r>
          </w:p>
        </w:tc>
        <w:tc>
          <w:tcPr>
            <w:tcW w:w="1850" w:type="dxa"/>
            <w:vAlign w:val="center"/>
          </w:tcPr>
          <w:p>
            <w:pPr>
              <w:jc w:val="center"/>
              <w:rPr>
                <w:b/>
                <w:bCs/>
                <w:color w:val="000000"/>
                <w:szCs w:val="21"/>
                <w:u w:val="single"/>
              </w:rPr>
            </w:pPr>
            <w:r>
              <w:rPr>
                <w:b/>
                <w:bCs/>
                <w:color w:val="000000"/>
                <w:szCs w:val="21"/>
                <w:u w:val="single"/>
              </w:rPr>
              <w:t>0.000278</w:t>
            </w:r>
          </w:p>
        </w:tc>
        <w:tc>
          <w:tcPr>
            <w:tcW w:w="1850" w:type="dxa"/>
            <w:vAlign w:val="center"/>
          </w:tcPr>
          <w:p>
            <w:pPr>
              <w:jc w:val="center"/>
              <w:rPr>
                <w:b/>
                <w:bCs/>
                <w:color w:val="000000"/>
                <w:szCs w:val="21"/>
                <w:u w:val="single"/>
              </w:rPr>
            </w:pPr>
            <w:r>
              <w:rPr>
                <w:b/>
                <w:bCs/>
                <w:color w:val="000000"/>
                <w:szCs w:val="21"/>
                <w:u w:val="single"/>
              </w:rPr>
              <w:t>2.774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443" w:type="dxa"/>
            <w:vAlign w:val="center"/>
          </w:tcPr>
          <w:p>
            <w:pPr>
              <w:spacing w:line="360" w:lineRule="exact"/>
              <w:ind w:left="-105" w:leftChars="-50" w:right="-105" w:rightChars="-50"/>
              <w:jc w:val="center"/>
              <w:rPr>
                <w:b/>
                <w:bCs/>
                <w:color w:val="000000"/>
                <w:szCs w:val="21"/>
                <w:u w:val="single"/>
              </w:rPr>
            </w:pPr>
            <w:r>
              <w:rPr>
                <w:b/>
                <w:bCs/>
                <w:color w:val="000000"/>
                <w:kern w:val="0"/>
                <w:szCs w:val="21"/>
                <w:u w:val="single"/>
              </w:rPr>
              <w:t>标准值</w:t>
            </w:r>
          </w:p>
        </w:tc>
        <w:tc>
          <w:tcPr>
            <w:tcW w:w="3701" w:type="dxa"/>
            <w:gridSpan w:val="2"/>
            <w:vAlign w:val="center"/>
          </w:tcPr>
          <w:p>
            <w:pPr>
              <w:spacing w:line="360" w:lineRule="exact"/>
              <w:jc w:val="center"/>
              <w:rPr>
                <w:b/>
                <w:bCs/>
                <w:color w:val="000000"/>
                <w:szCs w:val="21"/>
                <w:u w:val="single"/>
              </w:rPr>
            </w:pPr>
            <w:r>
              <w:rPr>
                <w:b/>
                <w:bCs/>
                <w:color w:val="000000"/>
                <w:kern w:val="0"/>
                <w:szCs w:val="21"/>
                <w:u w:val="single"/>
              </w:rPr>
              <w:t>0.06</w:t>
            </w:r>
          </w:p>
        </w:tc>
        <w:tc>
          <w:tcPr>
            <w:tcW w:w="3700" w:type="dxa"/>
            <w:gridSpan w:val="2"/>
            <w:vAlign w:val="center"/>
          </w:tcPr>
          <w:p>
            <w:pPr>
              <w:spacing w:line="360" w:lineRule="exact"/>
              <w:jc w:val="center"/>
              <w:rPr>
                <w:b/>
                <w:bCs/>
                <w:color w:val="000000"/>
                <w:szCs w:val="21"/>
                <w:u w:val="single"/>
              </w:rPr>
            </w:pPr>
            <w:r>
              <w:rPr>
                <w:b/>
                <w:bCs/>
                <w:color w:val="000000"/>
                <w:kern w:val="0"/>
                <w:szCs w:val="21"/>
                <w:u w:val="single"/>
              </w:rPr>
              <w:t>1.5</w:t>
            </w:r>
          </w:p>
        </w:tc>
      </w:tr>
    </w:tbl>
    <w:p>
      <w:pPr>
        <w:adjustRightInd w:val="0"/>
        <w:snapToGrid w:val="0"/>
        <w:spacing w:line="500" w:lineRule="exact"/>
        <w:ind w:firstLine="482" w:firstLineChars="200"/>
        <w:rPr>
          <w:b/>
          <w:bCs/>
          <w:color w:val="000000"/>
          <w:sz w:val="24"/>
          <w:u w:val="single"/>
        </w:rPr>
      </w:pPr>
      <w:r>
        <w:rPr>
          <w:b/>
          <w:bCs/>
          <w:color w:val="000000"/>
          <w:sz w:val="24"/>
          <w:u w:val="single"/>
        </w:rPr>
        <w:t>由上表可知，本项目无组织排放的NH</w:t>
      </w:r>
      <w:r>
        <w:rPr>
          <w:b/>
          <w:bCs/>
          <w:color w:val="000000"/>
          <w:sz w:val="24"/>
          <w:u w:val="single"/>
          <w:vertAlign w:val="subscript"/>
        </w:rPr>
        <w:t>3</w:t>
      </w:r>
      <w:r>
        <w:rPr>
          <w:b/>
          <w:bCs/>
          <w:color w:val="000000"/>
          <w:sz w:val="24"/>
          <w:u w:val="single"/>
        </w:rPr>
        <w:t>、H</w:t>
      </w:r>
      <w:r>
        <w:rPr>
          <w:b/>
          <w:bCs/>
          <w:color w:val="000000"/>
          <w:sz w:val="24"/>
          <w:u w:val="single"/>
          <w:vertAlign w:val="subscript"/>
        </w:rPr>
        <w:t>2</w:t>
      </w:r>
      <w:r>
        <w:rPr>
          <w:b/>
          <w:bCs/>
          <w:color w:val="000000"/>
          <w:sz w:val="24"/>
          <w:u w:val="single"/>
        </w:rPr>
        <w:t>S在各场界处的预测值均可达到对应的《恶臭污染物排放标准》（GB14554-93）场界浓度限值要求。</w:t>
      </w:r>
    </w:p>
    <w:p>
      <w:pPr>
        <w:adjustRightInd w:val="0"/>
        <w:snapToGrid w:val="0"/>
        <w:spacing w:line="500" w:lineRule="exact"/>
        <w:ind w:firstLine="482" w:firstLineChars="200"/>
        <w:rPr>
          <w:b/>
          <w:bCs/>
          <w:color w:val="000000"/>
          <w:sz w:val="24"/>
          <w:u w:val="single"/>
        </w:rPr>
      </w:pPr>
      <w:r>
        <w:rPr>
          <w:b/>
          <w:bCs/>
          <w:color w:val="000000"/>
          <w:sz w:val="24"/>
          <w:u w:val="single"/>
        </w:rPr>
        <w:t>2、有组织排放污染源贡献浓度预测</w:t>
      </w:r>
    </w:p>
    <w:p>
      <w:pPr>
        <w:adjustRightInd w:val="0"/>
        <w:snapToGrid w:val="0"/>
        <w:spacing w:line="500" w:lineRule="exact"/>
        <w:ind w:firstLine="482" w:firstLineChars="200"/>
        <w:rPr>
          <w:b/>
          <w:bCs/>
          <w:color w:val="000000"/>
          <w:sz w:val="24"/>
          <w:u w:val="single"/>
        </w:rPr>
      </w:pPr>
      <w:r>
        <w:rPr>
          <w:b/>
          <w:bCs/>
          <w:color w:val="000000"/>
          <w:sz w:val="24"/>
          <w:u w:val="single"/>
        </w:rPr>
        <w:t>有组织排放污染源贡献浓度预测结果见下表。</w:t>
      </w:r>
    </w:p>
    <w:p>
      <w:pPr>
        <w:jc w:val="center"/>
        <w:rPr>
          <w:b/>
          <w:bCs/>
          <w:color w:val="000000"/>
          <w:szCs w:val="21"/>
          <w:u w:val="single"/>
        </w:rPr>
      </w:pPr>
      <w:r>
        <w:rPr>
          <w:b/>
          <w:bCs/>
          <w:color w:val="000000"/>
          <w:szCs w:val="21"/>
          <w:u w:val="single"/>
        </w:rPr>
        <w:t>表4-17   本项目有组织排放SO</w:t>
      </w:r>
      <w:r>
        <w:rPr>
          <w:b/>
          <w:bCs/>
          <w:color w:val="000000"/>
          <w:szCs w:val="21"/>
          <w:u w:val="single"/>
          <w:vertAlign w:val="subscript"/>
        </w:rPr>
        <w:t>2</w:t>
      </w:r>
      <w:r>
        <w:rPr>
          <w:b/>
          <w:bCs/>
          <w:color w:val="000000"/>
          <w:szCs w:val="21"/>
          <w:u w:val="single"/>
        </w:rPr>
        <w:t>及NO</w:t>
      </w:r>
      <w:r>
        <w:rPr>
          <w:b/>
          <w:bCs/>
          <w:color w:val="000000"/>
          <w:szCs w:val="21"/>
          <w:u w:val="single"/>
          <w:vertAlign w:val="subscript"/>
        </w:rPr>
        <w:t>X</w:t>
      </w:r>
      <w:r>
        <w:rPr>
          <w:b/>
          <w:bCs/>
          <w:color w:val="000000"/>
          <w:szCs w:val="21"/>
          <w:u w:val="single"/>
        </w:rPr>
        <w:t>贡献值预测结果（mg/m</w:t>
      </w:r>
      <w:r>
        <w:rPr>
          <w:b/>
          <w:bCs/>
          <w:color w:val="000000"/>
          <w:szCs w:val="21"/>
          <w:u w:val="single"/>
          <w:vertAlign w:val="superscript"/>
        </w:rPr>
        <w:t>3</w:t>
      </w:r>
      <w:r>
        <w:rPr>
          <w:b/>
          <w:bCs/>
          <w:color w:val="000000"/>
          <w:szCs w:val="21"/>
          <w:u w:val="single"/>
        </w:rPr>
        <w:t>）</w:t>
      </w:r>
    </w:p>
    <w:tbl>
      <w:tblPr>
        <w:tblStyle w:val="44"/>
        <w:tblW w:w="8846"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57" w:type="dxa"/>
          <w:bottom w:w="0" w:type="dxa"/>
          <w:right w:w="57" w:type="dxa"/>
        </w:tblCellMar>
      </w:tblPr>
      <w:tblGrid>
        <w:gridCol w:w="1676"/>
        <w:gridCol w:w="1785"/>
        <w:gridCol w:w="1629"/>
        <w:gridCol w:w="2128"/>
        <w:gridCol w:w="162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blHeader/>
        </w:trPr>
        <w:tc>
          <w:tcPr>
            <w:tcW w:w="1676" w:type="dxa"/>
            <w:vMerge w:val="restart"/>
            <w:tcBorders>
              <w:top w:val="single" w:color="auto" w:sz="12" w:space="0"/>
              <w:left w:val="single" w:color="auto" w:sz="12" w:space="0"/>
              <w:bottom w:val="single" w:color="auto" w:sz="4" w:space="0"/>
              <w:right w:val="single" w:color="auto" w:sz="4" w:space="0"/>
            </w:tcBorders>
            <w:vAlign w:val="center"/>
          </w:tcPr>
          <w:p>
            <w:pPr>
              <w:adjustRightInd w:val="0"/>
              <w:snapToGrid w:val="0"/>
              <w:jc w:val="center"/>
              <w:rPr>
                <w:b/>
                <w:bCs/>
                <w:color w:val="000000"/>
                <w:spacing w:val="-6"/>
                <w:szCs w:val="21"/>
                <w:u w:val="single"/>
              </w:rPr>
            </w:pPr>
            <w:r>
              <w:rPr>
                <w:b/>
                <w:bCs/>
                <w:color w:val="000000"/>
                <w:spacing w:val="-6"/>
                <w:kern w:val="0"/>
                <w:szCs w:val="21"/>
                <w:u w:val="single"/>
              </w:rPr>
              <w:t>距离（m）</w:t>
            </w:r>
          </w:p>
        </w:tc>
        <w:tc>
          <w:tcPr>
            <w:tcW w:w="3414" w:type="dxa"/>
            <w:gridSpan w:val="2"/>
            <w:tcBorders>
              <w:top w:val="single" w:color="auto" w:sz="12" w:space="0"/>
              <w:left w:val="single" w:color="auto" w:sz="4" w:space="0"/>
              <w:bottom w:val="single" w:color="auto" w:sz="4" w:space="0"/>
              <w:right w:val="single" w:color="auto" w:sz="4" w:space="0"/>
            </w:tcBorders>
            <w:vAlign w:val="center"/>
          </w:tcPr>
          <w:p>
            <w:pPr>
              <w:ind w:firstLine="398" w:firstLineChars="200"/>
              <w:jc w:val="center"/>
              <w:rPr>
                <w:b/>
                <w:bCs/>
                <w:color w:val="000000"/>
                <w:spacing w:val="-6"/>
                <w:szCs w:val="21"/>
                <w:u w:val="single"/>
              </w:rPr>
            </w:pPr>
            <w:r>
              <w:rPr>
                <w:b/>
                <w:bCs/>
                <w:color w:val="000000"/>
                <w:spacing w:val="-6"/>
                <w:kern w:val="0"/>
                <w:szCs w:val="21"/>
                <w:u w:val="single"/>
              </w:rPr>
              <w:t>SO</w:t>
            </w:r>
            <w:r>
              <w:rPr>
                <w:b/>
                <w:bCs/>
                <w:color w:val="000000"/>
                <w:spacing w:val="-6"/>
                <w:kern w:val="0"/>
                <w:szCs w:val="21"/>
                <w:u w:val="single"/>
                <w:vertAlign w:val="subscript"/>
              </w:rPr>
              <w:t>2</w:t>
            </w:r>
            <w:r>
              <w:rPr>
                <w:b/>
                <w:bCs/>
                <w:color w:val="000000"/>
                <w:spacing w:val="-6"/>
                <w:kern w:val="0"/>
                <w:szCs w:val="21"/>
                <w:u w:val="single"/>
              </w:rPr>
              <w:t>1小时最大浓度</w:t>
            </w:r>
          </w:p>
        </w:tc>
        <w:tc>
          <w:tcPr>
            <w:tcW w:w="3756" w:type="dxa"/>
            <w:gridSpan w:val="2"/>
            <w:tcBorders>
              <w:top w:val="single" w:color="auto" w:sz="12" w:space="0"/>
              <w:left w:val="single" w:color="auto" w:sz="4" w:space="0"/>
              <w:bottom w:val="single" w:color="auto" w:sz="4" w:space="0"/>
              <w:right w:val="single" w:color="auto" w:sz="12" w:space="0"/>
            </w:tcBorders>
            <w:vAlign w:val="center"/>
          </w:tcPr>
          <w:p>
            <w:pPr>
              <w:jc w:val="center"/>
              <w:rPr>
                <w:b/>
                <w:bCs/>
                <w:color w:val="000000"/>
                <w:spacing w:val="-6"/>
                <w:szCs w:val="21"/>
                <w:u w:val="single"/>
              </w:rPr>
            </w:pPr>
            <w:r>
              <w:rPr>
                <w:b/>
                <w:bCs/>
                <w:color w:val="000000"/>
                <w:spacing w:val="-6"/>
                <w:kern w:val="0"/>
                <w:szCs w:val="21"/>
                <w:u w:val="single"/>
              </w:rPr>
              <w:t>NO</w:t>
            </w:r>
            <w:r>
              <w:rPr>
                <w:b/>
                <w:bCs/>
                <w:color w:val="000000"/>
                <w:spacing w:val="-6"/>
                <w:kern w:val="0"/>
                <w:szCs w:val="21"/>
                <w:u w:val="single"/>
                <w:vertAlign w:val="subscript"/>
              </w:rPr>
              <w:t>X</w:t>
            </w:r>
            <w:r>
              <w:rPr>
                <w:b/>
                <w:bCs/>
                <w:color w:val="000000"/>
                <w:spacing w:val="-6"/>
                <w:kern w:val="0"/>
                <w:szCs w:val="21"/>
                <w:u w:val="single"/>
              </w:rPr>
              <w:t>1小时平均最大浓度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blHeader/>
        </w:trPr>
        <w:tc>
          <w:tcPr>
            <w:tcW w:w="1676" w:type="dxa"/>
            <w:vMerge w:val="continue"/>
            <w:tcBorders>
              <w:top w:val="single" w:color="auto" w:sz="4" w:space="0"/>
              <w:left w:val="single" w:color="auto" w:sz="12" w:space="0"/>
              <w:bottom w:val="single" w:color="auto" w:sz="4" w:space="0"/>
              <w:right w:val="single" w:color="auto" w:sz="4" w:space="0"/>
            </w:tcBorders>
            <w:vAlign w:val="center"/>
          </w:tcPr>
          <w:p>
            <w:pPr>
              <w:jc w:val="center"/>
              <w:rPr>
                <w:b/>
                <w:bCs/>
                <w:color w:val="000000"/>
                <w:szCs w:val="21"/>
                <w:u w:val="single"/>
              </w:rPr>
            </w:pPr>
          </w:p>
        </w:tc>
        <w:tc>
          <w:tcPr>
            <w:tcW w:w="17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color w:val="000000"/>
                <w:spacing w:val="-6"/>
                <w:szCs w:val="21"/>
                <w:u w:val="single"/>
              </w:rPr>
            </w:pPr>
            <w:r>
              <w:rPr>
                <w:b/>
                <w:bCs/>
                <w:color w:val="000000"/>
                <w:spacing w:val="-6"/>
                <w:kern w:val="0"/>
                <w:szCs w:val="21"/>
                <w:u w:val="single"/>
              </w:rPr>
              <w:t>预测浓度</w:t>
            </w:r>
          </w:p>
        </w:tc>
        <w:tc>
          <w:tcPr>
            <w:tcW w:w="162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color w:val="000000"/>
                <w:spacing w:val="-6"/>
                <w:szCs w:val="21"/>
                <w:u w:val="single"/>
              </w:rPr>
            </w:pPr>
            <w:r>
              <w:rPr>
                <w:b/>
                <w:bCs/>
                <w:color w:val="000000"/>
                <w:spacing w:val="-6"/>
                <w:kern w:val="0"/>
                <w:szCs w:val="21"/>
                <w:u w:val="single"/>
              </w:rPr>
              <w:t>占标率%</w:t>
            </w:r>
          </w:p>
        </w:tc>
        <w:tc>
          <w:tcPr>
            <w:tcW w:w="21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color w:val="000000"/>
                <w:spacing w:val="-6"/>
                <w:szCs w:val="21"/>
                <w:u w:val="single"/>
              </w:rPr>
            </w:pPr>
            <w:r>
              <w:rPr>
                <w:b/>
                <w:bCs/>
                <w:color w:val="000000"/>
                <w:spacing w:val="-6"/>
                <w:kern w:val="0"/>
                <w:szCs w:val="21"/>
                <w:u w:val="single"/>
              </w:rPr>
              <w:t>预测浓度</w:t>
            </w:r>
          </w:p>
        </w:tc>
        <w:tc>
          <w:tcPr>
            <w:tcW w:w="1628"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b/>
                <w:bCs/>
                <w:color w:val="000000"/>
                <w:spacing w:val="-6"/>
                <w:szCs w:val="21"/>
                <w:u w:val="single"/>
              </w:rPr>
            </w:pPr>
            <w:r>
              <w:rPr>
                <w:b/>
                <w:bCs/>
                <w:color w:val="000000"/>
                <w:spacing w:val="-6"/>
                <w:kern w:val="0"/>
                <w:szCs w:val="21"/>
                <w:u w:val="single"/>
              </w:rPr>
              <w:t>占标率%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tcMar>
              <w:left w:w="28" w:type="dxa"/>
              <w:right w:w="28" w:type="dxa"/>
            </w:tcMar>
            <w:vAlign w:val="center"/>
          </w:tcPr>
          <w:p>
            <w:pPr>
              <w:widowControl/>
              <w:jc w:val="center"/>
              <w:textAlignment w:val="center"/>
              <w:rPr>
                <w:b/>
                <w:bCs/>
                <w:color w:val="000000"/>
                <w:spacing w:val="-6"/>
                <w:szCs w:val="21"/>
                <w:u w:val="single"/>
              </w:rPr>
            </w:pPr>
            <w:r>
              <w:rPr>
                <w:b/>
                <w:bCs/>
                <w:color w:val="000000"/>
                <w:kern w:val="0"/>
                <w:szCs w:val="21"/>
                <w:u w:val="single"/>
              </w:rPr>
              <w:t>100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0.0001007</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0.02</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0.0007274</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0.36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200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0.0001039</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0.02</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0.00075</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0.37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300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0.00009846</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0.02</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0.000711</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0.36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400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0.00008974</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0.02</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0.0006481</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0.32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500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0.00008147</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0.02</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0.0005883</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0.29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600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0.00007082</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0.0005114</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0.26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700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0.00006085</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0.0004394</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0.22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800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0.00005232</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0.0003778</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900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0.00004524</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0.0003267</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1000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0.00003939</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0.0002845</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1100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0.0000378</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0.000273</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1200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0.00003852</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0.0002782</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1300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0.00003877</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0.00028</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1400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0.00003866</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0.0002792</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1500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0.00003828</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0.0002764</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1600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0.0000377</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0.0002722</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1700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0.00003697</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0.000267</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1800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0.00003615</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0.000261</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1900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0.00003526</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0.0002546</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2000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0.00003433</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0.0002479</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2100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0.00003331</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0.0002405</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2200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0.00003231</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0.0002333</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2300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0.00003134</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0.0002263</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szCs w:val="21"/>
                <w:u w:val="single"/>
              </w:rPr>
            </w:pPr>
            <w:r>
              <w:rPr>
                <w:b/>
                <w:bCs/>
                <w:color w:val="000000"/>
                <w:kern w:val="0"/>
                <w:szCs w:val="21"/>
                <w:u w:val="single"/>
              </w:rPr>
              <w:t>2400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0.00003039</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0.0002195</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b/>
                <w:bCs/>
                <w:color w:val="000000"/>
                <w:spacing w:val="-6"/>
                <w:kern w:val="0"/>
                <w:szCs w:val="21"/>
                <w:u w:val="single"/>
              </w:rPr>
            </w:pPr>
            <w:r>
              <w:rPr>
                <w:b/>
                <w:bCs/>
                <w:color w:val="000000"/>
                <w:kern w:val="0"/>
                <w:szCs w:val="21"/>
                <w:u w:val="single"/>
              </w:rPr>
              <w:t>2500</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0.00002948</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0.01</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0.0002129</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0.11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b/>
                <w:bCs/>
                <w:color w:val="000000"/>
                <w:spacing w:val="-6"/>
                <w:szCs w:val="21"/>
                <w:u w:val="single"/>
              </w:rPr>
            </w:pPr>
            <w:r>
              <w:rPr>
                <w:b/>
                <w:bCs/>
                <w:color w:val="000000"/>
                <w:spacing w:val="-6"/>
                <w:kern w:val="0"/>
                <w:szCs w:val="21"/>
                <w:u w:val="single"/>
              </w:rPr>
              <w:t>最大浓度（1</w:t>
            </w:r>
            <w:r>
              <w:rPr>
                <w:rFonts w:hint="eastAsia"/>
                <w:b/>
                <w:bCs/>
                <w:color w:val="000000"/>
                <w:spacing w:val="-6"/>
                <w:kern w:val="0"/>
                <w:szCs w:val="21"/>
                <w:u w:val="single"/>
              </w:rPr>
              <w:t>50</w:t>
            </w:r>
            <w:r>
              <w:rPr>
                <w:b/>
                <w:bCs/>
                <w:color w:val="000000"/>
                <w:spacing w:val="-6"/>
                <w:kern w:val="0"/>
                <w:szCs w:val="21"/>
                <w:u w:val="single"/>
              </w:rPr>
              <w:t>m）</w:t>
            </w:r>
          </w:p>
        </w:tc>
        <w:tc>
          <w:tcPr>
            <w:tcW w:w="178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0.0001085</w:t>
            </w:r>
          </w:p>
        </w:tc>
        <w:tc>
          <w:tcPr>
            <w:tcW w:w="16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0.02</w:t>
            </w:r>
          </w:p>
        </w:tc>
        <w:tc>
          <w:tcPr>
            <w:tcW w:w="2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0.0007838</w:t>
            </w:r>
          </w:p>
        </w:tc>
        <w:tc>
          <w:tcPr>
            <w:tcW w:w="1628" w:type="dxa"/>
            <w:tcBorders>
              <w:top w:val="single" w:color="auto" w:sz="4" w:space="0"/>
              <w:left w:val="single" w:color="auto" w:sz="4" w:space="0"/>
              <w:bottom w:val="single" w:color="auto" w:sz="4" w:space="0"/>
              <w:right w:val="single" w:color="auto" w:sz="12" w:space="0"/>
            </w:tcBorders>
            <w:vAlign w:val="center"/>
          </w:tcPr>
          <w:p>
            <w:pPr>
              <w:jc w:val="center"/>
              <w:rPr>
                <w:rFonts w:ascii="宋体" w:hAnsi="宋体" w:cs="宋体"/>
                <w:b/>
                <w:bCs/>
                <w:color w:val="000000"/>
                <w:sz w:val="22"/>
                <w:szCs w:val="22"/>
                <w:u w:val="single"/>
              </w:rPr>
            </w:pPr>
            <w:r>
              <w:rPr>
                <w:rFonts w:hint="eastAsia"/>
                <w:b/>
                <w:bCs/>
                <w:color w:val="000000"/>
                <w:sz w:val="22"/>
                <w:szCs w:val="22"/>
                <w:u w:val="single"/>
              </w:rPr>
              <w:t>0.39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57" w:type="dxa"/>
            <w:bottom w:w="0" w:type="dxa"/>
            <w:right w:w="57" w:type="dxa"/>
          </w:tblCellMar>
        </w:tblPrEx>
        <w:trPr>
          <w:trHeight w:val="397" w:hRule="atLeast"/>
        </w:trPr>
        <w:tc>
          <w:tcPr>
            <w:tcW w:w="1676" w:type="dxa"/>
            <w:tcBorders>
              <w:top w:val="single" w:color="auto" w:sz="4" w:space="0"/>
              <w:left w:val="single" w:color="auto" w:sz="12" w:space="0"/>
              <w:bottom w:val="single" w:color="auto" w:sz="12" w:space="0"/>
              <w:right w:val="single" w:color="auto" w:sz="4" w:space="0"/>
            </w:tcBorders>
            <w:vAlign w:val="center"/>
          </w:tcPr>
          <w:p>
            <w:pPr>
              <w:adjustRightInd w:val="0"/>
              <w:snapToGrid w:val="0"/>
              <w:jc w:val="center"/>
              <w:rPr>
                <w:b/>
                <w:bCs/>
                <w:color w:val="000000"/>
                <w:spacing w:val="-6"/>
                <w:szCs w:val="21"/>
                <w:u w:val="single"/>
              </w:rPr>
            </w:pPr>
            <w:r>
              <w:rPr>
                <w:b/>
                <w:bCs/>
                <w:color w:val="000000"/>
                <w:spacing w:val="-6"/>
                <w:kern w:val="0"/>
                <w:szCs w:val="21"/>
                <w:u w:val="single"/>
              </w:rPr>
              <w:t>标准</w:t>
            </w:r>
          </w:p>
        </w:tc>
        <w:tc>
          <w:tcPr>
            <w:tcW w:w="3414" w:type="dxa"/>
            <w:gridSpan w:val="2"/>
            <w:tcBorders>
              <w:top w:val="single" w:color="auto" w:sz="4" w:space="0"/>
              <w:left w:val="single" w:color="auto" w:sz="4" w:space="0"/>
              <w:bottom w:val="single" w:color="auto" w:sz="12" w:space="0"/>
              <w:right w:val="single" w:color="auto" w:sz="4" w:space="0"/>
            </w:tcBorders>
            <w:vAlign w:val="center"/>
          </w:tcPr>
          <w:p>
            <w:pPr>
              <w:jc w:val="center"/>
              <w:rPr>
                <w:b/>
                <w:bCs/>
                <w:color w:val="000000"/>
                <w:spacing w:val="-6"/>
                <w:szCs w:val="21"/>
                <w:u w:val="single"/>
              </w:rPr>
            </w:pPr>
            <w:r>
              <w:rPr>
                <w:b/>
                <w:bCs/>
                <w:color w:val="000000"/>
                <w:spacing w:val="-6"/>
                <w:kern w:val="0"/>
                <w:szCs w:val="21"/>
                <w:u w:val="single"/>
              </w:rPr>
              <w:t>0.5mg/m</w:t>
            </w:r>
            <w:r>
              <w:rPr>
                <w:b/>
                <w:bCs/>
                <w:color w:val="000000"/>
                <w:spacing w:val="-6"/>
                <w:kern w:val="0"/>
                <w:szCs w:val="21"/>
                <w:u w:val="single"/>
                <w:vertAlign w:val="superscript"/>
              </w:rPr>
              <w:t>3</w:t>
            </w:r>
          </w:p>
        </w:tc>
        <w:tc>
          <w:tcPr>
            <w:tcW w:w="3756" w:type="dxa"/>
            <w:gridSpan w:val="2"/>
            <w:tcBorders>
              <w:top w:val="single" w:color="auto" w:sz="4" w:space="0"/>
              <w:left w:val="single" w:color="auto" w:sz="4" w:space="0"/>
              <w:bottom w:val="single" w:color="auto" w:sz="12" w:space="0"/>
              <w:right w:val="single" w:color="auto" w:sz="12" w:space="0"/>
            </w:tcBorders>
            <w:vAlign w:val="center"/>
          </w:tcPr>
          <w:p>
            <w:pPr>
              <w:jc w:val="center"/>
              <w:rPr>
                <w:b/>
                <w:bCs/>
                <w:color w:val="000000"/>
                <w:spacing w:val="-6"/>
                <w:szCs w:val="21"/>
                <w:u w:val="single"/>
              </w:rPr>
            </w:pPr>
            <w:r>
              <w:rPr>
                <w:b/>
                <w:bCs/>
                <w:color w:val="000000"/>
                <w:spacing w:val="-6"/>
                <w:kern w:val="0"/>
                <w:szCs w:val="21"/>
                <w:u w:val="single"/>
              </w:rPr>
              <w:t>0.2mg/m</w:t>
            </w:r>
            <w:r>
              <w:rPr>
                <w:b/>
                <w:bCs/>
                <w:color w:val="000000"/>
                <w:spacing w:val="-6"/>
                <w:kern w:val="0"/>
                <w:szCs w:val="21"/>
                <w:u w:val="single"/>
                <w:vertAlign w:val="superscript"/>
              </w:rPr>
              <w:t>3</w:t>
            </w:r>
          </w:p>
        </w:tc>
      </w:tr>
    </w:tbl>
    <w:p>
      <w:pPr>
        <w:adjustRightInd w:val="0"/>
        <w:snapToGrid w:val="0"/>
        <w:spacing w:line="500" w:lineRule="exact"/>
        <w:ind w:firstLine="482" w:firstLineChars="200"/>
        <w:rPr>
          <w:b/>
          <w:bCs/>
          <w:color w:val="000000"/>
          <w:sz w:val="24"/>
          <w:u w:val="single"/>
        </w:rPr>
      </w:pPr>
      <w:r>
        <w:rPr>
          <w:b/>
          <w:bCs/>
          <w:color w:val="000000"/>
          <w:sz w:val="24"/>
          <w:u w:val="single"/>
        </w:rPr>
        <w:t>从上表可以看出，本项目有组织排放SO</w:t>
      </w:r>
      <w:r>
        <w:rPr>
          <w:b/>
          <w:bCs/>
          <w:color w:val="000000"/>
          <w:sz w:val="24"/>
          <w:u w:val="single"/>
          <w:vertAlign w:val="subscript"/>
        </w:rPr>
        <w:t>2</w:t>
      </w:r>
      <w:r>
        <w:rPr>
          <w:b/>
          <w:bCs/>
          <w:color w:val="000000"/>
          <w:sz w:val="24"/>
          <w:u w:val="single"/>
        </w:rPr>
        <w:t>、NO</w:t>
      </w:r>
      <w:r>
        <w:rPr>
          <w:b/>
          <w:bCs/>
          <w:color w:val="000000"/>
          <w:sz w:val="24"/>
          <w:u w:val="single"/>
          <w:vertAlign w:val="subscript"/>
        </w:rPr>
        <w:t>X</w:t>
      </w:r>
      <w:r>
        <w:rPr>
          <w:b/>
          <w:bCs/>
          <w:color w:val="000000"/>
          <w:sz w:val="24"/>
          <w:u w:val="single"/>
        </w:rPr>
        <w:t>小时最大浓度贡献值出现在1</w:t>
      </w:r>
      <w:r>
        <w:rPr>
          <w:rFonts w:hint="eastAsia"/>
          <w:b/>
          <w:bCs/>
          <w:color w:val="000000"/>
          <w:sz w:val="24"/>
          <w:u w:val="single"/>
        </w:rPr>
        <w:t>50</w:t>
      </w:r>
      <w:r>
        <w:rPr>
          <w:b/>
          <w:bCs/>
          <w:color w:val="000000"/>
          <w:sz w:val="24"/>
          <w:u w:val="single"/>
        </w:rPr>
        <w:t>m，占标率分别为0.02%、</w:t>
      </w:r>
      <w:r>
        <w:rPr>
          <w:rFonts w:hint="eastAsia"/>
          <w:b/>
          <w:bCs/>
          <w:color w:val="000000"/>
          <w:sz w:val="24"/>
          <w:u w:val="single"/>
        </w:rPr>
        <w:t>0.39</w:t>
      </w:r>
      <w:r>
        <w:rPr>
          <w:b/>
          <w:bCs/>
          <w:color w:val="000000"/>
          <w:sz w:val="24"/>
          <w:u w:val="single"/>
        </w:rPr>
        <w:t>%。</w:t>
      </w:r>
    </w:p>
    <w:p>
      <w:pPr>
        <w:spacing w:before="198" w:beforeLines="50" w:line="500" w:lineRule="exact"/>
        <w:ind w:firstLine="471"/>
        <w:rPr>
          <w:b/>
          <w:bCs w:val="0"/>
          <w:color w:val="000000"/>
          <w:sz w:val="24"/>
          <w:u w:val="single"/>
        </w:rPr>
      </w:pPr>
      <w:r>
        <w:rPr>
          <w:b/>
          <w:bCs w:val="0"/>
          <w:color w:val="000000"/>
          <w:sz w:val="24"/>
          <w:u w:val="single"/>
        </w:rPr>
        <w:t>经计算，确定本项目大气环境影响评价工作等级为</w:t>
      </w:r>
      <w:r>
        <w:rPr>
          <w:rFonts w:hint="eastAsia"/>
          <w:b/>
          <w:bCs w:val="0"/>
          <w:color w:val="000000"/>
          <w:sz w:val="24"/>
          <w:u w:val="single"/>
        </w:rPr>
        <w:t>二</w:t>
      </w:r>
      <w:r>
        <w:rPr>
          <w:b/>
          <w:bCs w:val="0"/>
          <w:color w:val="000000"/>
          <w:sz w:val="24"/>
          <w:u w:val="single"/>
        </w:rPr>
        <w:t>级。</w:t>
      </w:r>
      <w:r>
        <w:rPr>
          <w:rFonts w:hint="eastAsia"/>
          <w:b/>
          <w:bCs w:val="0"/>
          <w:color w:val="000000"/>
          <w:sz w:val="24"/>
          <w:u w:val="single"/>
        </w:rPr>
        <w:t>二级评价项目，不进行进一步预测与评价，只对污染物排放量进行核算。</w:t>
      </w:r>
    </w:p>
    <w:p>
      <w:pPr>
        <w:spacing w:line="500" w:lineRule="exact"/>
        <w:ind w:firstLine="471"/>
        <w:rPr>
          <w:rFonts w:hint="eastAsia"/>
          <w:b/>
          <w:bCs w:val="0"/>
          <w:color w:val="000000"/>
          <w:sz w:val="24"/>
          <w:u w:val="single"/>
        </w:rPr>
      </w:pPr>
      <w:r>
        <w:rPr>
          <w:rFonts w:hint="eastAsia"/>
          <w:b/>
          <w:bCs w:val="0"/>
          <w:color w:val="000000"/>
          <w:sz w:val="24"/>
          <w:u w:val="single"/>
          <w:lang w:val="en-US" w:eastAsia="zh-CN"/>
        </w:rPr>
        <w:t>3</w:t>
      </w:r>
      <w:r>
        <w:rPr>
          <w:rFonts w:hint="eastAsia"/>
          <w:b/>
          <w:bCs w:val="0"/>
          <w:color w:val="000000"/>
          <w:sz w:val="24"/>
          <w:u w:val="single"/>
        </w:rPr>
        <w:t>、污染物排放量核算</w:t>
      </w:r>
    </w:p>
    <w:p>
      <w:pPr>
        <w:spacing w:line="360" w:lineRule="exact"/>
        <w:ind w:firstLine="472"/>
        <w:jc w:val="center"/>
        <w:rPr>
          <w:rFonts w:ascii="Times New Roman" w:hAnsi="Times New Roman"/>
          <w:b/>
          <w:bCs w:val="0"/>
          <w:color w:val="000000"/>
          <w:sz w:val="24"/>
          <w:szCs w:val="24"/>
          <w:u w:val="single"/>
        </w:rPr>
      </w:pPr>
      <w:r>
        <w:rPr>
          <w:rFonts w:hint="eastAsia" w:ascii="Times New Roman" w:hAnsi="Times New Roman"/>
          <w:b/>
          <w:bCs w:val="0"/>
          <w:color w:val="000000"/>
          <w:sz w:val="24"/>
          <w:szCs w:val="24"/>
          <w:u w:val="single"/>
        </w:rPr>
        <w:t>表</w:t>
      </w:r>
      <w:r>
        <w:rPr>
          <w:rFonts w:ascii="Times New Roman" w:hAnsi="Times New Roman"/>
          <w:b/>
          <w:bCs w:val="0"/>
          <w:color w:val="000000"/>
          <w:sz w:val="24"/>
          <w:szCs w:val="24"/>
          <w:u w:val="single"/>
        </w:rPr>
        <w:t>4</w:t>
      </w:r>
      <w:r>
        <w:rPr>
          <w:rFonts w:hint="eastAsia" w:ascii="Times New Roman" w:hAnsi="Times New Roman"/>
          <w:b/>
          <w:bCs w:val="0"/>
          <w:color w:val="000000"/>
          <w:sz w:val="24"/>
          <w:szCs w:val="24"/>
          <w:u w:val="single"/>
        </w:rPr>
        <w:t>-19</w:t>
      </w:r>
      <w:r>
        <w:rPr>
          <w:rFonts w:ascii="Times New Roman" w:hAnsi="Times New Roman"/>
          <w:b/>
          <w:bCs w:val="0"/>
          <w:color w:val="000000"/>
          <w:sz w:val="24"/>
          <w:szCs w:val="24"/>
          <w:u w:val="single"/>
        </w:rPr>
        <w:t xml:space="preserve">  </w:t>
      </w:r>
      <w:r>
        <w:rPr>
          <w:rFonts w:ascii="Times New Roman" w:hAnsi="宋体"/>
          <w:b/>
          <w:bCs w:val="0"/>
          <w:color w:val="000000"/>
          <w:sz w:val="24"/>
          <w:szCs w:val="24"/>
          <w:u w:val="single"/>
        </w:rPr>
        <w:t>大气污染物有组织排放量核算表</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1490"/>
        <w:gridCol w:w="1491"/>
        <w:gridCol w:w="1491"/>
        <w:gridCol w:w="1492"/>
        <w:gridCol w:w="14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序号</w:t>
            </w:r>
          </w:p>
        </w:tc>
        <w:tc>
          <w:tcPr>
            <w:tcW w:w="1490"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排放口编号</w:t>
            </w:r>
          </w:p>
        </w:tc>
        <w:tc>
          <w:tcPr>
            <w:tcW w:w="1491"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污染物</w:t>
            </w:r>
          </w:p>
        </w:tc>
        <w:tc>
          <w:tcPr>
            <w:tcW w:w="1491"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核算排放浓度（</w:t>
            </w:r>
            <w:r>
              <w:rPr>
                <w:rFonts w:ascii="Times New Roman" w:hAnsi="Times New Roman"/>
                <w:b/>
                <w:bCs w:val="0"/>
                <w:color w:val="000000"/>
                <w:sz w:val="21"/>
                <w:szCs w:val="21"/>
                <w:u w:val="single"/>
              </w:rPr>
              <w:t>mg/m</w:t>
            </w:r>
            <w:r>
              <w:rPr>
                <w:rFonts w:ascii="Times New Roman" w:hAnsi="Times New Roman"/>
                <w:b/>
                <w:bCs w:val="0"/>
                <w:color w:val="000000"/>
                <w:sz w:val="21"/>
                <w:szCs w:val="21"/>
                <w:u w:val="single"/>
                <w:vertAlign w:val="superscript"/>
              </w:rPr>
              <w:t>3</w:t>
            </w:r>
            <w:r>
              <w:rPr>
                <w:rFonts w:ascii="Times New Roman" w:hAnsi="宋体"/>
                <w:b/>
                <w:bCs w:val="0"/>
                <w:color w:val="000000"/>
                <w:sz w:val="21"/>
                <w:szCs w:val="21"/>
                <w:u w:val="single"/>
              </w:rPr>
              <w:t>）</w:t>
            </w:r>
          </w:p>
        </w:tc>
        <w:tc>
          <w:tcPr>
            <w:tcW w:w="1492"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核算排放速率（</w:t>
            </w:r>
            <w:r>
              <w:rPr>
                <w:rFonts w:ascii="Times New Roman" w:hAnsi="Times New Roman"/>
                <w:b/>
                <w:bCs w:val="0"/>
                <w:color w:val="000000"/>
                <w:sz w:val="21"/>
                <w:szCs w:val="21"/>
                <w:u w:val="single"/>
              </w:rPr>
              <w:t>kg/h</w:t>
            </w:r>
            <w:r>
              <w:rPr>
                <w:rFonts w:ascii="Times New Roman" w:hAnsi="宋体"/>
                <w:b/>
                <w:bCs w:val="0"/>
                <w:color w:val="000000"/>
                <w:sz w:val="21"/>
                <w:szCs w:val="21"/>
                <w:u w:val="single"/>
              </w:rPr>
              <w:t>）</w:t>
            </w:r>
          </w:p>
        </w:tc>
        <w:tc>
          <w:tcPr>
            <w:tcW w:w="1492"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核算年排放量（</w:t>
            </w:r>
            <w:r>
              <w:rPr>
                <w:rFonts w:ascii="Times New Roman" w:hAnsi="Times New Roman"/>
                <w:b/>
                <w:bCs w:val="0"/>
                <w:color w:val="000000"/>
                <w:sz w:val="21"/>
                <w:szCs w:val="21"/>
                <w:u w:val="single"/>
              </w:rPr>
              <w:t>t/a</w:t>
            </w:r>
            <w:r>
              <w:rPr>
                <w:rFonts w:ascii="Times New Roman" w:hAnsi="宋体"/>
                <w:b/>
                <w:bCs w:val="0"/>
                <w:color w:val="000000"/>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46" w:type="dxa"/>
            <w:gridSpan w:val="6"/>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1</w:t>
            </w:r>
          </w:p>
        </w:tc>
        <w:tc>
          <w:tcPr>
            <w:tcW w:w="1490"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DA001</w:t>
            </w:r>
          </w:p>
        </w:tc>
        <w:tc>
          <w:tcPr>
            <w:tcW w:w="1491"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SO</w:t>
            </w:r>
            <w:r>
              <w:rPr>
                <w:rFonts w:ascii="Times New Roman" w:hAnsi="Times New Roman"/>
                <w:b/>
                <w:bCs w:val="0"/>
                <w:color w:val="000000"/>
                <w:sz w:val="21"/>
                <w:szCs w:val="21"/>
                <w:u w:val="single"/>
                <w:vertAlign w:val="subscript"/>
              </w:rPr>
              <w:t>2</w:t>
            </w:r>
          </w:p>
        </w:tc>
        <w:tc>
          <w:tcPr>
            <w:tcW w:w="1491" w:type="dxa"/>
            <w:noWrap w:val="0"/>
            <w:vAlign w:val="center"/>
          </w:tcPr>
          <w:p>
            <w:pPr>
              <w:spacing w:line="240" w:lineRule="exact"/>
              <w:jc w:val="center"/>
              <w:rPr>
                <w:rFonts w:hint="eastAsia" w:ascii="Times New Roman" w:hAnsi="Times New Roman" w:eastAsia="宋体"/>
                <w:b/>
                <w:bCs w:val="0"/>
                <w:color w:val="000000"/>
                <w:sz w:val="21"/>
                <w:szCs w:val="21"/>
                <w:u w:val="single"/>
                <w:lang w:eastAsia="zh-CN"/>
              </w:rPr>
            </w:pPr>
            <w:r>
              <w:rPr>
                <w:rFonts w:hint="eastAsia" w:ascii="Times New Roman" w:hAnsi="Times New Roman"/>
                <w:b/>
                <w:bCs w:val="0"/>
                <w:color w:val="000000"/>
                <w:sz w:val="21"/>
                <w:szCs w:val="21"/>
                <w:u w:val="single"/>
              </w:rPr>
              <w:t>2.2</w:t>
            </w:r>
            <w:r>
              <w:rPr>
                <w:rFonts w:hint="eastAsia"/>
                <w:b/>
                <w:bCs w:val="0"/>
                <w:color w:val="000000"/>
                <w:sz w:val="21"/>
                <w:szCs w:val="21"/>
                <w:u w:val="single"/>
                <w:lang w:val="en-US" w:eastAsia="zh-CN"/>
              </w:rPr>
              <w:t>1</w:t>
            </w:r>
          </w:p>
        </w:tc>
        <w:tc>
          <w:tcPr>
            <w:tcW w:w="1492" w:type="dxa"/>
            <w:noWrap w:val="0"/>
            <w:vAlign w:val="center"/>
          </w:tcPr>
          <w:p>
            <w:pPr>
              <w:pStyle w:val="22"/>
              <w:snapToGrid w:val="0"/>
              <w:spacing w:line="240" w:lineRule="exact"/>
              <w:jc w:val="center"/>
              <w:rPr>
                <w:rFonts w:hint="default" w:ascii="Times New Roman" w:hAnsi="Times New Roman"/>
                <w:b/>
                <w:bCs w:val="0"/>
                <w:snapToGrid w:val="0"/>
                <w:color w:val="000000"/>
                <w:u w:val="single"/>
                <w:lang w:val="en-US" w:eastAsia="zh-CN"/>
              </w:rPr>
            </w:pPr>
            <w:r>
              <w:rPr>
                <w:rFonts w:ascii="Times New Roman" w:hAnsi="Times New Roman"/>
                <w:b/>
                <w:bCs w:val="0"/>
                <w:snapToGrid w:val="0"/>
                <w:color w:val="000000"/>
                <w:u w:val="single"/>
                <w:lang w:val="en-US" w:eastAsia="zh-CN"/>
              </w:rPr>
              <w:t>0.00</w:t>
            </w:r>
            <w:r>
              <w:rPr>
                <w:rFonts w:hint="eastAsia" w:ascii="Times New Roman" w:hAnsi="Times New Roman"/>
                <w:b/>
                <w:bCs w:val="0"/>
                <w:snapToGrid w:val="0"/>
                <w:color w:val="000000"/>
                <w:u w:val="single"/>
                <w:lang w:val="en-US" w:eastAsia="zh-CN"/>
              </w:rPr>
              <w:t>021</w:t>
            </w:r>
          </w:p>
        </w:tc>
        <w:tc>
          <w:tcPr>
            <w:tcW w:w="1492" w:type="dxa"/>
            <w:noWrap w:val="0"/>
            <w:vAlign w:val="center"/>
          </w:tcPr>
          <w:p>
            <w:pPr>
              <w:spacing w:line="240" w:lineRule="exact"/>
              <w:jc w:val="center"/>
              <w:rPr>
                <w:rFonts w:hint="default" w:ascii="Times New Roman" w:hAnsi="Times New Roman" w:eastAsia="宋体"/>
                <w:b/>
                <w:bCs w:val="0"/>
                <w:color w:val="000000"/>
                <w:sz w:val="21"/>
                <w:szCs w:val="21"/>
                <w:u w:val="single"/>
                <w:lang w:val="en-US" w:eastAsia="zh-CN"/>
              </w:rPr>
            </w:pPr>
            <w:r>
              <w:rPr>
                <w:rFonts w:ascii="Times New Roman" w:hAnsi="Times New Roman"/>
                <w:b/>
                <w:bCs w:val="0"/>
                <w:color w:val="000000"/>
                <w:sz w:val="21"/>
                <w:szCs w:val="21"/>
                <w:u w:val="single"/>
              </w:rPr>
              <w:t>0.0</w:t>
            </w:r>
            <w:r>
              <w:rPr>
                <w:rFonts w:hint="eastAsia" w:ascii="Times New Roman" w:hAnsi="Times New Roman"/>
                <w:b/>
                <w:bCs w:val="0"/>
                <w:color w:val="000000"/>
                <w:sz w:val="21"/>
                <w:szCs w:val="21"/>
                <w:u w:val="single"/>
              </w:rPr>
              <w:t>0</w:t>
            </w:r>
            <w:r>
              <w:rPr>
                <w:rFonts w:hint="eastAsia"/>
                <w:b/>
                <w:bCs w:val="0"/>
                <w:color w:val="000000"/>
                <w:sz w:val="21"/>
                <w:szCs w:val="21"/>
                <w:u w:val="single"/>
                <w:lang w:val="en-US" w:eastAsia="zh-C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2</w:t>
            </w:r>
          </w:p>
        </w:tc>
        <w:tc>
          <w:tcPr>
            <w:tcW w:w="1490"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DA001</w:t>
            </w:r>
          </w:p>
        </w:tc>
        <w:tc>
          <w:tcPr>
            <w:tcW w:w="1491"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NO</w:t>
            </w:r>
            <w:r>
              <w:rPr>
                <w:rFonts w:ascii="Times New Roman" w:hAnsi="Times New Roman"/>
                <w:b/>
                <w:bCs w:val="0"/>
                <w:color w:val="000000"/>
                <w:sz w:val="21"/>
                <w:szCs w:val="21"/>
                <w:u w:val="single"/>
                <w:vertAlign w:val="subscript"/>
              </w:rPr>
              <w:t>X</w:t>
            </w:r>
          </w:p>
        </w:tc>
        <w:tc>
          <w:tcPr>
            <w:tcW w:w="1491" w:type="dxa"/>
            <w:noWrap w:val="0"/>
            <w:vAlign w:val="center"/>
          </w:tcPr>
          <w:p>
            <w:pPr>
              <w:spacing w:line="240" w:lineRule="exact"/>
              <w:jc w:val="center"/>
              <w:rPr>
                <w:rFonts w:ascii="Times New Roman" w:hAnsi="Times New Roman"/>
                <w:b/>
                <w:bCs w:val="0"/>
                <w:color w:val="000000"/>
                <w:sz w:val="21"/>
                <w:szCs w:val="21"/>
                <w:u w:val="single"/>
              </w:rPr>
            </w:pPr>
            <w:r>
              <w:rPr>
                <w:rFonts w:hint="eastAsia" w:ascii="Times New Roman" w:hAnsi="Times New Roman"/>
                <w:b/>
                <w:bCs w:val="0"/>
                <w:color w:val="000000"/>
                <w:sz w:val="21"/>
                <w:szCs w:val="21"/>
                <w:u w:val="single"/>
              </w:rPr>
              <w:t>15.78</w:t>
            </w:r>
          </w:p>
        </w:tc>
        <w:tc>
          <w:tcPr>
            <w:tcW w:w="1492" w:type="dxa"/>
            <w:noWrap w:val="0"/>
            <w:vAlign w:val="center"/>
          </w:tcPr>
          <w:p>
            <w:pPr>
              <w:pStyle w:val="22"/>
              <w:snapToGrid w:val="0"/>
              <w:spacing w:line="240" w:lineRule="exact"/>
              <w:jc w:val="center"/>
              <w:rPr>
                <w:rFonts w:ascii="Times New Roman" w:hAnsi="Times New Roman"/>
                <w:b/>
                <w:bCs w:val="0"/>
                <w:snapToGrid w:val="0"/>
                <w:color w:val="000000"/>
                <w:u w:val="single"/>
                <w:lang w:val="en-US" w:eastAsia="zh-CN"/>
              </w:rPr>
            </w:pPr>
            <w:r>
              <w:rPr>
                <w:rFonts w:ascii="Times New Roman" w:hAnsi="Times New Roman"/>
                <w:b/>
                <w:bCs w:val="0"/>
                <w:snapToGrid w:val="0"/>
                <w:color w:val="000000"/>
                <w:u w:val="single"/>
                <w:lang w:val="en-US" w:eastAsia="zh-CN"/>
              </w:rPr>
              <w:t>0.</w:t>
            </w:r>
            <w:r>
              <w:rPr>
                <w:rFonts w:hint="eastAsia" w:ascii="Times New Roman" w:hAnsi="Times New Roman"/>
                <w:b/>
                <w:bCs w:val="0"/>
                <w:snapToGrid w:val="0"/>
                <w:color w:val="000000"/>
                <w:u w:val="single"/>
                <w:lang w:val="en-US" w:eastAsia="zh-CN"/>
              </w:rPr>
              <w:t>0015</w:t>
            </w:r>
          </w:p>
        </w:tc>
        <w:tc>
          <w:tcPr>
            <w:tcW w:w="1492" w:type="dxa"/>
            <w:noWrap w:val="0"/>
            <w:vAlign w:val="center"/>
          </w:tcPr>
          <w:p>
            <w:pPr>
              <w:spacing w:line="240" w:lineRule="exact"/>
              <w:jc w:val="center"/>
              <w:rPr>
                <w:rFonts w:hint="default" w:ascii="Times New Roman" w:hAnsi="Times New Roman" w:eastAsia="宋体"/>
                <w:b/>
                <w:bCs w:val="0"/>
                <w:color w:val="000000"/>
                <w:sz w:val="21"/>
                <w:szCs w:val="21"/>
                <w:u w:val="single"/>
                <w:lang w:val="en-US" w:eastAsia="zh-CN"/>
              </w:rPr>
            </w:pPr>
            <w:r>
              <w:rPr>
                <w:rFonts w:ascii="Times New Roman" w:hAnsi="Times New Roman"/>
                <w:b/>
                <w:bCs w:val="0"/>
                <w:color w:val="000000"/>
                <w:sz w:val="21"/>
                <w:szCs w:val="21"/>
                <w:u w:val="single"/>
              </w:rPr>
              <w:t>0.</w:t>
            </w:r>
            <w:r>
              <w:rPr>
                <w:rFonts w:hint="eastAsia" w:ascii="Times New Roman" w:hAnsi="Times New Roman"/>
                <w:b/>
                <w:bCs w:val="0"/>
                <w:color w:val="000000"/>
                <w:sz w:val="21"/>
                <w:szCs w:val="21"/>
                <w:u w:val="single"/>
              </w:rPr>
              <w:t>0</w:t>
            </w:r>
            <w:r>
              <w:rPr>
                <w:rFonts w:hint="eastAsia"/>
                <w:b/>
                <w:bCs w:val="0"/>
                <w:color w:val="000000"/>
                <w:sz w:val="21"/>
                <w:szCs w:val="21"/>
                <w:u w:val="single"/>
                <w:lang w:val="en-US" w:eastAsia="zh-CN"/>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0" w:type="dxa"/>
            <w:gridSpan w:val="2"/>
            <w:vMerge w:val="restart"/>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一般排放口合计</w:t>
            </w:r>
          </w:p>
        </w:tc>
        <w:tc>
          <w:tcPr>
            <w:tcW w:w="4474" w:type="dxa"/>
            <w:gridSpan w:val="3"/>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SO</w:t>
            </w:r>
            <w:r>
              <w:rPr>
                <w:rFonts w:ascii="Times New Roman" w:hAnsi="Times New Roman"/>
                <w:b/>
                <w:bCs w:val="0"/>
                <w:color w:val="000000"/>
                <w:sz w:val="21"/>
                <w:szCs w:val="21"/>
                <w:u w:val="single"/>
                <w:vertAlign w:val="subscript"/>
              </w:rPr>
              <w:t>2</w:t>
            </w:r>
          </w:p>
        </w:tc>
        <w:tc>
          <w:tcPr>
            <w:tcW w:w="1492" w:type="dxa"/>
            <w:noWrap w:val="0"/>
            <w:vAlign w:val="center"/>
          </w:tcPr>
          <w:p>
            <w:pPr>
              <w:spacing w:line="240" w:lineRule="exact"/>
              <w:jc w:val="center"/>
              <w:rPr>
                <w:rFonts w:hint="default" w:ascii="Times New Roman" w:hAnsi="Times New Roman" w:eastAsia="宋体"/>
                <w:b/>
                <w:bCs w:val="0"/>
                <w:color w:val="000000"/>
                <w:sz w:val="21"/>
                <w:szCs w:val="21"/>
                <w:u w:val="single"/>
                <w:lang w:val="en-US" w:eastAsia="zh-CN"/>
              </w:rPr>
            </w:pPr>
            <w:r>
              <w:rPr>
                <w:rFonts w:ascii="Times New Roman" w:hAnsi="Times New Roman"/>
                <w:b/>
                <w:bCs w:val="0"/>
                <w:color w:val="000000"/>
                <w:sz w:val="21"/>
                <w:szCs w:val="21"/>
                <w:u w:val="single"/>
              </w:rPr>
              <w:t>0.0</w:t>
            </w:r>
            <w:r>
              <w:rPr>
                <w:rFonts w:hint="eastAsia" w:ascii="Times New Roman" w:hAnsi="Times New Roman"/>
                <w:b/>
                <w:bCs w:val="0"/>
                <w:color w:val="000000"/>
                <w:sz w:val="21"/>
                <w:szCs w:val="21"/>
                <w:u w:val="single"/>
              </w:rPr>
              <w:t>0</w:t>
            </w:r>
            <w:r>
              <w:rPr>
                <w:rFonts w:hint="eastAsia"/>
                <w:b/>
                <w:bCs w:val="0"/>
                <w:color w:val="000000"/>
                <w:sz w:val="21"/>
                <w:szCs w:val="21"/>
                <w:u w:val="single"/>
                <w:lang w:val="en-US" w:eastAsia="zh-C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0" w:type="dxa"/>
            <w:gridSpan w:val="2"/>
            <w:vMerge w:val="continue"/>
            <w:noWrap w:val="0"/>
            <w:vAlign w:val="center"/>
          </w:tcPr>
          <w:p>
            <w:pPr>
              <w:spacing w:line="240" w:lineRule="exact"/>
              <w:jc w:val="center"/>
              <w:rPr>
                <w:rFonts w:ascii="Times New Roman" w:hAnsi="Times New Roman"/>
                <w:b/>
                <w:bCs w:val="0"/>
                <w:color w:val="000000"/>
                <w:sz w:val="21"/>
                <w:szCs w:val="21"/>
                <w:u w:val="single"/>
              </w:rPr>
            </w:pPr>
          </w:p>
        </w:tc>
        <w:tc>
          <w:tcPr>
            <w:tcW w:w="4474" w:type="dxa"/>
            <w:gridSpan w:val="3"/>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NO</w:t>
            </w:r>
            <w:r>
              <w:rPr>
                <w:rFonts w:ascii="Times New Roman" w:hAnsi="Times New Roman"/>
                <w:b/>
                <w:bCs w:val="0"/>
                <w:color w:val="000000"/>
                <w:sz w:val="21"/>
                <w:szCs w:val="21"/>
                <w:u w:val="single"/>
                <w:vertAlign w:val="subscript"/>
              </w:rPr>
              <w:t>X</w:t>
            </w:r>
          </w:p>
        </w:tc>
        <w:tc>
          <w:tcPr>
            <w:tcW w:w="1492" w:type="dxa"/>
            <w:noWrap w:val="0"/>
            <w:vAlign w:val="center"/>
          </w:tcPr>
          <w:p>
            <w:pPr>
              <w:spacing w:line="240" w:lineRule="exact"/>
              <w:jc w:val="center"/>
              <w:rPr>
                <w:rFonts w:hint="default" w:ascii="Times New Roman" w:hAnsi="Times New Roman" w:eastAsia="宋体"/>
                <w:b/>
                <w:bCs w:val="0"/>
                <w:color w:val="000000"/>
                <w:sz w:val="21"/>
                <w:szCs w:val="21"/>
                <w:u w:val="single"/>
                <w:lang w:val="en-US" w:eastAsia="zh-CN"/>
              </w:rPr>
            </w:pPr>
            <w:r>
              <w:rPr>
                <w:rFonts w:ascii="Times New Roman" w:hAnsi="Times New Roman"/>
                <w:b/>
                <w:bCs w:val="0"/>
                <w:color w:val="000000"/>
                <w:sz w:val="21"/>
                <w:szCs w:val="21"/>
                <w:u w:val="single"/>
              </w:rPr>
              <w:t>0.</w:t>
            </w:r>
            <w:r>
              <w:rPr>
                <w:rFonts w:hint="eastAsia" w:ascii="Times New Roman" w:hAnsi="Times New Roman"/>
                <w:b/>
                <w:bCs w:val="0"/>
                <w:color w:val="000000"/>
                <w:sz w:val="21"/>
                <w:szCs w:val="21"/>
                <w:u w:val="single"/>
              </w:rPr>
              <w:t>0</w:t>
            </w:r>
            <w:r>
              <w:rPr>
                <w:rFonts w:hint="eastAsia"/>
                <w:b/>
                <w:bCs w:val="0"/>
                <w:color w:val="000000"/>
                <w:sz w:val="21"/>
                <w:szCs w:val="21"/>
                <w:u w:val="single"/>
                <w:lang w:val="en-US" w:eastAsia="zh-CN"/>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946" w:type="dxa"/>
            <w:gridSpan w:val="6"/>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有组织排放总计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0" w:type="dxa"/>
            <w:gridSpan w:val="2"/>
            <w:vMerge w:val="restart"/>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有组织排放总计</w:t>
            </w:r>
          </w:p>
        </w:tc>
        <w:tc>
          <w:tcPr>
            <w:tcW w:w="4474" w:type="dxa"/>
            <w:gridSpan w:val="3"/>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SO</w:t>
            </w:r>
            <w:r>
              <w:rPr>
                <w:rFonts w:ascii="Times New Roman" w:hAnsi="Times New Roman"/>
                <w:b/>
                <w:bCs w:val="0"/>
                <w:color w:val="000000"/>
                <w:sz w:val="21"/>
                <w:szCs w:val="21"/>
                <w:u w:val="single"/>
                <w:vertAlign w:val="subscript"/>
              </w:rPr>
              <w:t>2</w:t>
            </w:r>
          </w:p>
        </w:tc>
        <w:tc>
          <w:tcPr>
            <w:tcW w:w="1492" w:type="dxa"/>
            <w:noWrap w:val="0"/>
            <w:vAlign w:val="center"/>
          </w:tcPr>
          <w:p>
            <w:pPr>
              <w:spacing w:line="240" w:lineRule="exact"/>
              <w:jc w:val="center"/>
              <w:rPr>
                <w:rFonts w:hint="default" w:ascii="Times New Roman" w:hAnsi="Times New Roman" w:eastAsia="宋体"/>
                <w:b/>
                <w:bCs w:val="0"/>
                <w:color w:val="000000"/>
                <w:sz w:val="21"/>
                <w:szCs w:val="21"/>
                <w:u w:val="single"/>
                <w:lang w:val="en-US" w:eastAsia="zh-CN"/>
              </w:rPr>
            </w:pPr>
            <w:r>
              <w:rPr>
                <w:rFonts w:ascii="Times New Roman" w:hAnsi="Times New Roman"/>
                <w:b/>
                <w:bCs w:val="0"/>
                <w:color w:val="000000"/>
                <w:sz w:val="21"/>
                <w:szCs w:val="21"/>
                <w:u w:val="single"/>
              </w:rPr>
              <w:t>0.0</w:t>
            </w:r>
            <w:r>
              <w:rPr>
                <w:rFonts w:hint="eastAsia" w:ascii="Times New Roman" w:hAnsi="Times New Roman"/>
                <w:b/>
                <w:bCs w:val="0"/>
                <w:color w:val="000000"/>
                <w:sz w:val="21"/>
                <w:szCs w:val="21"/>
                <w:u w:val="single"/>
              </w:rPr>
              <w:t>0</w:t>
            </w:r>
            <w:r>
              <w:rPr>
                <w:rFonts w:hint="eastAsia"/>
                <w:b/>
                <w:bCs w:val="0"/>
                <w:color w:val="000000"/>
                <w:sz w:val="21"/>
                <w:szCs w:val="21"/>
                <w:u w:val="single"/>
                <w:lang w:val="en-US" w:eastAsia="zh-C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80" w:type="dxa"/>
            <w:gridSpan w:val="2"/>
            <w:vMerge w:val="continue"/>
            <w:noWrap w:val="0"/>
            <w:vAlign w:val="center"/>
          </w:tcPr>
          <w:p>
            <w:pPr>
              <w:spacing w:line="240" w:lineRule="exact"/>
              <w:jc w:val="center"/>
              <w:rPr>
                <w:rFonts w:ascii="Times New Roman" w:hAnsi="宋体"/>
                <w:b/>
                <w:bCs w:val="0"/>
                <w:color w:val="000000"/>
                <w:sz w:val="21"/>
                <w:szCs w:val="21"/>
                <w:u w:val="single"/>
              </w:rPr>
            </w:pPr>
          </w:p>
        </w:tc>
        <w:tc>
          <w:tcPr>
            <w:tcW w:w="4474" w:type="dxa"/>
            <w:gridSpan w:val="3"/>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NO</w:t>
            </w:r>
            <w:r>
              <w:rPr>
                <w:rFonts w:ascii="Times New Roman" w:hAnsi="Times New Roman"/>
                <w:b/>
                <w:bCs w:val="0"/>
                <w:color w:val="000000"/>
                <w:sz w:val="21"/>
                <w:szCs w:val="21"/>
                <w:u w:val="single"/>
                <w:vertAlign w:val="subscript"/>
              </w:rPr>
              <w:t>X</w:t>
            </w:r>
          </w:p>
        </w:tc>
        <w:tc>
          <w:tcPr>
            <w:tcW w:w="1492" w:type="dxa"/>
            <w:noWrap w:val="0"/>
            <w:vAlign w:val="center"/>
          </w:tcPr>
          <w:p>
            <w:pPr>
              <w:spacing w:line="240" w:lineRule="exact"/>
              <w:jc w:val="center"/>
              <w:rPr>
                <w:rFonts w:hint="default" w:ascii="Times New Roman" w:hAnsi="Times New Roman" w:eastAsia="宋体"/>
                <w:b/>
                <w:bCs w:val="0"/>
                <w:color w:val="000000"/>
                <w:sz w:val="21"/>
                <w:szCs w:val="21"/>
                <w:u w:val="single"/>
                <w:lang w:val="en-US" w:eastAsia="zh-CN"/>
              </w:rPr>
            </w:pPr>
            <w:r>
              <w:rPr>
                <w:rFonts w:ascii="Times New Roman" w:hAnsi="Times New Roman"/>
                <w:b/>
                <w:bCs w:val="0"/>
                <w:color w:val="000000"/>
                <w:sz w:val="21"/>
                <w:szCs w:val="21"/>
                <w:u w:val="single"/>
              </w:rPr>
              <w:t>0.</w:t>
            </w:r>
            <w:r>
              <w:rPr>
                <w:rFonts w:hint="eastAsia" w:ascii="Times New Roman" w:hAnsi="Times New Roman"/>
                <w:b/>
                <w:bCs w:val="0"/>
                <w:color w:val="000000"/>
                <w:sz w:val="21"/>
                <w:szCs w:val="21"/>
                <w:u w:val="single"/>
              </w:rPr>
              <w:t>0</w:t>
            </w:r>
            <w:r>
              <w:rPr>
                <w:rFonts w:hint="eastAsia"/>
                <w:b/>
                <w:bCs w:val="0"/>
                <w:color w:val="000000"/>
                <w:sz w:val="21"/>
                <w:szCs w:val="21"/>
                <w:u w:val="single"/>
                <w:lang w:val="en-US" w:eastAsia="zh-CN"/>
              </w:rPr>
              <w:t>13</w:t>
            </w:r>
          </w:p>
        </w:tc>
      </w:tr>
    </w:tbl>
    <w:p>
      <w:pPr>
        <w:spacing w:line="360" w:lineRule="exact"/>
        <w:ind w:firstLine="472"/>
        <w:jc w:val="center"/>
        <w:rPr>
          <w:rFonts w:ascii="Times New Roman" w:hAnsi="Times New Roman"/>
          <w:b/>
          <w:bCs w:val="0"/>
          <w:color w:val="000000"/>
          <w:sz w:val="24"/>
          <w:szCs w:val="24"/>
          <w:u w:val="single"/>
        </w:rPr>
      </w:pPr>
      <w:r>
        <w:rPr>
          <w:rFonts w:hint="eastAsia" w:ascii="Times New Roman" w:hAnsi="Times New Roman"/>
          <w:b/>
          <w:bCs w:val="0"/>
          <w:color w:val="000000"/>
          <w:sz w:val="24"/>
          <w:szCs w:val="24"/>
          <w:u w:val="single"/>
        </w:rPr>
        <w:t>表</w:t>
      </w:r>
      <w:r>
        <w:rPr>
          <w:rFonts w:ascii="Times New Roman" w:hAnsi="Times New Roman"/>
          <w:b/>
          <w:bCs w:val="0"/>
          <w:color w:val="000000"/>
          <w:sz w:val="24"/>
          <w:szCs w:val="24"/>
          <w:u w:val="single"/>
        </w:rPr>
        <w:t>4</w:t>
      </w:r>
      <w:r>
        <w:rPr>
          <w:rFonts w:hint="eastAsia" w:ascii="Times New Roman" w:hAnsi="Times New Roman"/>
          <w:b/>
          <w:bCs w:val="0"/>
          <w:color w:val="000000"/>
          <w:sz w:val="24"/>
          <w:szCs w:val="24"/>
          <w:u w:val="single"/>
        </w:rPr>
        <w:t>-20</w:t>
      </w:r>
      <w:r>
        <w:rPr>
          <w:rFonts w:ascii="Times New Roman" w:hAnsi="Times New Roman"/>
          <w:b/>
          <w:bCs w:val="0"/>
          <w:color w:val="000000"/>
          <w:sz w:val="24"/>
          <w:szCs w:val="24"/>
          <w:u w:val="single"/>
        </w:rPr>
        <w:t xml:space="preserve">  </w:t>
      </w:r>
      <w:r>
        <w:rPr>
          <w:rFonts w:ascii="Times New Roman" w:hAnsi="宋体"/>
          <w:b/>
          <w:bCs w:val="0"/>
          <w:color w:val="000000"/>
          <w:sz w:val="24"/>
          <w:szCs w:val="24"/>
          <w:u w:val="single"/>
        </w:rPr>
        <w:t>大气污染物无组织排放量核算表</w:t>
      </w:r>
    </w:p>
    <w:tbl>
      <w:tblPr>
        <w:tblStyle w:val="4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174"/>
        <w:gridCol w:w="352"/>
        <w:gridCol w:w="552"/>
        <w:gridCol w:w="1641"/>
        <w:gridCol w:w="1155"/>
        <w:gridCol w:w="1113"/>
        <w:gridCol w:w="1121"/>
        <w:gridCol w:w="11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7" w:type="dxa"/>
            <w:vMerge w:val="restart"/>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序号</w:t>
            </w:r>
          </w:p>
        </w:tc>
        <w:tc>
          <w:tcPr>
            <w:tcW w:w="1174" w:type="dxa"/>
            <w:vMerge w:val="restart"/>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产污环节</w:t>
            </w:r>
          </w:p>
        </w:tc>
        <w:tc>
          <w:tcPr>
            <w:tcW w:w="904" w:type="dxa"/>
            <w:gridSpan w:val="2"/>
            <w:vMerge w:val="restart"/>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污染物</w:t>
            </w:r>
          </w:p>
        </w:tc>
        <w:tc>
          <w:tcPr>
            <w:tcW w:w="1641" w:type="dxa"/>
            <w:vMerge w:val="restart"/>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主要防治措施</w:t>
            </w:r>
          </w:p>
        </w:tc>
        <w:tc>
          <w:tcPr>
            <w:tcW w:w="3389" w:type="dxa"/>
            <w:gridSpan w:val="3"/>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国家或地方污染物排放标准</w:t>
            </w:r>
          </w:p>
        </w:tc>
        <w:tc>
          <w:tcPr>
            <w:tcW w:w="1121" w:type="dxa"/>
            <w:vMerge w:val="restart"/>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年排放量（</w:t>
            </w:r>
            <w:r>
              <w:rPr>
                <w:rFonts w:ascii="Times New Roman" w:hAnsi="Times New Roman"/>
                <w:b/>
                <w:bCs w:val="0"/>
                <w:color w:val="000000"/>
                <w:sz w:val="21"/>
                <w:szCs w:val="21"/>
                <w:u w:val="single"/>
              </w:rPr>
              <w:t>t/a</w:t>
            </w:r>
            <w:r>
              <w:rPr>
                <w:rFonts w:ascii="Times New Roman" w:hAnsi="宋体"/>
                <w:b/>
                <w:bCs w:val="0"/>
                <w:color w:val="000000"/>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7" w:type="dxa"/>
            <w:vMerge w:val="continue"/>
            <w:noWrap w:val="0"/>
            <w:vAlign w:val="center"/>
          </w:tcPr>
          <w:p>
            <w:pPr>
              <w:spacing w:line="240" w:lineRule="exact"/>
              <w:jc w:val="center"/>
              <w:rPr>
                <w:rFonts w:ascii="Times New Roman" w:hAnsi="Times New Roman"/>
                <w:b/>
                <w:bCs w:val="0"/>
                <w:color w:val="000000"/>
                <w:sz w:val="21"/>
                <w:szCs w:val="21"/>
                <w:u w:val="single"/>
              </w:rPr>
            </w:pPr>
          </w:p>
        </w:tc>
        <w:tc>
          <w:tcPr>
            <w:tcW w:w="1174" w:type="dxa"/>
            <w:vMerge w:val="continue"/>
            <w:noWrap w:val="0"/>
            <w:vAlign w:val="center"/>
          </w:tcPr>
          <w:p>
            <w:pPr>
              <w:spacing w:line="240" w:lineRule="exact"/>
              <w:jc w:val="center"/>
              <w:rPr>
                <w:rFonts w:ascii="Times New Roman" w:hAnsi="Times New Roman"/>
                <w:b/>
                <w:bCs w:val="0"/>
                <w:color w:val="000000"/>
                <w:sz w:val="21"/>
                <w:szCs w:val="21"/>
                <w:u w:val="single"/>
              </w:rPr>
            </w:pPr>
          </w:p>
        </w:tc>
        <w:tc>
          <w:tcPr>
            <w:tcW w:w="904" w:type="dxa"/>
            <w:gridSpan w:val="2"/>
            <w:vMerge w:val="continue"/>
            <w:noWrap w:val="0"/>
            <w:vAlign w:val="center"/>
          </w:tcPr>
          <w:p>
            <w:pPr>
              <w:spacing w:line="240" w:lineRule="exact"/>
              <w:jc w:val="center"/>
              <w:rPr>
                <w:rFonts w:ascii="Times New Roman" w:hAnsi="Times New Roman"/>
                <w:b/>
                <w:bCs w:val="0"/>
                <w:color w:val="000000"/>
                <w:sz w:val="21"/>
                <w:szCs w:val="21"/>
                <w:u w:val="single"/>
              </w:rPr>
            </w:pPr>
          </w:p>
        </w:tc>
        <w:tc>
          <w:tcPr>
            <w:tcW w:w="1641" w:type="dxa"/>
            <w:vMerge w:val="continue"/>
            <w:noWrap w:val="0"/>
            <w:vAlign w:val="center"/>
          </w:tcPr>
          <w:p>
            <w:pPr>
              <w:spacing w:line="240" w:lineRule="exact"/>
              <w:jc w:val="center"/>
              <w:rPr>
                <w:rFonts w:ascii="Times New Roman" w:hAnsi="Times New Roman"/>
                <w:b/>
                <w:bCs w:val="0"/>
                <w:color w:val="000000"/>
                <w:sz w:val="21"/>
                <w:szCs w:val="21"/>
                <w:u w:val="single"/>
              </w:rPr>
            </w:pPr>
          </w:p>
        </w:tc>
        <w:tc>
          <w:tcPr>
            <w:tcW w:w="2268" w:type="dxa"/>
            <w:gridSpan w:val="2"/>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标准名称</w:t>
            </w:r>
          </w:p>
        </w:tc>
        <w:tc>
          <w:tcPr>
            <w:tcW w:w="1121"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浓度限值</w:t>
            </w:r>
          </w:p>
        </w:tc>
        <w:tc>
          <w:tcPr>
            <w:tcW w:w="1121" w:type="dxa"/>
            <w:vMerge w:val="continue"/>
            <w:noWrap w:val="0"/>
            <w:vAlign w:val="center"/>
          </w:tcPr>
          <w:p>
            <w:pPr>
              <w:spacing w:line="240" w:lineRule="exact"/>
              <w:jc w:val="center"/>
              <w:rPr>
                <w:rFonts w:ascii="Times New Roman" w:hAnsi="Times New Roman"/>
                <w:b/>
                <w:bCs w:val="0"/>
                <w:color w:val="00000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717"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1</w:t>
            </w:r>
          </w:p>
        </w:tc>
        <w:tc>
          <w:tcPr>
            <w:tcW w:w="1174"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厂区恶臭</w:t>
            </w:r>
          </w:p>
        </w:tc>
        <w:tc>
          <w:tcPr>
            <w:tcW w:w="904" w:type="dxa"/>
            <w:gridSpan w:val="2"/>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H</w:t>
            </w:r>
            <w:r>
              <w:rPr>
                <w:rFonts w:ascii="Times New Roman" w:hAnsi="Times New Roman"/>
                <w:b/>
                <w:bCs w:val="0"/>
                <w:color w:val="000000"/>
                <w:sz w:val="21"/>
                <w:szCs w:val="21"/>
                <w:u w:val="single"/>
                <w:vertAlign w:val="subscript"/>
              </w:rPr>
              <w:t>2</w:t>
            </w:r>
            <w:r>
              <w:rPr>
                <w:rFonts w:ascii="Times New Roman" w:hAnsi="Times New Roman"/>
                <w:b/>
                <w:bCs w:val="0"/>
                <w:color w:val="000000"/>
                <w:sz w:val="21"/>
                <w:szCs w:val="21"/>
                <w:u w:val="single"/>
              </w:rPr>
              <w:t>S</w:t>
            </w:r>
          </w:p>
        </w:tc>
        <w:tc>
          <w:tcPr>
            <w:tcW w:w="1641" w:type="dxa"/>
            <w:vMerge w:val="restart"/>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控制饲养密度、采用节水型饮水器、加强通风、全漏缝地板并及时清粪，喷洒除臭剂</w:t>
            </w:r>
          </w:p>
        </w:tc>
        <w:tc>
          <w:tcPr>
            <w:tcW w:w="2268" w:type="dxa"/>
            <w:gridSpan w:val="2"/>
            <w:vMerge w:val="restart"/>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《恶臭污染物排放标准》（</w:t>
            </w:r>
            <w:r>
              <w:rPr>
                <w:rFonts w:ascii="Times New Roman" w:hAnsi="Times New Roman"/>
                <w:b/>
                <w:bCs w:val="0"/>
                <w:color w:val="000000"/>
                <w:sz w:val="21"/>
                <w:szCs w:val="21"/>
                <w:u w:val="single"/>
              </w:rPr>
              <w:t>GB14554-93</w:t>
            </w:r>
            <w:r>
              <w:rPr>
                <w:rFonts w:ascii="Times New Roman" w:hAnsi="宋体"/>
                <w:b/>
                <w:bCs w:val="0"/>
                <w:color w:val="000000"/>
                <w:sz w:val="21"/>
                <w:szCs w:val="21"/>
                <w:u w:val="single"/>
              </w:rPr>
              <w:t>）</w:t>
            </w:r>
          </w:p>
        </w:tc>
        <w:tc>
          <w:tcPr>
            <w:tcW w:w="1121"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0.06mg/m</w:t>
            </w:r>
            <w:r>
              <w:rPr>
                <w:rFonts w:ascii="Times New Roman" w:hAnsi="Times New Roman"/>
                <w:b/>
                <w:bCs w:val="0"/>
                <w:color w:val="000000"/>
                <w:sz w:val="21"/>
                <w:szCs w:val="21"/>
                <w:u w:val="single"/>
                <w:vertAlign w:val="superscript"/>
              </w:rPr>
              <w:t>3</w:t>
            </w:r>
          </w:p>
        </w:tc>
        <w:tc>
          <w:tcPr>
            <w:tcW w:w="1121" w:type="dxa"/>
            <w:noWrap w:val="0"/>
            <w:vAlign w:val="center"/>
          </w:tcPr>
          <w:p>
            <w:pPr>
              <w:pStyle w:val="22"/>
              <w:snapToGrid w:val="0"/>
              <w:spacing w:line="240" w:lineRule="exact"/>
              <w:jc w:val="center"/>
              <w:rPr>
                <w:rFonts w:hint="default" w:ascii="Times New Roman" w:hAnsi="Times New Roman"/>
                <w:b/>
                <w:bCs w:val="0"/>
                <w:snapToGrid w:val="0"/>
                <w:color w:val="000000"/>
                <w:u w:val="single"/>
                <w:lang w:val="en-US" w:eastAsia="zh-CN"/>
              </w:rPr>
            </w:pPr>
            <w:r>
              <w:rPr>
                <w:rFonts w:ascii="Times New Roman" w:hAnsi="Times New Roman"/>
                <w:b/>
                <w:bCs w:val="0"/>
                <w:color w:val="000000"/>
                <w:u w:val="single"/>
                <w:lang w:val="en-US" w:eastAsia="zh-CN"/>
              </w:rPr>
              <w:t>0.1</w:t>
            </w:r>
            <w:r>
              <w:rPr>
                <w:rFonts w:hint="eastAsia" w:ascii="Times New Roman" w:hAnsi="Times New Roman"/>
                <w:b/>
                <w:bCs w:val="0"/>
                <w:color w:val="000000"/>
                <w:u w:val="single"/>
                <w:lang w:val="en-US" w:eastAsia="zh-CN"/>
              </w:rPr>
              <w:t>0367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717"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2</w:t>
            </w:r>
          </w:p>
        </w:tc>
        <w:tc>
          <w:tcPr>
            <w:tcW w:w="1174"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厂区恶臭</w:t>
            </w:r>
          </w:p>
        </w:tc>
        <w:tc>
          <w:tcPr>
            <w:tcW w:w="904" w:type="dxa"/>
            <w:gridSpan w:val="2"/>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NH</w:t>
            </w:r>
            <w:r>
              <w:rPr>
                <w:rFonts w:ascii="Times New Roman" w:hAnsi="Times New Roman"/>
                <w:b/>
                <w:bCs w:val="0"/>
                <w:color w:val="000000"/>
                <w:sz w:val="21"/>
                <w:szCs w:val="21"/>
                <w:u w:val="single"/>
                <w:vertAlign w:val="subscript"/>
              </w:rPr>
              <w:t>3</w:t>
            </w:r>
          </w:p>
        </w:tc>
        <w:tc>
          <w:tcPr>
            <w:tcW w:w="1641" w:type="dxa"/>
            <w:vMerge w:val="continue"/>
            <w:noWrap w:val="0"/>
            <w:vAlign w:val="center"/>
          </w:tcPr>
          <w:p>
            <w:pPr>
              <w:spacing w:line="240" w:lineRule="exact"/>
              <w:jc w:val="center"/>
              <w:rPr>
                <w:rFonts w:ascii="Times New Roman" w:hAnsi="Times New Roman"/>
                <w:b/>
                <w:bCs w:val="0"/>
                <w:color w:val="000000"/>
                <w:sz w:val="21"/>
                <w:szCs w:val="21"/>
                <w:u w:val="single"/>
              </w:rPr>
            </w:pPr>
          </w:p>
        </w:tc>
        <w:tc>
          <w:tcPr>
            <w:tcW w:w="2268" w:type="dxa"/>
            <w:gridSpan w:val="2"/>
            <w:vMerge w:val="continue"/>
            <w:noWrap w:val="0"/>
            <w:vAlign w:val="center"/>
          </w:tcPr>
          <w:p>
            <w:pPr>
              <w:pStyle w:val="272"/>
              <w:spacing w:line="240" w:lineRule="exact"/>
              <w:rPr>
                <w:rFonts w:cs="Times New Roman"/>
                <w:b/>
                <w:bCs w:val="0"/>
                <w:color w:val="000000"/>
                <w:szCs w:val="21"/>
                <w:u w:val="single"/>
              </w:rPr>
            </w:pPr>
          </w:p>
        </w:tc>
        <w:tc>
          <w:tcPr>
            <w:tcW w:w="1121" w:type="dxa"/>
            <w:noWrap w:val="0"/>
            <w:vAlign w:val="center"/>
          </w:tcPr>
          <w:p>
            <w:pPr>
              <w:pStyle w:val="272"/>
              <w:spacing w:line="240" w:lineRule="exact"/>
              <w:rPr>
                <w:rFonts w:cs="Times New Roman"/>
                <w:b/>
                <w:bCs w:val="0"/>
                <w:color w:val="000000"/>
                <w:szCs w:val="21"/>
                <w:u w:val="single"/>
              </w:rPr>
            </w:pPr>
            <w:r>
              <w:rPr>
                <w:rFonts w:cs="Times New Roman"/>
                <w:b/>
                <w:bCs w:val="0"/>
                <w:color w:val="000000"/>
                <w:szCs w:val="21"/>
                <w:u w:val="single"/>
              </w:rPr>
              <w:t>1.5mg/m</w:t>
            </w:r>
            <w:r>
              <w:rPr>
                <w:rFonts w:cs="Times New Roman"/>
                <w:b/>
                <w:bCs w:val="0"/>
                <w:color w:val="000000"/>
                <w:szCs w:val="21"/>
                <w:u w:val="single"/>
                <w:vertAlign w:val="superscript"/>
              </w:rPr>
              <w:t>3</w:t>
            </w:r>
          </w:p>
        </w:tc>
        <w:tc>
          <w:tcPr>
            <w:tcW w:w="1121" w:type="dxa"/>
            <w:noWrap w:val="0"/>
            <w:vAlign w:val="center"/>
          </w:tcPr>
          <w:p>
            <w:pPr>
              <w:pStyle w:val="22"/>
              <w:snapToGrid w:val="0"/>
              <w:spacing w:line="240" w:lineRule="exact"/>
              <w:jc w:val="center"/>
              <w:rPr>
                <w:rFonts w:hint="default" w:ascii="Times New Roman" w:hAnsi="Times New Roman"/>
                <w:b/>
                <w:bCs w:val="0"/>
                <w:snapToGrid w:val="0"/>
                <w:color w:val="000000"/>
                <w:u w:val="single"/>
                <w:lang w:val="en-US" w:eastAsia="zh-CN"/>
              </w:rPr>
            </w:pPr>
            <w:r>
              <w:rPr>
                <w:rFonts w:hint="eastAsia" w:ascii="Times New Roman" w:hAnsi="Times New Roman"/>
                <w:b/>
                <w:bCs w:val="0"/>
                <w:color w:val="000000"/>
                <w:u w:val="single"/>
                <w:lang w:val="en-US" w:eastAsia="zh-CN"/>
              </w:rPr>
              <w:t>1.433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46" w:type="dxa"/>
            <w:gridSpan w:val="9"/>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无组织排放总计（</w:t>
            </w:r>
            <w:r>
              <w:rPr>
                <w:rFonts w:ascii="Times New Roman" w:hAnsi="Times New Roman"/>
                <w:b/>
                <w:bCs w:val="0"/>
                <w:color w:val="000000"/>
                <w:sz w:val="21"/>
                <w:szCs w:val="21"/>
                <w:u w:val="single"/>
              </w:rPr>
              <w:t>t/a</w:t>
            </w:r>
            <w:r>
              <w:rPr>
                <w:rFonts w:ascii="Times New Roman" w:hAnsi="宋体"/>
                <w:b/>
                <w:bCs w:val="0"/>
                <w:color w:val="000000"/>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43" w:type="dxa"/>
            <w:gridSpan w:val="3"/>
            <w:vMerge w:val="restart"/>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无组织排放总计</w:t>
            </w:r>
          </w:p>
        </w:tc>
        <w:tc>
          <w:tcPr>
            <w:tcW w:w="3348" w:type="dxa"/>
            <w:gridSpan w:val="3"/>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H</w:t>
            </w:r>
            <w:r>
              <w:rPr>
                <w:rFonts w:ascii="Times New Roman" w:hAnsi="Times New Roman"/>
                <w:b/>
                <w:bCs w:val="0"/>
                <w:color w:val="000000"/>
                <w:sz w:val="21"/>
                <w:szCs w:val="21"/>
                <w:u w:val="single"/>
                <w:vertAlign w:val="subscript"/>
              </w:rPr>
              <w:t>2</w:t>
            </w:r>
            <w:r>
              <w:rPr>
                <w:rFonts w:ascii="Times New Roman" w:hAnsi="Times New Roman"/>
                <w:b/>
                <w:bCs w:val="0"/>
                <w:color w:val="000000"/>
                <w:sz w:val="21"/>
                <w:szCs w:val="21"/>
                <w:u w:val="single"/>
              </w:rPr>
              <w:t>S</w:t>
            </w:r>
          </w:p>
        </w:tc>
        <w:tc>
          <w:tcPr>
            <w:tcW w:w="3355" w:type="dxa"/>
            <w:gridSpan w:val="3"/>
            <w:noWrap w:val="0"/>
            <w:vAlign w:val="center"/>
          </w:tcPr>
          <w:p>
            <w:pPr>
              <w:pStyle w:val="22"/>
              <w:snapToGrid w:val="0"/>
              <w:spacing w:line="240" w:lineRule="exact"/>
              <w:jc w:val="center"/>
              <w:rPr>
                <w:rFonts w:hint="default" w:ascii="Times New Roman" w:hAnsi="Times New Roman"/>
                <w:b/>
                <w:bCs w:val="0"/>
                <w:snapToGrid w:val="0"/>
                <w:color w:val="000000"/>
                <w:u w:val="single"/>
                <w:lang w:val="en-US" w:eastAsia="zh-CN"/>
              </w:rPr>
            </w:pPr>
            <w:r>
              <w:rPr>
                <w:rFonts w:ascii="Times New Roman" w:hAnsi="Times New Roman"/>
                <w:b/>
                <w:bCs w:val="0"/>
                <w:color w:val="000000"/>
                <w:u w:val="single"/>
                <w:lang w:val="en-US" w:eastAsia="zh-CN"/>
              </w:rPr>
              <w:t>0.1</w:t>
            </w:r>
            <w:r>
              <w:rPr>
                <w:rFonts w:hint="eastAsia" w:ascii="Times New Roman" w:hAnsi="Times New Roman"/>
                <w:b/>
                <w:bCs w:val="0"/>
                <w:color w:val="000000"/>
                <w:u w:val="single"/>
                <w:lang w:val="en-US" w:eastAsia="zh-CN"/>
              </w:rPr>
              <w:t>0367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43" w:type="dxa"/>
            <w:gridSpan w:val="3"/>
            <w:vMerge w:val="continue"/>
            <w:noWrap w:val="0"/>
            <w:vAlign w:val="center"/>
          </w:tcPr>
          <w:p>
            <w:pPr>
              <w:spacing w:line="240" w:lineRule="exact"/>
              <w:jc w:val="center"/>
              <w:rPr>
                <w:rFonts w:ascii="Times New Roman" w:hAnsi="Times New Roman"/>
                <w:b/>
                <w:bCs w:val="0"/>
                <w:color w:val="000000"/>
                <w:sz w:val="21"/>
                <w:szCs w:val="21"/>
                <w:u w:val="single"/>
              </w:rPr>
            </w:pPr>
          </w:p>
        </w:tc>
        <w:tc>
          <w:tcPr>
            <w:tcW w:w="3348" w:type="dxa"/>
            <w:gridSpan w:val="3"/>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NH</w:t>
            </w:r>
            <w:r>
              <w:rPr>
                <w:rFonts w:ascii="Times New Roman" w:hAnsi="Times New Roman"/>
                <w:b/>
                <w:bCs w:val="0"/>
                <w:color w:val="000000"/>
                <w:sz w:val="21"/>
                <w:szCs w:val="21"/>
                <w:u w:val="single"/>
                <w:vertAlign w:val="subscript"/>
              </w:rPr>
              <w:t>3</w:t>
            </w:r>
          </w:p>
        </w:tc>
        <w:tc>
          <w:tcPr>
            <w:tcW w:w="3355" w:type="dxa"/>
            <w:gridSpan w:val="3"/>
            <w:noWrap w:val="0"/>
            <w:vAlign w:val="center"/>
          </w:tcPr>
          <w:p>
            <w:pPr>
              <w:pStyle w:val="22"/>
              <w:snapToGrid w:val="0"/>
              <w:spacing w:line="240" w:lineRule="exact"/>
              <w:jc w:val="center"/>
              <w:rPr>
                <w:rFonts w:hint="default" w:ascii="Times New Roman" w:hAnsi="Times New Roman"/>
                <w:b/>
                <w:bCs w:val="0"/>
                <w:snapToGrid w:val="0"/>
                <w:color w:val="000000"/>
                <w:u w:val="single"/>
                <w:lang w:val="en-US" w:eastAsia="zh-CN"/>
              </w:rPr>
            </w:pPr>
            <w:r>
              <w:rPr>
                <w:rFonts w:hint="eastAsia" w:ascii="Times New Roman" w:hAnsi="Times New Roman"/>
                <w:b/>
                <w:bCs w:val="0"/>
                <w:color w:val="000000"/>
                <w:u w:val="single"/>
                <w:lang w:val="en-US" w:eastAsia="zh-CN"/>
              </w:rPr>
              <w:t>1.433</w:t>
            </w:r>
          </w:p>
        </w:tc>
      </w:tr>
    </w:tbl>
    <w:p>
      <w:pPr>
        <w:spacing w:line="360" w:lineRule="exact"/>
        <w:ind w:firstLine="472"/>
        <w:jc w:val="center"/>
        <w:rPr>
          <w:rFonts w:ascii="Times New Roman" w:hAnsi="Times New Roman"/>
          <w:b/>
          <w:bCs w:val="0"/>
          <w:color w:val="000000"/>
          <w:sz w:val="24"/>
          <w:szCs w:val="24"/>
          <w:u w:val="single"/>
        </w:rPr>
      </w:pPr>
      <w:r>
        <w:rPr>
          <w:rFonts w:hint="eastAsia" w:ascii="Times New Roman" w:hAnsi="Times New Roman"/>
          <w:b/>
          <w:bCs w:val="0"/>
          <w:color w:val="000000"/>
          <w:sz w:val="24"/>
          <w:szCs w:val="24"/>
          <w:u w:val="single"/>
        </w:rPr>
        <w:t>表4-21</w:t>
      </w:r>
      <w:r>
        <w:rPr>
          <w:rFonts w:ascii="Times New Roman" w:hAnsi="Times New Roman"/>
          <w:b/>
          <w:bCs w:val="0"/>
          <w:color w:val="000000"/>
          <w:sz w:val="24"/>
          <w:szCs w:val="24"/>
          <w:u w:val="single"/>
        </w:rPr>
        <w:t xml:space="preserve"> </w:t>
      </w:r>
      <w:r>
        <w:rPr>
          <w:rFonts w:ascii="Times New Roman" w:hAnsi="宋体"/>
          <w:b/>
          <w:bCs w:val="0"/>
          <w:color w:val="000000"/>
          <w:sz w:val="24"/>
          <w:szCs w:val="24"/>
          <w:u w:val="single"/>
        </w:rPr>
        <w:t>大气污染物年排放量核算表</w:t>
      </w:r>
    </w:p>
    <w:tbl>
      <w:tblPr>
        <w:tblStyle w:val="4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82"/>
        <w:gridCol w:w="2982"/>
        <w:gridCol w:w="29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2"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序号</w:t>
            </w:r>
          </w:p>
        </w:tc>
        <w:tc>
          <w:tcPr>
            <w:tcW w:w="2982"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污染物</w:t>
            </w:r>
          </w:p>
        </w:tc>
        <w:tc>
          <w:tcPr>
            <w:tcW w:w="2982"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宋体"/>
                <w:b/>
                <w:bCs w:val="0"/>
                <w:color w:val="000000"/>
                <w:sz w:val="21"/>
                <w:szCs w:val="21"/>
                <w:u w:val="single"/>
              </w:rPr>
              <w:t>年排放量（</w:t>
            </w:r>
            <w:r>
              <w:rPr>
                <w:rFonts w:ascii="Times New Roman" w:hAnsi="Times New Roman"/>
                <w:b/>
                <w:bCs w:val="0"/>
                <w:color w:val="000000"/>
                <w:sz w:val="21"/>
                <w:szCs w:val="21"/>
                <w:u w:val="single"/>
              </w:rPr>
              <w:t>t/a</w:t>
            </w:r>
            <w:r>
              <w:rPr>
                <w:rFonts w:ascii="Times New Roman" w:hAnsi="宋体"/>
                <w:b/>
                <w:bCs w:val="0"/>
                <w:color w:val="000000"/>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2"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1</w:t>
            </w:r>
          </w:p>
        </w:tc>
        <w:tc>
          <w:tcPr>
            <w:tcW w:w="2982"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SO</w:t>
            </w:r>
            <w:r>
              <w:rPr>
                <w:rFonts w:ascii="Times New Roman" w:hAnsi="Times New Roman"/>
                <w:b/>
                <w:bCs w:val="0"/>
                <w:color w:val="000000"/>
                <w:sz w:val="21"/>
                <w:szCs w:val="21"/>
                <w:u w:val="single"/>
                <w:vertAlign w:val="subscript"/>
              </w:rPr>
              <w:t>2</w:t>
            </w:r>
          </w:p>
        </w:tc>
        <w:tc>
          <w:tcPr>
            <w:tcW w:w="2982" w:type="dxa"/>
            <w:noWrap w:val="0"/>
            <w:vAlign w:val="center"/>
          </w:tcPr>
          <w:p>
            <w:pPr>
              <w:spacing w:line="240" w:lineRule="exact"/>
              <w:jc w:val="center"/>
              <w:rPr>
                <w:rFonts w:hint="default" w:ascii="Times New Roman" w:hAnsi="Times New Roman" w:eastAsia="宋体"/>
                <w:b/>
                <w:bCs w:val="0"/>
                <w:color w:val="000000"/>
                <w:sz w:val="21"/>
                <w:szCs w:val="21"/>
                <w:u w:val="single"/>
                <w:lang w:val="en-US" w:eastAsia="zh-CN"/>
              </w:rPr>
            </w:pPr>
            <w:r>
              <w:rPr>
                <w:rFonts w:ascii="Times New Roman" w:hAnsi="Times New Roman"/>
                <w:b/>
                <w:bCs w:val="0"/>
                <w:color w:val="000000"/>
                <w:sz w:val="21"/>
                <w:szCs w:val="21"/>
                <w:u w:val="single"/>
              </w:rPr>
              <w:t>0.0</w:t>
            </w:r>
            <w:r>
              <w:rPr>
                <w:rFonts w:hint="eastAsia" w:ascii="Times New Roman" w:hAnsi="Times New Roman"/>
                <w:b/>
                <w:bCs w:val="0"/>
                <w:color w:val="000000"/>
                <w:sz w:val="21"/>
                <w:szCs w:val="21"/>
                <w:u w:val="single"/>
              </w:rPr>
              <w:t>0</w:t>
            </w:r>
            <w:r>
              <w:rPr>
                <w:rFonts w:hint="eastAsia"/>
                <w:b/>
                <w:bCs w:val="0"/>
                <w:color w:val="000000"/>
                <w:sz w:val="21"/>
                <w:szCs w:val="21"/>
                <w:u w:val="single"/>
                <w:lang w:val="en-US" w:eastAsia="zh-C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2"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2</w:t>
            </w:r>
          </w:p>
        </w:tc>
        <w:tc>
          <w:tcPr>
            <w:tcW w:w="2982"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NO</w:t>
            </w:r>
            <w:r>
              <w:rPr>
                <w:rFonts w:ascii="Times New Roman" w:hAnsi="Times New Roman"/>
                <w:b/>
                <w:bCs w:val="0"/>
                <w:color w:val="000000"/>
                <w:sz w:val="21"/>
                <w:szCs w:val="21"/>
                <w:u w:val="single"/>
                <w:vertAlign w:val="subscript"/>
              </w:rPr>
              <w:t>X</w:t>
            </w:r>
          </w:p>
        </w:tc>
        <w:tc>
          <w:tcPr>
            <w:tcW w:w="2982" w:type="dxa"/>
            <w:noWrap w:val="0"/>
            <w:vAlign w:val="center"/>
          </w:tcPr>
          <w:p>
            <w:pPr>
              <w:spacing w:line="240" w:lineRule="exact"/>
              <w:jc w:val="center"/>
              <w:rPr>
                <w:rFonts w:hint="default" w:ascii="Times New Roman" w:hAnsi="Times New Roman" w:eastAsia="宋体"/>
                <w:b/>
                <w:bCs w:val="0"/>
                <w:color w:val="000000"/>
                <w:sz w:val="21"/>
                <w:szCs w:val="21"/>
                <w:u w:val="single"/>
                <w:lang w:val="en-US" w:eastAsia="zh-CN"/>
              </w:rPr>
            </w:pPr>
            <w:r>
              <w:rPr>
                <w:rFonts w:ascii="Times New Roman" w:hAnsi="Times New Roman"/>
                <w:b/>
                <w:bCs w:val="0"/>
                <w:color w:val="000000"/>
                <w:sz w:val="21"/>
                <w:szCs w:val="21"/>
                <w:u w:val="single"/>
              </w:rPr>
              <w:t>0.</w:t>
            </w:r>
            <w:r>
              <w:rPr>
                <w:rFonts w:hint="eastAsia" w:ascii="Times New Roman" w:hAnsi="Times New Roman"/>
                <w:b/>
                <w:bCs w:val="0"/>
                <w:color w:val="000000"/>
                <w:sz w:val="21"/>
                <w:szCs w:val="21"/>
                <w:u w:val="single"/>
              </w:rPr>
              <w:t>0</w:t>
            </w:r>
            <w:r>
              <w:rPr>
                <w:rFonts w:hint="eastAsia"/>
                <w:b/>
                <w:bCs w:val="0"/>
                <w:color w:val="000000"/>
                <w:sz w:val="21"/>
                <w:szCs w:val="21"/>
                <w:u w:val="single"/>
                <w:lang w:val="en-US" w:eastAsia="zh-CN"/>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2" w:type="dxa"/>
            <w:noWrap w:val="0"/>
            <w:vAlign w:val="center"/>
          </w:tcPr>
          <w:p>
            <w:pPr>
              <w:spacing w:line="240" w:lineRule="exact"/>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4</w:t>
            </w:r>
          </w:p>
        </w:tc>
        <w:tc>
          <w:tcPr>
            <w:tcW w:w="2982" w:type="dxa"/>
            <w:noWrap w:val="0"/>
            <w:vAlign w:val="center"/>
          </w:tcPr>
          <w:p>
            <w:pPr>
              <w:spacing w:line="240" w:lineRule="exact"/>
              <w:ind w:firstLine="105" w:firstLineChars="50"/>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H</w:t>
            </w:r>
            <w:r>
              <w:rPr>
                <w:rFonts w:ascii="Times New Roman" w:hAnsi="Times New Roman"/>
                <w:b/>
                <w:bCs w:val="0"/>
                <w:color w:val="000000"/>
                <w:sz w:val="21"/>
                <w:szCs w:val="21"/>
                <w:u w:val="single"/>
                <w:vertAlign w:val="subscript"/>
              </w:rPr>
              <w:t>2</w:t>
            </w:r>
            <w:r>
              <w:rPr>
                <w:rFonts w:ascii="Times New Roman" w:hAnsi="Times New Roman"/>
                <w:b/>
                <w:bCs w:val="0"/>
                <w:color w:val="000000"/>
                <w:sz w:val="21"/>
                <w:szCs w:val="21"/>
                <w:u w:val="single"/>
              </w:rPr>
              <w:t>S</w:t>
            </w:r>
          </w:p>
        </w:tc>
        <w:tc>
          <w:tcPr>
            <w:tcW w:w="2982" w:type="dxa"/>
            <w:noWrap w:val="0"/>
            <w:vAlign w:val="center"/>
          </w:tcPr>
          <w:p>
            <w:pPr>
              <w:pStyle w:val="22"/>
              <w:snapToGrid w:val="0"/>
              <w:spacing w:line="240" w:lineRule="exact"/>
              <w:jc w:val="center"/>
              <w:rPr>
                <w:rFonts w:hint="default" w:ascii="Times New Roman" w:hAnsi="Times New Roman"/>
                <w:b/>
                <w:bCs w:val="0"/>
                <w:snapToGrid w:val="0"/>
                <w:color w:val="000000"/>
                <w:u w:val="single"/>
                <w:lang w:val="en-US" w:eastAsia="zh-CN"/>
              </w:rPr>
            </w:pPr>
            <w:r>
              <w:rPr>
                <w:rFonts w:ascii="Times New Roman" w:hAnsi="Times New Roman"/>
                <w:b/>
                <w:bCs w:val="0"/>
                <w:snapToGrid w:val="0"/>
                <w:color w:val="000000"/>
                <w:u w:val="single"/>
                <w:lang w:val="en-US" w:eastAsia="zh-CN"/>
              </w:rPr>
              <w:t>0.1</w:t>
            </w:r>
            <w:r>
              <w:rPr>
                <w:rFonts w:hint="eastAsia" w:ascii="Times New Roman" w:hAnsi="Times New Roman"/>
                <w:b/>
                <w:bCs w:val="0"/>
                <w:snapToGrid w:val="0"/>
                <w:color w:val="000000"/>
                <w:u w:val="single"/>
                <w:lang w:val="en-US" w:eastAsia="zh-CN"/>
              </w:rPr>
              <w:t>0367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82" w:type="dxa"/>
            <w:noWrap w:val="0"/>
            <w:vAlign w:val="center"/>
          </w:tcPr>
          <w:p>
            <w:pPr>
              <w:spacing w:line="240" w:lineRule="exact"/>
              <w:jc w:val="center"/>
              <w:rPr>
                <w:rFonts w:ascii="Times New Roman" w:hAnsi="Times New Roman"/>
                <w:b/>
                <w:bCs w:val="0"/>
                <w:color w:val="000000"/>
                <w:sz w:val="21"/>
                <w:szCs w:val="21"/>
                <w:u w:val="single"/>
              </w:rPr>
            </w:pPr>
            <w:r>
              <w:rPr>
                <w:rFonts w:hint="eastAsia" w:ascii="Times New Roman" w:hAnsi="Times New Roman"/>
                <w:b/>
                <w:bCs w:val="0"/>
                <w:color w:val="000000"/>
                <w:sz w:val="21"/>
                <w:szCs w:val="21"/>
                <w:u w:val="single"/>
              </w:rPr>
              <w:t>5</w:t>
            </w:r>
          </w:p>
        </w:tc>
        <w:tc>
          <w:tcPr>
            <w:tcW w:w="2982" w:type="dxa"/>
            <w:noWrap w:val="0"/>
            <w:vAlign w:val="center"/>
          </w:tcPr>
          <w:p>
            <w:pPr>
              <w:spacing w:line="240" w:lineRule="exact"/>
              <w:ind w:firstLine="105" w:firstLineChars="50"/>
              <w:jc w:val="center"/>
              <w:rPr>
                <w:rFonts w:ascii="Times New Roman" w:hAnsi="Times New Roman"/>
                <w:b/>
                <w:bCs w:val="0"/>
                <w:color w:val="000000"/>
                <w:sz w:val="21"/>
                <w:szCs w:val="21"/>
                <w:u w:val="single"/>
              </w:rPr>
            </w:pPr>
            <w:r>
              <w:rPr>
                <w:rFonts w:ascii="Times New Roman" w:hAnsi="Times New Roman"/>
                <w:b/>
                <w:bCs w:val="0"/>
                <w:color w:val="000000"/>
                <w:sz w:val="21"/>
                <w:szCs w:val="21"/>
                <w:u w:val="single"/>
              </w:rPr>
              <w:t>NH</w:t>
            </w:r>
            <w:r>
              <w:rPr>
                <w:rFonts w:ascii="Times New Roman" w:hAnsi="Times New Roman"/>
                <w:b/>
                <w:bCs w:val="0"/>
                <w:color w:val="000000"/>
                <w:sz w:val="21"/>
                <w:szCs w:val="21"/>
                <w:u w:val="single"/>
                <w:vertAlign w:val="subscript"/>
              </w:rPr>
              <w:t>3</w:t>
            </w:r>
          </w:p>
        </w:tc>
        <w:tc>
          <w:tcPr>
            <w:tcW w:w="2982" w:type="dxa"/>
            <w:noWrap w:val="0"/>
            <w:vAlign w:val="center"/>
          </w:tcPr>
          <w:p>
            <w:pPr>
              <w:pStyle w:val="22"/>
              <w:snapToGrid w:val="0"/>
              <w:spacing w:line="240" w:lineRule="exact"/>
              <w:jc w:val="center"/>
              <w:rPr>
                <w:rFonts w:hint="default" w:ascii="Times New Roman" w:hAnsi="Times New Roman"/>
                <w:b/>
                <w:bCs w:val="0"/>
                <w:snapToGrid w:val="0"/>
                <w:color w:val="000000"/>
                <w:u w:val="single"/>
                <w:lang w:val="en-US" w:eastAsia="zh-CN"/>
              </w:rPr>
            </w:pPr>
            <w:r>
              <w:rPr>
                <w:rFonts w:hint="eastAsia" w:ascii="Times New Roman" w:hAnsi="Times New Roman"/>
                <w:b/>
                <w:bCs w:val="0"/>
                <w:snapToGrid w:val="0"/>
                <w:color w:val="000000"/>
                <w:u w:val="single"/>
                <w:lang w:val="en-US" w:eastAsia="zh-CN"/>
              </w:rPr>
              <w:t>1.433</w:t>
            </w:r>
          </w:p>
        </w:tc>
      </w:tr>
    </w:tbl>
    <w:p>
      <w:pPr>
        <w:pStyle w:val="279"/>
        <w:spacing w:line="500" w:lineRule="exact"/>
        <w:rPr>
          <w:rFonts w:hint="eastAsia"/>
          <w:b/>
          <w:bCs w:val="0"/>
          <w:color w:val="000000"/>
          <w:u w:val="single"/>
        </w:rPr>
      </w:pPr>
      <w:r>
        <w:rPr>
          <w:rFonts w:hint="eastAsia"/>
          <w:b/>
          <w:bCs w:val="0"/>
          <w:color w:val="000000"/>
          <w:u w:val="single"/>
        </w:rPr>
        <w:t>5、建设项目大气环境影响评价自查表</w:t>
      </w:r>
    </w:p>
    <w:p>
      <w:pPr>
        <w:spacing w:line="360" w:lineRule="exact"/>
        <w:ind w:firstLine="474"/>
        <w:jc w:val="center"/>
        <w:rPr>
          <w:rFonts w:ascii="Times New Roman" w:hAnsi="Times New Roman"/>
          <w:b/>
          <w:bCs w:val="0"/>
          <w:color w:val="000000"/>
          <w:sz w:val="24"/>
          <w:szCs w:val="24"/>
          <w:u w:val="single"/>
        </w:rPr>
      </w:pPr>
      <w:r>
        <w:rPr>
          <w:rFonts w:ascii="Times New Roman" w:hAnsi="宋体"/>
          <w:b/>
          <w:bCs w:val="0"/>
          <w:color w:val="000000"/>
          <w:sz w:val="24"/>
          <w:szCs w:val="24"/>
          <w:u w:val="single"/>
        </w:rPr>
        <w:t>表</w:t>
      </w:r>
      <w:r>
        <w:rPr>
          <w:rFonts w:hint="eastAsia" w:ascii="Times New Roman" w:hAnsi="Times New Roman"/>
          <w:b/>
          <w:bCs w:val="0"/>
          <w:color w:val="000000"/>
          <w:sz w:val="24"/>
          <w:szCs w:val="24"/>
          <w:u w:val="single"/>
        </w:rPr>
        <w:t>4-22</w:t>
      </w:r>
      <w:r>
        <w:rPr>
          <w:rFonts w:ascii="Times New Roman" w:hAnsi="Times New Roman"/>
          <w:b/>
          <w:bCs w:val="0"/>
          <w:color w:val="000000"/>
          <w:sz w:val="24"/>
          <w:szCs w:val="24"/>
          <w:u w:val="single"/>
        </w:rPr>
        <w:t xml:space="preserve"> </w:t>
      </w:r>
      <w:r>
        <w:rPr>
          <w:rFonts w:ascii="Times New Roman" w:hAnsi="宋体"/>
          <w:b/>
          <w:bCs w:val="0"/>
          <w:color w:val="000000"/>
          <w:sz w:val="24"/>
          <w:szCs w:val="24"/>
          <w:u w:val="single"/>
        </w:rPr>
        <w:t>建设项目大气环境影响评价自查表</w:t>
      </w:r>
    </w:p>
    <w:tbl>
      <w:tblPr>
        <w:tblStyle w:val="44"/>
        <w:tblW w:w="0" w:type="auto"/>
        <w:tblInd w:w="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77"/>
        <w:gridCol w:w="1728"/>
        <w:gridCol w:w="945"/>
        <w:gridCol w:w="493"/>
        <w:gridCol w:w="222"/>
        <w:gridCol w:w="18"/>
        <w:gridCol w:w="647"/>
        <w:gridCol w:w="82"/>
        <w:gridCol w:w="492"/>
        <w:gridCol w:w="384"/>
        <w:gridCol w:w="164"/>
        <w:gridCol w:w="651"/>
        <w:gridCol w:w="832"/>
        <w:gridCol w:w="235"/>
        <w:gridCol w:w="665"/>
        <w:gridCol w:w="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505" w:type="dxa"/>
            <w:gridSpan w:val="2"/>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工作内容</w:t>
            </w:r>
          </w:p>
        </w:tc>
        <w:tc>
          <w:tcPr>
            <w:tcW w:w="6248" w:type="dxa"/>
            <w:gridSpan w:val="14"/>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restart"/>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评价等级与范围</w:t>
            </w: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评价等级</w:t>
            </w:r>
          </w:p>
        </w:tc>
        <w:tc>
          <w:tcPr>
            <w:tcW w:w="2407" w:type="dxa"/>
            <w:gridSpan w:val="6"/>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一级</w:t>
            </w:r>
            <w:r>
              <w:rPr>
                <w:rFonts w:ascii="Times New Roman" w:hAnsi="Times New Roman"/>
                <w:b/>
                <w:bCs w:val="0"/>
                <w:color w:val="000000"/>
                <w:sz w:val="18"/>
                <w:szCs w:val="18"/>
                <w:u w:val="single"/>
              </w:rPr>
              <w:t>□</w:t>
            </w:r>
          </w:p>
        </w:tc>
        <w:tc>
          <w:tcPr>
            <w:tcW w:w="2523" w:type="dxa"/>
            <w:gridSpan w:val="5"/>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二级</w:t>
            </w:r>
            <w:r>
              <w:rPr>
                <w:rFonts w:ascii="Times New Roman" w:hAnsi="Times New Roman"/>
                <w:b/>
                <w:bCs w:val="0"/>
                <w:color w:val="000000"/>
                <w:sz w:val="18"/>
                <w:szCs w:val="18"/>
                <w:u w:val="single"/>
              </w:rPr>
              <w:fldChar w:fldCharType="begin"/>
            </w:r>
            <w:r>
              <w:rPr>
                <w:rFonts w:ascii="Times New Roman" w:hAnsi="Times New Roman"/>
                <w:b/>
                <w:bCs w:val="0"/>
                <w:color w:val="000000"/>
                <w:sz w:val="18"/>
                <w:szCs w:val="18"/>
                <w:u w:val="single"/>
              </w:rPr>
              <w:instrText xml:space="preserve"> eq \o\ac(□,√)</w:instrText>
            </w:r>
            <w:r>
              <w:rPr>
                <w:rFonts w:ascii="Times New Roman" w:hAnsi="Times New Roman"/>
                <w:b/>
                <w:bCs w:val="0"/>
                <w:color w:val="000000"/>
                <w:sz w:val="18"/>
                <w:szCs w:val="18"/>
                <w:u w:val="single"/>
              </w:rPr>
              <w:fldChar w:fldCharType="end"/>
            </w:r>
          </w:p>
        </w:tc>
        <w:tc>
          <w:tcPr>
            <w:tcW w:w="1318" w:type="dxa"/>
            <w:gridSpan w:val="3"/>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三级</w:t>
            </w:r>
            <w:r>
              <w:rPr>
                <w:rFonts w:ascii="Times New Roman" w:hAnsi="Times New Roman"/>
                <w:b/>
                <w:bCs w:val="0"/>
                <w:color w:val="000000"/>
                <w:sz w:val="18"/>
                <w:szCs w:val="18"/>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评价范围</w:t>
            </w:r>
          </w:p>
        </w:tc>
        <w:tc>
          <w:tcPr>
            <w:tcW w:w="2407" w:type="dxa"/>
            <w:gridSpan w:val="6"/>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边长</w:t>
            </w:r>
            <w:r>
              <w:rPr>
                <w:rFonts w:ascii="Times New Roman" w:hAnsi="Times New Roman"/>
                <w:b/>
                <w:bCs w:val="0"/>
                <w:color w:val="000000"/>
                <w:sz w:val="18"/>
                <w:szCs w:val="18"/>
                <w:u w:val="single"/>
              </w:rPr>
              <w:t>=50km□</w:t>
            </w:r>
          </w:p>
        </w:tc>
        <w:tc>
          <w:tcPr>
            <w:tcW w:w="2523" w:type="dxa"/>
            <w:gridSpan w:val="5"/>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边长</w:t>
            </w:r>
            <w:r>
              <w:rPr>
                <w:rFonts w:ascii="Times New Roman" w:hAnsi="Times New Roman"/>
                <w:b/>
                <w:bCs w:val="0"/>
                <w:color w:val="000000"/>
                <w:sz w:val="18"/>
                <w:szCs w:val="18"/>
                <w:u w:val="single"/>
              </w:rPr>
              <w:t>=5~50km□</w:t>
            </w:r>
          </w:p>
        </w:tc>
        <w:tc>
          <w:tcPr>
            <w:tcW w:w="1318" w:type="dxa"/>
            <w:gridSpan w:val="3"/>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边长</w:t>
            </w:r>
            <w:r>
              <w:rPr>
                <w:rFonts w:ascii="Times New Roman" w:hAnsi="Times New Roman"/>
                <w:b/>
                <w:bCs w:val="0"/>
                <w:color w:val="000000"/>
                <w:sz w:val="18"/>
                <w:szCs w:val="18"/>
                <w:u w:val="single"/>
              </w:rPr>
              <w:t>=5km</w:t>
            </w:r>
            <w:r>
              <w:rPr>
                <w:rFonts w:ascii="Times New Roman" w:hAnsi="Times New Roman"/>
                <w:b/>
                <w:bCs w:val="0"/>
                <w:color w:val="000000"/>
                <w:sz w:val="18"/>
                <w:szCs w:val="18"/>
                <w:u w:val="single"/>
              </w:rPr>
              <w:fldChar w:fldCharType="begin"/>
            </w:r>
            <w:r>
              <w:rPr>
                <w:rFonts w:ascii="Times New Roman" w:hAnsi="Times New Roman"/>
                <w:b/>
                <w:bCs w:val="0"/>
                <w:color w:val="000000"/>
                <w:sz w:val="18"/>
                <w:szCs w:val="18"/>
                <w:u w:val="single"/>
              </w:rPr>
              <w:instrText xml:space="preserve"> eq \o\ac(□,√)</w:instrText>
            </w:r>
            <w:r>
              <w:rPr>
                <w:rFonts w:ascii="Times New Roman" w:hAnsi="Times New Roman"/>
                <w:b/>
                <w:bCs w:val="0"/>
                <w:color w:val="000000"/>
                <w:sz w:val="18"/>
                <w:szCs w:val="18"/>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restart"/>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评价因子</w:t>
            </w: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SO</w:t>
            </w:r>
            <w:r>
              <w:rPr>
                <w:rFonts w:ascii="Times New Roman" w:hAnsi="Times New Roman"/>
                <w:b/>
                <w:bCs w:val="0"/>
                <w:color w:val="000000"/>
                <w:sz w:val="18"/>
                <w:szCs w:val="18"/>
                <w:u w:val="single"/>
                <w:vertAlign w:val="subscript"/>
              </w:rPr>
              <w:t>2</w:t>
            </w:r>
            <w:r>
              <w:rPr>
                <w:rFonts w:ascii="Times New Roman" w:hAnsi="Times New Roman"/>
                <w:b/>
                <w:bCs w:val="0"/>
                <w:color w:val="000000"/>
                <w:sz w:val="18"/>
                <w:szCs w:val="18"/>
                <w:u w:val="single"/>
              </w:rPr>
              <w:t>+NOx</w:t>
            </w:r>
            <w:r>
              <w:rPr>
                <w:rFonts w:ascii="Times New Roman" w:hAnsi="宋体"/>
                <w:b/>
                <w:bCs w:val="0"/>
                <w:color w:val="000000"/>
                <w:sz w:val="18"/>
                <w:szCs w:val="18"/>
                <w:u w:val="single"/>
              </w:rPr>
              <w:t>排放量</w:t>
            </w:r>
          </w:p>
        </w:tc>
        <w:tc>
          <w:tcPr>
            <w:tcW w:w="1438" w:type="dxa"/>
            <w:gridSpan w:val="2"/>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≥2000t/a□</w:t>
            </w:r>
          </w:p>
        </w:tc>
        <w:tc>
          <w:tcPr>
            <w:tcW w:w="2009" w:type="dxa"/>
            <w:gridSpan w:val="7"/>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500~2000t/a□</w:t>
            </w:r>
          </w:p>
        </w:tc>
        <w:tc>
          <w:tcPr>
            <w:tcW w:w="2801" w:type="dxa"/>
            <w:gridSpan w:val="5"/>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&lt;500t/a</w:t>
            </w:r>
            <w:r>
              <w:rPr>
                <w:rFonts w:ascii="Times New Roman" w:hAnsi="Times New Roman"/>
                <w:b/>
                <w:bCs w:val="0"/>
                <w:color w:val="000000"/>
                <w:sz w:val="18"/>
                <w:szCs w:val="18"/>
                <w:u w:val="single"/>
              </w:rPr>
              <w:fldChar w:fldCharType="begin"/>
            </w:r>
            <w:r>
              <w:rPr>
                <w:rFonts w:ascii="Times New Roman" w:hAnsi="Times New Roman"/>
                <w:b/>
                <w:bCs w:val="0"/>
                <w:color w:val="000000"/>
                <w:sz w:val="18"/>
                <w:szCs w:val="18"/>
                <w:u w:val="single"/>
              </w:rPr>
              <w:instrText xml:space="preserve"> eq \o\ac(□,√)</w:instrText>
            </w:r>
            <w:r>
              <w:rPr>
                <w:rFonts w:ascii="Times New Roman" w:hAnsi="Times New Roman"/>
                <w:b/>
                <w:bCs w:val="0"/>
                <w:color w:val="000000"/>
                <w:sz w:val="18"/>
                <w:szCs w:val="18"/>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评价因子</w:t>
            </w:r>
          </w:p>
        </w:tc>
        <w:tc>
          <w:tcPr>
            <w:tcW w:w="3447" w:type="dxa"/>
            <w:gridSpan w:val="9"/>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基本污染物</w:t>
            </w:r>
            <w:r>
              <w:rPr>
                <w:rFonts w:ascii="Times New Roman" w:hAnsi="Times New Roman"/>
                <w:b/>
                <w:bCs w:val="0"/>
                <w:color w:val="000000"/>
                <w:sz w:val="18"/>
                <w:szCs w:val="18"/>
                <w:u w:val="single"/>
              </w:rPr>
              <w:t>(H</w:t>
            </w:r>
            <w:r>
              <w:rPr>
                <w:rFonts w:ascii="Times New Roman" w:hAnsi="Times New Roman"/>
                <w:b/>
                <w:bCs w:val="0"/>
                <w:color w:val="000000"/>
                <w:sz w:val="18"/>
                <w:szCs w:val="18"/>
                <w:u w:val="single"/>
                <w:vertAlign w:val="subscript"/>
              </w:rPr>
              <w:t>2</w:t>
            </w:r>
            <w:r>
              <w:rPr>
                <w:rFonts w:ascii="Times New Roman" w:hAnsi="Times New Roman"/>
                <w:b/>
                <w:bCs w:val="0"/>
                <w:color w:val="000000"/>
                <w:sz w:val="18"/>
                <w:szCs w:val="18"/>
                <w:u w:val="single"/>
              </w:rPr>
              <w:t>S</w:t>
            </w:r>
            <w:r>
              <w:rPr>
                <w:rFonts w:ascii="Times New Roman" w:hAnsi="宋体"/>
                <w:b/>
                <w:bCs w:val="0"/>
                <w:color w:val="000000"/>
                <w:sz w:val="18"/>
                <w:szCs w:val="18"/>
                <w:u w:val="single"/>
              </w:rPr>
              <w:t>、</w:t>
            </w:r>
            <w:r>
              <w:rPr>
                <w:rFonts w:ascii="Times New Roman" w:hAnsi="Times New Roman"/>
                <w:b/>
                <w:bCs w:val="0"/>
                <w:color w:val="000000"/>
                <w:sz w:val="18"/>
                <w:szCs w:val="18"/>
                <w:u w:val="single"/>
              </w:rPr>
              <w:t>NH</w:t>
            </w:r>
            <w:r>
              <w:rPr>
                <w:rFonts w:ascii="Times New Roman" w:hAnsi="Times New Roman"/>
                <w:b/>
                <w:bCs w:val="0"/>
                <w:color w:val="000000"/>
                <w:sz w:val="18"/>
                <w:szCs w:val="18"/>
                <w:u w:val="single"/>
                <w:vertAlign w:val="subscript"/>
              </w:rPr>
              <w:t>3</w:t>
            </w:r>
            <w:r>
              <w:rPr>
                <w:rFonts w:ascii="Times New Roman" w:hAnsi="宋体"/>
                <w:b/>
                <w:bCs w:val="0"/>
                <w:color w:val="000000"/>
                <w:sz w:val="18"/>
                <w:szCs w:val="18"/>
                <w:u w:val="single"/>
              </w:rPr>
              <w:t>、</w:t>
            </w:r>
            <w:r>
              <w:rPr>
                <w:rFonts w:hint="eastAsia" w:ascii="Times New Roman" w:hAnsi="宋体"/>
                <w:b/>
                <w:bCs w:val="0"/>
                <w:color w:val="000000"/>
                <w:sz w:val="18"/>
                <w:szCs w:val="18"/>
                <w:u w:val="single"/>
              </w:rPr>
              <w:t>颗粒物、</w:t>
            </w:r>
            <w:r>
              <w:rPr>
                <w:rFonts w:ascii="Times New Roman" w:hAnsi="Times New Roman"/>
                <w:b/>
                <w:bCs w:val="0"/>
                <w:color w:val="000000"/>
                <w:sz w:val="18"/>
                <w:szCs w:val="18"/>
                <w:u w:val="single"/>
              </w:rPr>
              <w:t>SO</w:t>
            </w:r>
            <w:r>
              <w:rPr>
                <w:rFonts w:ascii="Times New Roman" w:hAnsi="Times New Roman"/>
                <w:b/>
                <w:bCs w:val="0"/>
                <w:color w:val="000000"/>
                <w:sz w:val="18"/>
                <w:szCs w:val="18"/>
                <w:u w:val="single"/>
                <w:vertAlign w:val="subscript"/>
              </w:rPr>
              <w:t>2</w:t>
            </w:r>
            <w:r>
              <w:rPr>
                <w:rFonts w:ascii="Times New Roman" w:hAnsi="宋体"/>
                <w:b/>
                <w:bCs w:val="0"/>
                <w:color w:val="000000"/>
                <w:sz w:val="18"/>
                <w:szCs w:val="18"/>
                <w:u w:val="single"/>
              </w:rPr>
              <w:t>、</w:t>
            </w:r>
            <w:r>
              <w:rPr>
                <w:rFonts w:ascii="Times New Roman" w:hAnsi="Times New Roman"/>
                <w:b/>
                <w:bCs w:val="0"/>
                <w:color w:val="000000"/>
                <w:sz w:val="18"/>
                <w:szCs w:val="18"/>
                <w:u w:val="single"/>
              </w:rPr>
              <w:t>NO</w:t>
            </w:r>
            <w:r>
              <w:rPr>
                <w:rFonts w:ascii="Times New Roman" w:hAnsi="Times New Roman"/>
                <w:b/>
                <w:bCs w:val="0"/>
                <w:color w:val="000000"/>
                <w:sz w:val="18"/>
                <w:szCs w:val="18"/>
                <w:u w:val="single"/>
                <w:vertAlign w:val="subscript"/>
              </w:rPr>
              <w:t>X</w:t>
            </w:r>
            <w:r>
              <w:rPr>
                <w:rFonts w:ascii="Times New Roman" w:hAnsi="Times New Roman"/>
                <w:b/>
                <w:bCs w:val="0"/>
                <w:color w:val="000000"/>
                <w:sz w:val="18"/>
                <w:szCs w:val="18"/>
                <w:u w:val="single"/>
              </w:rPr>
              <w:t>)</w:t>
            </w:r>
            <w:r>
              <w:rPr>
                <w:rFonts w:ascii="Times New Roman" w:hAnsi="宋体"/>
                <w:b/>
                <w:bCs w:val="0"/>
                <w:color w:val="000000"/>
                <w:sz w:val="18"/>
                <w:szCs w:val="18"/>
                <w:u w:val="single"/>
              </w:rPr>
              <w:t>、其他污染物</w:t>
            </w:r>
            <w:r>
              <w:rPr>
                <w:rFonts w:ascii="Times New Roman" w:hAnsi="Times New Roman"/>
                <w:b/>
                <w:bCs w:val="0"/>
                <w:color w:val="000000"/>
                <w:sz w:val="18"/>
                <w:szCs w:val="18"/>
                <w:u w:val="single"/>
              </w:rPr>
              <w:t>( )</w:t>
            </w:r>
          </w:p>
        </w:tc>
        <w:tc>
          <w:tcPr>
            <w:tcW w:w="2801" w:type="dxa"/>
            <w:gridSpan w:val="5"/>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包括二次</w:t>
            </w:r>
            <w:r>
              <w:rPr>
                <w:rFonts w:ascii="Times New Roman" w:hAnsi="Times New Roman"/>
                <w:b/>
                <w:bCs w:val="0"/>
                <w:color w:val="000000"/>
                <w:sz w:val="18"/>
                <w:szCs w:val="18"/>
                <w:u w:val="single"/>
              </w:rPr>
              <w:t>PM</w:t>
            </w:r>
            <w:r>
              <w:rPr>
                <w:rFonts w:ascii="Times New Roman" w:hAnsi="Times New Roman"/>
                <w:b/>
                <w:bCs w:val="0"/>
                <w:color w:val="000000"/>
                <w:sz w:val="18"/>
                <w:szCs w:val="18"/>
                <w:u w:val="single"/>
                <w:vertAlign w:val="subscript"/>
              </w:rPr>
              <w:t>2.5</w:t>
            </w:r>
            <w:r>
              <w:rPr>
                <w:rFonts w:ascii="Times New Roman" w:hAnsi="Times New Roman"/>
                <w:b/>
                <w:bCs w:val="0"/>
                <w:color w:val="000000"/>
                <w:sz w:val="18"/>
                <w:szCs w:val="18"/>
                <w:u w:val="single"/>
              </w:rPr>
              <w:fldChar w:fldCharType="begin"/>
            </w:r>
            <w:r>
              <w:rPr>
                <w:rFonts w:ascii="Times New Roman" w:hAnsi="Times New Roman"/>
                <w:b/>
                <w:bCs w:val="0"/>
                <w:color w:val="000000"/>
                <w:sz w:val="18"/>
                <w:szCs w:val="18"/>
                <w:u w:val="single"/>
              </w:rPr>
              <w:instrText xml:space="preserve"> eq \o\ac(□)</w:instrText>
            </w:r>
            <w:r>
              <w:rPr>
                <w:rFonts w:ascii="Times New Roman" w:hAnsi="Times New Roman"/>
                <w:b/>
                <w:bCs w:val="0"/>
                <w:color w:val="000000"/>
                <w:sz w:val="18"/>
                <w:szCs w:val="18"/>
                <w:u w:val="single"/>
              </w:rPr>
              <w:fldChar w:fldCharType="end"/>
            </w:r>
          </w:p>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不包括二次</w:t>
            </w:r>
            <w:r>
              <w:rPr>
                <w:rFonts w:ascii="Times New Roman" w:hAnsi="Times New Roman"/>
                <w:b/>
                <w:bCs w:val="0"/>
                <w:color w:val="000000"/>
                <w:sz w:val="18"/>
                <w:szCs w:val="18"/>
                <w:u w:val="single"/>
              </w:rPr>
              <w:t>PM</w:t>
            </w:r>
            <w:r>
              <w:rPr>
                <w:rFonts w:ascii="Times New Roman" w:hAnsi="Times New Roman"/>
                <w:b/>
                <w:bCs w:val="0"/>
                <w:color w:val="000000"/>
                <w:sz w:val="18"/>
                <w:szCs w:val="18"/>
                <w:u w:val="single"/>
                <w:vertAlign w:val="subscript"/>
              </w:rPr>
              <w:t>2.5</w:t>
            </w:r>
            <w:r>
              <w:rPr>
                <w:rFonts w:ascii="Times New Roman" w:hAnsi="Times New Roman"/>
                <w:b/>
                <w:bCs w:val="0"/>
                <w:color w:val="000000"/>
                <w:sz w:val="18"/>
                <w:szCs w:val="18"/>
                <w:u w:val="single"/>
              </w:rPr>
              <w:sym w:font="Times New Roman" w:char="000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评价标准</w:t>
            </w: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评价标准</w:t>
            </w:r>
          </w:p>
        </w:tc>
        <w:tc>
          <w:tcPr>
            <w:tcW w:w="2325" w:type="dxa"/>
            <w:gridSpan w:val="5"/>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国家标准</w:t>
            </w:r>
            <w:r>
              <w:rPr>
                <w:rFonts w:ascii="Times New Roman" w:hAnsi="Times New Roman"/>
                <w:b/>
                <w:bCs w:val="0"/>
                <w:color w:val="000000"/>
                <w:sz w:val="18"/>
                <w:szCs w:val="18"/>
                <w:u w:val="single"/>
              </w:rPr>
              <w:fldChar w:fldCharType="begin"/>
            </w:r>
            <w:r>
              <w:rPr>
                <w:rFonts w:ascii="Times New Roman" w:hAnsi="Times New Roman"/>
                <w:b/>
                <w:bCs w:val="0"/>
                <w:color w:val="000000"/>
                <w:sz w:val="18"/>
                <w:szCs w:val="18"/>
                <w:u w:val="single"/>
              </w:rPr>
              <w:instrText xml:space="preserve"> eq \o\ac(□,√)</w:instrText>
            </w:r>
            <w:r>
              <w:rPr>
                <w:rFonts w:ascii="Times New Roman" w:hAnsi="Times New Roman"/>
                <w:b/>
                <w:bCs w:val="0"/>
                <w:color w:val="000000"/>
                <w:sz w:val="18"/>
                <w:szCs w:val="18"/>
                <w:u w:val="single"/>
              </w:rPr>
              <w:fldChar w:fldCharType="end"/>
            </w:r>
          </w:p>
        </w:tc>
        <w:tc>
          <w:tcPr>
            <w:tcW w:w="1122" w:type="dxa"/>
            <w:gridSpan w:val="4"/>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地方标准</w:t>
            </w:r>
            <w:r>
              <w:rPr>
                <w:rFonts w:ascii="Times New Roman" w:hAnsi="Times New Roman"/>
                <w:b/>
                <w:bCs w:val="0"/>
                <w:color w:val="000000"/>
                <w:sz w:val="18"/>
                <w:szCs w:val="18"/>
                <w:u w:val="single"/>
              </w:rPr>
              <w:t>□</w:t>
            </w:r>
          </w:p>
        </w:tc>
        <w:tc>
          <w:tcPr>
            <w:tcW w:w="1483" w:type="dxa"/>
            <w:gridSpan w:val="2"/>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附录</w:t>
            </w:r>
            <w:r>
              <w:rPr>
                <w:rFonts w:ascii="Times New Roman" w:hAnsi="Times New Roman"/>
                <w:b/>
                <w:bCs w:val="0"/>
                <w:color w:val="000000"/>
                <w:sz w:val="18"/>
                <w:szCs w:val="18"/>
                <w:u w:val="single"/>
              </w:rPr>
              <w:t>D□</w:t>
            </w:r>
          </w:p>
        </w:tc>
        <w:tc>
          <w:tcPr>
            <w:tcW w:w="1318" w:type="dxa"/>
            <w:gridSpan w:val="3"/>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其他标准</w:t>
            </w:r>
            <w:r>
              <w:rPr>
                <w:rFonts w:ascii="Times New Roman" w:hAnsi="Times New Roman"/>
                <w:b/>
                <w:bCs w:val="0"/>
                <w:color w:val="000000"/>
                <w:sz w:val="18"/>
                <w:szCs w:val="18"/>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restart"/>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现状评价</w:t>
            </w: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评价功能区</w:t>
            </w:r>
          </w:p>
        </w:tc>
        <w:tc>
          <w:tcPr>
            <w:tcW w:w="2407" w:type="dxa"/>
            <w:gridSpan w:val="6"/>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一类区</w:t>
            </w:r>
            <w:r>
              <w:rPr>
                <w:rFonts w:ascii="Times New Roman" w:hAnsi="Times New Roman"/>
                <w:b/>
                <w:bCs w:val="0"/>
                <w:color w:val="000000"/>
                <w:sz w:val="18"/>
                <w:szCs w:val="18"/>
                <w:u w:val="single"/>
              </w:rPr>
              <w:t>□</w:t>
            </w:r>
          </w:p>
        </w:tc>
        <w:tc>
          <w:tcPr>
            <w:tcW w:w="2523" w:type="dxa"/>
            <w:gridSpan w:val="5"/>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二类区</w:t>
            </w:r>
            <w:r>
              <w:rPr>
                <w:rFonts w:ascii="Times New Roman" w:hAnsi="Times New Roman"/>
                <w:b/>
                <w:bCs w:val="0"/>
                <w:color w:val="000000"/>
                <w:sz w:val="18"/>
                <w:szCs w:val="18"/>
                <w:u w:val="single"/>
              </w:rPr>
              <w:fldChar w:fldCharType="begin"/>
            </w:r>
            <w:r>
              <w:rPr>
                <w:rFonts w:ascii="Times New Roman" w:hAnsi="Times New Roman"/>
                <w:b/>
                <w:bCs w:val="0"/>
                <w:color w:val="000000"/>
                <w:sz w:val="18"/>
                <w:szCs w:val="18"/>
                <w:u w:val="single"/>
              </w:rPr>
              <w:instrText xml:space="preserve"> eq \o\ac(□,√)</w:instrText>
            </w:r>
            <w:r>
              <w:rPr>
                <w:rFonts w:ascii="Times New Roman" w:hAnsi="Times New Roman"/>
                <w:b/>
                <w:bCs w:val="0"/>
                <w:color w:val="000000"/>
                <w:sz w:val="18"/>
                <w:szCs w:val="18"/>
                <w:u w:val="single"/>
              </w:rPr>
              <w:fldChar w:fldCharType="end"/>
            </w:r>
          </w:p>
        </w:tc>
        <w:tc>
          <w:tcPr>
            <w:tcW w:w="1318" w:type="dxa"/>
            <w:gridSpan w:val="3"/>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一类区和二类区</w:t>
            </w:r>
            <w:r>
              <w:rPr>
                <w:rFonts w:ascii="Times New Roman" w:hAnsi="Times New Roman"/>
                <w:b/>
                <w:bCs w:val="0"/>
                <w:color w:val="000000"/>
                <w:sz w:val="18"/>
                <w:szCs w:val="18"/>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评价基准年</w:t>
            </w:r>
          </w:p>
        </w:tc>
        <w:tc>
          <w:tcPr>
            <w:tcW w:w="6248" w:type="dxa"/>
            <w:gridSpan w:val="14"/>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(201</w:t>
            </w:r>
            <w:r>
              <w:rPr>
                <w:rFonts w:hint="eastAsia" w:ascii="Times New Roman" w:hAnsi="Times New Roman"/>
                <w:b/>
                <w:bCs w:val="0"/>
                <w:color w:val="000000"/>
                <w:sz w:val="18"/>
                <w:szCs w:val="18"/>
                <w:u w:val="single"/>
              </w:rPr>
              <w:t>8</w:t>
            </w:r>
            <w:r>
              <w:rPr>
                <w:rFonts w:ascii="Times New Roman" w:hAnsi="Times New Roman"/>
                <w:b/>
                <w:bCs w:val="0"/>
                <w:color w:val="000000"/>
                <w:sz w:val="18"/>
                <w:szCs w:val="18"/>
                <w:u w:val="single"/>
              </w:rPr>
              <w:t>)</w:t>
            </w:r>
            <w:r>
              <w:rPr>
                <w:rFonts w:ascii="Times New Roman" w:hAnsi="宋体"/>
                <w:b/>
                <w:bCs w:val="0"/>
                <w:color w:val="000000"/>
                <w:sz w:val="18"/>
                <w:szCs w:val="18"/>
                <w:u w:val="singl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环境空气质量现状调查数据来源</w:t>
            </w:r>
          </w:p>
        </w:tc>
        <w:tc>
          <w:tcPr>
            <w:tcW w:w="2407" w:type="dxa"/>
            <w:gridSpan w:val="6"/>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长期例行监测标准</w:t>
            </w:r>
            <w:r>
              <w:rPr>
                <w:rFonts w:ascii="Times New Roman" w:hAnsi="Times New Roman"/>
                <w:b/>
                <w:bCs w:val="0"/>
                <w:color w:val="000000"/>
                <w:sz w:val="18"/>
                <w:szCs w:val="18"/>
                <w:u w:val="single"/>
              </w:rPr>
              <w:t>□</w:t>
            </w:r>
          </w:p>
        </w:tc>
        <w:tc>
          <w:tcPr>
            <w:tcW w:w="2523" w:type="dxa"/>
            <w:gridSpan w:val="5"/>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主管部门发布的数据标准</w:t>
            </w:r>
            <w:r>
              <w:rPr>
                <w:rFonts w:ascii="Times New Roman" w:hAnsi="Times New Roman"/>
                <w:b/>
                <w:bCs w:val="0"/>
                <w:color w:val="000000"/>
                <w:sz w:val="18"/>
                <w:szCs w:val="18"/>
                <w:u w:val="single"/>
              </w:rPr>
              <w:fldChar w:fldCharType="begin"/>
            </w:r>
            <w:r>
              <w:rPr>
                <w:rFonts w:ascii="Times New Roman" w:hAnsi="Times New Roman"/>
                <w:b/>
                <w:bCs w:val="0"/>
                <w:color w:val="000000"/>
                <w:sz w:val="18"/>
                <w:szCs w:val="18"/>
                <w:u w:val="single"/>
              </w:rPr>
              <w:instrText xml:space="preserve"> eq \o\ac(□,√)</w:instrText>
            </w:r>
            <w:r>
              <w:rPr>
                <w:rFonts w:ascii="Times New Roman" w:hAnsi="Times New Roman"/>
                <w:b/>
                <w:bCs w:val="0"/>
                <w:color w:val="000000"/>
                <w:sz w:val="18"/>
                <w:szCs w:val="18"/>
                <w:u w:val="single"/>
              </w:rPr>
              <w:fldChar w:fldCharType="end"/>
            </w:r>
          </w:p>
        </w:tc>
        <w:tc>
          <w:tcPr>
            <w:tcW w:w="1318" w:type="dxa"/>
            <w:gridSpan w:val="3"/>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现状补充标准</w:t>
            </w:r>
            <w:r>
              <w:rPr>
                <w:rFonts w:ascii="Times New Roman" w:hAnsi="Times New Roman"/>
                <w:b/>
                <w:bCs w:val="0"/>
                <w:color w:val="000000"/>
                <w:sz w:val="18"/>
                <w:szCs w:val="18"/>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现状评价</w:t>
            </w:r>
          </w:p>
        </w:tc>
        <w:tc>
          <w:tcPr>
            <w:tcW w:w="3447" w:type="dxa"/>
            <w:gridSpan w:val="9"/>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达标区</w:t>
            </w:r>
            <w:r>
              <w:rPr>
                <w:rFonts w:ascii="Times New Roman" w:hAnsi="Times New Roman"/>
                <w:b/>
                <w:bCs w:val="0"/>
                <w:color w:val="000000"/>
                <w:sz w:val="18"/>
                <w:szCs w:val="18"/>
                <w:u w:val="single"/>
              </w:rPr>
              <w:t>□</w:t>
            </w:r>
          </w:p>
        </w:tc>
        <w:tc>
          <w:tcPr>
            <w:tcW w:w="2801" w:type="dxa"/>
            <w:gridSpan w:val="5"/>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不达标区</w:t>
            </w:r>
            <w:r>
              <w:rPr>
                <w:rFonts w:ascii="Times New Roman" w:hAnsi="Times New Roman"/>
                <w:b/>
                <w:bCs w:val="0"/>
                <w:color w:val="000000"/>
                <w:sz w:val="18"/>
                <w:szCs w:val="18"/>
                <w:u w:val="single"/>
              </w:rPr>
              <w:fldChar w:fldCharType="begin"/>
            </w:r>
            <w:r>
              <w:rPr>
                <w:rFonts w:ascii="Times New Roman" w:hAnsi="Times New Roman"/>
                <w:b/>
                <w:bCs w:val="0"/>
                <w:color w:val="000000"/>
                <w:sz w:val="18"/>
                <w:szCs w:val="18"/>
                <w:u w:val="single"/>
              </w:rPr>
              <w:instrText xml:space="preserve"> eq \o\ac(□,√)</w:instrText>
            </w:r>
            <w:r>
              <w:rPr>
                <w:rFonts w:ascii="Times New Roman" w:hAnsi="Times New Roman"/>
                <w:b/>
                <w:bCs w:val="0"/>
                <w:color w:val="000000"/>
                <w:sz w:val="18"/>
                <w:szCs w:val="18"/>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污染源调查</w:t>
            </w: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调查内容</w:t>
            </w:r>
          </w:p>
        </w:tc>
        <w:tc>
          <w:tcPr>
            <w:tcW w:w="2325" w:type="dxa"/>
            <w:gridSpan w:val="5"/>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本项目正常排放源</w:t>
            </w:r>
            <w:r>
              <w:rPr>
                <w:rFonts w:ascii="Times New Roman" w:hAnsi="Times New Roman"/>
                <w:b/>
                <w:bCs w:val="0"/>
                <w:color w:val="000000"/>
                <w:sz w:val="18"/>
                <w:szCs w:val="18"/>
                <w:u w:val="single"/>
              </w:rPr>
              <w:fldChar w:fldCharType="begin"/>
            </w:r>
            <w:r>
              <w:rPr>
                <w:rFonts w:ascii="Times New Roman" w:hAnsi="Times New Roman"/>
                <w:b/>
                <w:bCs w:val="0"/>
                <w:color w:val="000000"/>
                <w:sz w:val="18"/>
                <w:szCs w:val="18"/>
                <w:u w:val="single"/>
              </w:rPr>
              <w:instrText xml:space="preserve"> eq \o\ac(□,√)</w:instrText>
            </w:r>
            <w:r>
              <w:rPr>
                <w:rFonts w:ascii="Times New Roman" w:hAnsi="Times New Roman"/>
                <w:b/>
                <w:bCs w:val="0"/>
                <w:color w:val="000000"/>
                <w:sz w:val="18"/>
                <w:szCs w:val="18"/>
                <w:u w:val="single"/>
              </w:rPr>
              <w:fldChar w:fldCharType="end"/>
            </w:r>
          </w:p>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本项目非正常排放源</w:t>
            </w:r>
            <w:r>
              <w:rPr>
                <w:rFonts w:ascii="Times New Roman" w:hAnsi="Times New Roman"/>
                <w:b/>
                <w:bCs w:val="0"/>
                <w:color w:val="000000"/>
                <w:sz w:val="18"/>
                <w:szCs w:val="18"/>
                <w:u w:val="single"/>
              </w:rPr>
              <w:t>□</w:t>
            </w:r>
          </w:p>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现有污染源</w:t>
            </w:r>
            <w:r>
              <w:rPr>
                <w:rFonts w:ascii="Times New Roman" w:hAnsi="Times New Roman"/>
                <w:b/>
                <w:bCs w:val="0"/>
                <w:color w:val="000000"/>
                <w:sz w:val="18"/>
                <w:szCs w:val="18"/>
                <w:u w:val="single"/>
              </w:rPr>
              <w:t>□</w:t>
            </w:r>
          </w:p>
        </w:tc>
        <w:tc>
          <w:tcPr>
            <w:tcW w:w="1122" w:type="dxa"/>
            <w:gridSpan w:val="4"/>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拟替代的污染源</w:t>
            </w:r>
            <w:r>
              <w:rPr>
                <w:rFonts w:ascii="Times New Roman" w:hAnsi="Times New Roman"/>
                <w:b/>
                <w:bCs w:val="0"/>
                <w:color w:val="000000"/>
                <w:sz w:val="18"/>
                <w:szCs w:val="18"/>
                <w:u w:val="single"/>
              </w:rPr>
              <w:t>□</w:t>
            </w:r>
          </w:p>
        </w:tc>
        <w:tc>
          <w:tcPr>
            <w:tcW w:w="1483" w:type="dxa"/>
            <w:gridSpan w:val="2"/>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其他在建、拟建项目污染源</w:t>
            </w:r>
            <w:r>
              <w:rPr>
                <w:rFonts w:ascii="Times New Roman" w:hAnsi="Times New Roman"/>
                <w:b/>
                <w:bCs w:val="0"/>
                <w:color w:val="000000"/>
                <w:sz w:val="18"/>
                <w:szCs w:val="18"/>
                <w:u w:val="single"/>
              </w:rPr>
              <w:t>□</w:t>
            </w:r>
          </w:p>
        </w:tc>
        <w:tc>
          <w:tcPr>
            <w:tcW w:w="1318" w:type="dxa"/>
            <w:gridSpan w:val="3"/>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区域污染源</w:t>
            </w:r>
            <w:r>
              <w:rPr>
                <w:rFonts w:ascii="Times New Roman" w:hAnsi="Times New Roman"/>
                <w:b/>
                <w:bCs w:val="0"/>
                <w:color w:val="000000"/>
                <w:sz w:val="18"/>
                <w:szCs w:val="18"/>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restart"/>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大气环境影响预测与评价</w:t>
            </w: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预测模型</w:t>
            </w:r>
          </w:p>
        </w:tc>
        <w:tc>
          <w:tcPr>
            <w:tcW w:w="945"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AERMOD□</w:t>
            </w:r>
          </w:p>
        </w:tc>
        <w:tc>
          <w:tcPr>
            <w:tcW w:w="715" w:type="dxa"/>
            <w:gridSpan w:val="2"/>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ADMS□</w:t>
            </w:r>
          </w:p>
        </w:tc>
        <w:tc>
          <w:tcPr>
            <w:tcW w:w="1239" w:type="dxa"/>
            <w:gridSpan w:val="4"/>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AUSTAL2000□</w:t>
            </w:r>
          </w:p>
        </w:tc>
        <w:tc>
          <w:tcPr>
            <w:tcW w:w="1199" w:type="dxa"/>
            <w:gridSpan w:val="3"/>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EDMS/AEDT□</w:t>
            </w:r>
          </w:p>
        </w:tc>
        <w:tc>
          <w:tcPr>
            <w:tcW w:w="1067" w:type="dxa"/>
            <w:gridSpan w:val="2"/>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CALPUFF□</w:t>
            </w:r>
          </w:p>
        </w:tc>
        <w:tc>
          <w:tcPr>
            <w:tcW w:w="665"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网格模型</w:t>
            </w:r>
            <w:r>
              <w:rPr>
                <w:rFonts w:ascii="Times New Roman" w:hAnsi="Times New Roman"/>
                <w:b/>
                <w:bCs w:val="0"/>
                <w:color w:val="000000"/>
                <w:sz w:val="18"/>
                <w:szCs w:val="18"/>
                <w:u w:val="single"/>
              </w:rPr>
              <w:t>□</w:t>
            </w:r>
          </w:p>
        </w:tc>
        <w:tc>
          <w:tcPr>
            <w:tcW w:w="41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其他</w:t>
            </w:r>
            <w:r>
              <w:rPr>
                <w:rFonts w:ascii="Times New Roman" w:hAnsi="Times New Roman"/>
                <w:b/>
                <w:bCs w:val="0"/>
                <w:color w:val="000000"/>
                <w:sz w:val="18"/>
                <w:szCs w:val="18"/>
                <w:u w:val="single"/>
              </w:rPr>
              <w:fldChar w:fldCharType="begin"/>
            </w:r>
            <w:r>
              <w:rPr>
                <w:rFonts w:ascii="Times New Roman" w:hAnsi="Times New Roman"/>
                <w:b/>
                <w:bCs w:val="0"/>
                <w:color w:val="000000"/>
                <w:sz w:val="18"/>
                <w:szCs w:val="18"/>
                <w:u w:val="single"/>
              </w:rPr>
              <w:instrText xml:space="preserve"> eq \o\ac(□,√)</w:instrText>
            </w:r>
            <w:r>
              <w:rPr>
                <w:rFonts w:ascii="Times New Roman" w:hAnsi="Times New Roman"/>
                <w:b/>
                <w:bCs w:val="0"/>
                <w:color w:val="000000"/>
                <w:sz w:val="18"/>
                <w:szCs w:val="18"/>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预测范围</w:t>
            </w:r>
          </w:p>
        </w:tc>
        <w:tc>
          <w:tcPr>
            <w:tcW w:w="2899" w:type="dxa"/>
            <w:gridSpan w:val="7"/>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边长</w:t>
            </w:r>
            <w:r>
              <w:rPr>
                <w:rFonts w:ascii="Times New Roman" w:hAnsi="Times New Roman"/>
                <w:b/>
                <w:bCs w:val="0"/>
                <w:color w:val="000000"/>
                <w:sz w:val="18"/>
                <w:szCs w:val="18"/>
                <w:u w:val="single"/>
              </w:rPr>
              <w:t>≥50km□</w:t>
            </w:r>
          </w:p>
        </w:tc>
        <w:tc>
          <w:tcPr>
            <w:tcW w:w="2266" w:type="dxa"/>
            <w:gridSpan w:val="5"/>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边长</w:t>
            </w:r>
            <w:r>
              <w:rPr>
                <w:rFonts w:ascii="Times New Roman" w:hAnsi="Times New Roman"/>
                <w:b/>
                <w:bCs w:val="0"/>
                <w:color w:val="000000"/>
                <w:sz w:val="18"/>
                <w:szCs w:val="18"/>
                <w:u w:val="single"/>
              </w:rPr>
              <w:t>5~50km□</w:t>
            </w:r>
          </w:p>
        </w:tc>
        <w:tc>
          <w:tcPr>
            <w:tcW w:w="1083" w:type="dxa"/>
            <w:gridSpan w:val="2"/>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边长</w:t>
            </w:r>
            <w:r>
              <w:rPr>
                <w:rFonts w:ascii="Times New Roman" w:hAnsi="Times New Roman"/>
                <w:b/>
                <w:bCs w:val="0"/>
                <w:color w:val="000000"/>
                <w:sz w:val="18"/>
                <w:szCs w:val="18"/>
                <w:u w:val="single"/>
              </w:rPr>
              <w:t>=5km□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预测因子</w:t>
            </w:r>
          </w:p>
        </w:tc>
        <w:tc>
          <w:tcPr>
            <w:tcW w:w="4098" w:type="dxa"/>
            <w:gridSpan w:val="10"/>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预测因子</w:t>
            </w:r>
            <w:r>
              <w:rPr>
                <w:rFonts w:ascii="Times New Roman" w:hAnsi="Times New Roman"/>
                <w:b/>
                <w:bCs w:val="0"/>
                <w:color w:val="000000"/>
                <w:sz w:val="18"/>
                <w:szCs w:val="18"/>
                <w:u w:val="single"/>
              </w:rPr>
              <w:t>(  )</w:t>
            </w:r>
          </w:p>
        </w:tc>
        <w:tc>
          <w:tcPr>
            <w:tcW w:w="2150" w:type="dxa"/>
            <w:gridSpan w:val="4"/>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包括二次</w:t>
            </w:r>
            <w:r>
              <w:rPr>
                <w:rFonts w:ascii="Times New Roman" w:hAnsi="Times New Roman"/>
                <w:b/>
                <w:bCs w:val="0"/>
                <w:color w:val="000000"/>
                <w:sz w:val="18"/>
                <w:szCs w:val="18"/>
                <w:u w:val="single"/>
              </w:rPr>
              <w:t>PM</w:t>
            </w:r>
            <w:r>
              <w:rPr>
                <w:rFonts w:ascii="Times New Roman" w:hAnsi="Times New Roman"/>
                <w:b/>
                <w:bCs w:val="0"/>
                <w:color w:val="000000"/>
                <w:sz w:val="18"/>
                <w:szCs w:val="18"/>
                <w:u w:val="single"/>
                <w:vertAlign w:val="subscript"/>
              </w:rPr>
              <w:t>2.5</w:t>
            </w:r>
            <w:r>
              <w:rPr>
                <w:rFonts w:ascii="Times New Roman" w:hAnsi="Times New Roman"/>
                <w:b/>
                <w:bCs w:val="0"/>
                <w:color w:val="000000"/>
                <w:sz w:val="18"/>
                <w:szCs w:val="18"/>
                <w:u w:val="single"/>
              </w:rPr>
              <w:t>□</w:t>
            </w:r>
            <w:r>
              <w:rPr>
                <w:rFonts w:ascii="Times New Roman" w:hAnsi="Times New Roman"/>
                <w:b/>
                <w:bCs w:val="0"/>
                <w:color w:val="000000"/>
                <w:sz w:val="18"/>
                <w:szCs w:val="18"/>
                <w:u w:val="single"/>
              </w:rPr>
              <w:br w:type="textWrapping"/>
            </w:r>
            <w:r>
              <w:rPr>
                <w:rFonts w:ascii="Times New Roman" w:hAnsi="宋体"/>
                <w:b/>
                <w:bCs w:val="0"/>
                <w:color w:val="000000"/>
                <w:sz w:val="18"/>
                <w:szCs w:val="18"/>
                <w:u w:val="single"/>
              </w:rPr>
              <w:t>不包括二次</w:t>
            </w:r>
            <w:r>
              <w:rPr>
                <w:rFonts w:ascii="Times New Roman" w:hAnsi="Times New Roman"/>
                <w:b/>
                <w:bCs w:val="0"/>
                <w:color w:val="000000"/>
                <w:sz w:val="18"/>
                <w:szCs w:val="18"/>
                <w:u w:val="single"/>
              </w:rPr>
              <w:t>PM</w:t>
            </w:r>
            <w:r>
              <w:rPr>
                <w:rFonts w:ascii="Times New Roman" w:hAnsi="Times New Roman"/>
                <w:b/>
                <w:bCs w:val="0"/>
                <w:color w:val="000000"/>
                <w:sz w:val="18"/>
                <w:szCs w:val="18"/>
                <w:u w:val="single"/>
                <w:vertAlign w:val="subscript"/>
              </w:rPr>
              <w:t>2.5</w:t>
            </w:r>
            <w:r>
              <w:rPr>
                <w:rFonts w:ascii="Times New Roman" w:hAnsi="Times New Roman"/>
                <w:b/>
                <w:bCs w:val="0"/>
                <w:color w:val="000000"/>
                <w:sz w:val="18"/>
                <w:szCs w:val="18"/>
                <w:u w:val="single"/>
              </w:rPr>
              <w:fldChar w:fldCharType="begin"/>
            </w:r>
            <w:r>
              <w:rPr>
                <w:rFonts w:ascii="Times New Roman" w:hAnsi="Times New Roman"/>
                <w:b/>
                <w:bCs w:val="0"/>
                <w:color w:val="000000"/>
                <w:sz w:val="18"/>
                <w:szCs w:val="18"/>
                <w:u w:val="single"/>
              </w:rPr>
              <w:instrText xml:space="preserve"> eq \o\ac(□,√)</w:instrText>
            </w:r>
            <w:r>
              <w:rPr>
                <w:rFonts w:ascii="Times New Roman" w:hAnsi="Times New Roman"/>
                <w:b/>
                <w:bCs w:val="0"/>
                <w:color w:val="000000"/>
                <w:sz w:val="18"/>
                <w:szCs w:val="18"/>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正常排放短期浓度贡献值</w:t>
            </w:r>
          </w:p>
        </w:tc>
        <w:tc>
          <w:tcPr>
            <w:tcW w:w="4098" w:type="dxa"/>
            <w:gridSpan w:val="10"/>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C</w:t>
            </w:r>
            <w:r>
              <w:rPr>
                <w:rFonts w:ascii="Times New Roman" w:hAnsi="宋体"/>
                <w:b/>
                <w:bCs w:val="0"/>
                <w:color w:val="000000"/>
                <w:sz w:val="18"/>
                <w:szCs w:val="18"/>
                <w:u w:val="single"/>
              </w:rPr>
              <w:t>本项目最大占标率</w:t>
            </w:r>
            <w:r>
              <w:rPr>
                <w:rFonts w:ascii="Times New Roman" w:hAnsi="Times New Roman"/>
                <w:b/>
                <w:bCs w:val="0"/>
                <w:color w:val="000000"/>
                <w:sz w:val="18"/>
                <w:szCs w:val="18"/>
                <w:u w:val="single"/>
              </w:rPr>
              <w:t>≤100%□</w:t>
            </w:r>
          </w:p>
        </w:tc>
        <w:tc>
          <w:tcPr>
            <w:tcW w:w="2150" w:type="dxa"/>
            <w:gridSpan w:val="4"/>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C</w:t>
            </w:r>
            <w:r>
              <w:rPr>
                <w:rFonts w:ascii="Times New Roman" w:hAnsi="宋体"/>
                <w:b/>
                <w:bCs w:val="0"/>
                <w:color w:val="000000"/>
                <w:sz w:val="18"/>
                <w:szCs w:val="18"/>
                <w:u w:val="single"/>
              </w:rPr>
              <w:t>本项目最大占标率</w:t>
            </w:r>
            <w:r>
              <w:rPr>
                <w:rFonts w:ascii="Times New Roman" w:hAnsi="Times New Roman"/>
                <w:b/>
                <w:bCs w:val="0"/>
                <w:color w:val="000000"/>
                <w:sz w:val="18"/>
                <w:szCs w:val="18"/>
                <w:u w:val="single"/>
              </w:rPr>
              <w:t>&gt;100%□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728" w:type="dxa"/>
            <w:vMerge w:val="restart"/>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正常排放年均浓度贡献值</w:t>
            </w:r>
          </w:p>
        </w:tc>
        <w:tc>
          <w:tcPr>
            <w:tcW w:w="1660" w:type="dxa"/>
            <w:gridSpan w:val="3"/>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一类区</w:t>
            </w:r>
          </w:p>
        </w:tc>
        <w:tc>
          <w:tcPr>
            <w:tcW w:w="2438" w:type="dxa"/>
            <w:gridSpan w:val="7"/>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C</w:t>
            </w:r>
            <w:r>
              <w:rPr>
                <w:rFonts w:ascii="Times New Roman" w:hAnsi="宋体"/>
                <w:b/>
                <w:bCs w:val="0"/>
                <w:color w:val="000000"/>
                <w:sz w:val="18"/>
                <w:szCs w:val="18"/>
                <w:u w:val="single"/>
                <w:vertAlign w:val="subscript"/>
              </w:rPr>
              <w:t>本项目</w:t>
            </w:r>
            <w:r>
              <w:rPr>
                <w:rFonts w:ascii="Times New Roman" w:hAnsi="宋体"/>
                <w:b/>
                <w:bCs w:val="0"/>
                <w:color w:val="000000"/>
                <w:sz w:val="18"/>
                <w:szCs w:val="18"/>
                <w:u w:val="single"/>
              </w:rPr>
              <w:t>最大占标率</w:t>
            </w:r>
            <w:r>
              <w:rPr>
                <w:rFonts w:ascii="Times New Roman" w:hAnsi="Times New Roman"/>
                <w:b/>
                <w:bCs w:val="0"/>
                <w:color w:val="000000"/>
                <w:sz w:val="18"/>
                <w:szCs w:val="18"/>
                <w:u w:val="single"/>
              </w:rPr>
              <w:t>≤10%□</w:t>
            </w:r>
          </w:p>
        </w:tc>
        <w:tc>
          <w:tcPr>
            <w:tcW w:w="2150" w:type="dxa"/>
            <w:gridSpan w:val="4"/>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C</w:t>
            </w:r>
            <w:r>
              <w:rPr>
                <w:rFonts w:ascii="Times New Roman" w:hAnsi="宋体"/>
                <w:b/>
                <w:bCs w:val="0"/>
                <w:color w:val="000000"/>
                <w:sz w:val="18"/>
                <w:szCs w:val="18"/>
                <w:u w:val="single"/>
                <w:vertAlign w:val="subscript"/>
              </w:rPr>
              <w:t>本项目</w:t>
            </w:r>
            <w:r>
              <w:rPr>
                <w:rFonts w:ascii="Times New Roman" w:hAnsi="宋体"/>
                <w:b/>
                <w:bCs w:val="0"/>
                <w:color w:val="000000"/>
                <w:sz w:val="18"/>
                <w:szCs w:val="18"/>
                <w:u w:val="single"/>
              </w:rPr>
              <w:t>最大占标率</w:t>
            </w:r>
            <w:r>
              <w:rPr>
                <w:rFonts w:ascii="Times New Roman" w:hAnsi="Times New Roman"/>
                <w:b/>
                <w:bCs w:val="0"/>
                <w:color w:val="000000"/>
                <w:sz w:val="18"/>
                <w:szCs w:val="18"/>
                <w:u w:val="single"/>
              </w:rPr>
              <w:t>&gt;10%□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728"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660" w:type="dxa"/>
            <w:gridSpan w:val="3"/>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二类区</w:t>
            </w:r>
          </w:p>
        </w:tc>
        <w:tc>
          <w:tcPr>
            <w:tcW w:w="2438" w:type="dxa"/>
            <w:gridSpan w:val="7"/>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C</w:t>
            </w:r>
            <w:r>
              <w:rPr>
                <w:rFonts w:ascii="Times New Roman" w:hAnsi="宋体"/>
                <w:b/>
                <w:bCs w:val="0"/>
                <w:color w:val="000000"/>
                <w:sz w:val="18"/>
                <w:szCs w:val="18"/>
                <w:u w:val="single"/>
                <w:vertAlign w:val="subscript"/>
              </w:rPr>
              <w:t>本项目</w:t>
            </w:r>
            <w:r>
              <w:rPr>
                <w:rFonts w:ascii="Times New Roman" w:hAnsi="宋体"/>
                <w:b/>
                <w:bCs w:val="0"/>
                <w:color w:val="000000"/>
                <w:sz w:val="18"/>
                <w:szCs w:val="18"/>
                <w:u w:val="single"/>
              </w:rPr>
              <w:t>最大占标率</w:t>
            </w:r>
            <w:r>
              <w:rPr>
                <w:rFonts w:ascii="Times New Roman" w:hAnsi="Times New Roman"/>
                <w:b/>
                <w:bCs w:val="0"/>
                <w:color w:val="000000"/>
                <w:sz w:val="18"/>
                <w:szCs w:val="18"/>
                <w:u w:val="single"/>
              </w:rPr>
              <w:t>≤30%□</w:t>
            </w:r>
          </w:p>
        </w:tc>
        <w:tc>
          <w:tcPr>
            <w:tcW w:w="2150" w:type="dxa"/>
            <w:gridSpan w:val="4"/>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C</w:t>
            </w:r>
            <w:r>
              <w:rPr>
                <w:rFonts w:ascii="Times New Roman" w:hAnsi="宋体"/>
                <w:b/>
                <w:bCs w:val="0"/>
                <w:color w:val="000000"/>
                <w:sz w:val="18"/>
                <w:szCs w:val="18"/>
                <w:u w:val="single"/>
                <w:vertAlign w:val="subscript"/>
              </w:rPr>
              <w:t>本项目</w:t>
            </w:r>
            <w:r>
              <w:rPr>
                <w:rFonts w:ascii="Times New Roman" w:hAnsi="宋体"/>
                <w:b/>
                <w:bCs w:val="0"/>
                <w:color w:val="000000"/>
                <w:sz w:val="18"/>
                <w:szCs w:val="18"/>
                <w:u w:val="single"/>
              </w:rPr>
              <w:t>最大占标率</w:t>
            </w:r>
            <w:r>
              <w:rPr>
                <w:rFonts w:ascii="Times New Roman" w:hAnsi="Times New Roman"/>
                <w:b/>
                <w:bCs w:val="0"/>
                <w:color w:val="000000"/>
                <w:sz w:val="18"/>
                <w:szCs w:val="18"/>
                <w:u w:val="single"/>
              </w:rPr>
              <w:t>&gt;30%□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非正常</w:t>
            </w:r>
            <w:r>
              <w:rPr>
                <w:rFonts w:ascii="Times New Roman" w:hAnsi="Times New Roman"/>
                <w:b/>
                <w:bCs w:val="0"/>
                <w:color w:val="000000"/>
                <w:sz w:val="18"/>
                <w:szCs w:val="18"/>
                <w:u w:val="single"/>
              </w:rPr>
              <w:t>1h</w:t>
            </w:r>
            <w:r>
              <w:rPr>
                <w:rFonts w:ascii="Times New Roman" w:hAnsi="宋体"/>
                <w:b/>
                <w:bCs w:val="0"/>
                <w:color w:val="000000"/>
                <w:sz w:val="18"/>
                <w:szCs w:val="18"/>
                <w:u w:val="single"/>
              </w:rPr>
              <w:t>浓度贡献值</w:t>
            </w:r>
          </w:p>
        </w:tc>
        <w:tc>
          <w:tcPr>
            <w:tcW w:w="1660" w:type="dxa"/>
            <w:gridSpan w:val="3"/>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非正常持续时长</w:t>
            </w:r>
            <w:r>
              <w:rPr>
                <w:rFonts w:ascii="Times New Roman" w:hAnsi="Times New Roman"/>
                <w:b/>
                <w:bCs w:val="0"/>
                <w:color w:val="000000"/>
                <w:sz w:val="18"/>
                <w:szCs w:val="18"/>
                <w:u w:val="single"/>
              </w:rPr>
              <w:br w:type="textWrapping"/>
            </w:r>
            <w:r>
              <w:rPr>
                <w:rFonts w:ascii="Times New Roman" w:hAnsi="Times New Roman"/>
                <w:b/>
                <w:bCs w:val="0"/>
                <w:color w:val="000000"/>
                <w:sz w:val="18"/>
                <w:szCs w:val="18"/>
                <w:u w:val="single"/>
              </w:rPr>
              <w:t>(  )h</w:t>
            </w:r>
          </w:p>
        </w:tc>
        <w:tc>
          <w:tcPr>
            <w:tcW w:w="3505" w:type="dxa"/>
            <w:gridSpan w:val="9"/>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C</w:t>
            </w:r>
            <w:r>
              <w:rPr>
                <w:rFonts w:ascii="Times New Roman" w:hAnsi="宋体"/>
                <w:b/>
                <w:bCs w:val="0"/>
                <w:color w:val="000000"/>
                <w:sz w:val="18"/>
                <w:szCs w:val="18"/>
                <w:u w:val="single"/>
                <w:vertAlign w:val="subscript"/>
              </w:rPr>
              <w:t>非正常</w:t>
            </w:r>
            <w:r>
              <w:rPr>
                <w:rFonts w:ascii="Times New Roman" w:hAnsi="宋体"/>
                <w:b/>
                <w:bCs w:val="0"/>
                <w:color w:val="000000"/>
                <w:sz w:val="18"/>
                <w:szCs w:val="18"/>
                <w:u w:val="single"/>
              </w:rPr>
              <w:t>占标率</w:t>
            </w:r>
            <w:r>
              <w:rPr>
                <w:rFonts w:ascii="Times New Roman" w:hAnsi="Times New Roman"/>
                <w:b/>
                <w:bCs w:val="0"/>
                <w:color w:val="000000"/>
                <w:sz w:val="18"/>
                <w:szCs w:val="18"/>
                <w:u w:val="single"/>
              </w:rPr>
              <w:t>≤100%□</w:t>
            </w:r>
          </w:p>
        </w:tc>
        <w:tc>
          <w:tcPr>
            <w:tcW w:w="1083" w:type="dxa"/>
            <w:gridSpan w:val="2"/>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C</w:t>
            </w:r>
            <w:r>
              <w:rPr>
                <w:rFonts w:ascii="Times New Roman" w:hAnsi="宋体"/>
                <w:b/>
                <w:bCs w:val="0"/>
                <w:color w:val="000000"/>
                <w:sz w:val="18"/>
                <w:szCs w:val="18"/>
                <w:u w:val="single"/>
                <w:vertAlign w:val="subscript"/>
              </w:rPr>
              <w:t>非正常</w:t>
            </w:r>
            <w:r>
              <w:rPr>
                <w:rFonts w:ascii="Times New Roman" w:hAnsi="宋体"/>
                <w:b/>
                <w:bCs w:val="0"/>
                <w:color w:val="000000"/>
                <w:sz w:val="18"/>
                <w:szCs w:val="18"/>
                <w:u w:val="single"/>
              </w:rPr>
              <w:t>占标率</w:t>
            </w:r>
            <w:r>
              <w:rPr>
                <w:rFonts w:ascii="Times New Roman" w:hAnsi="Times New Roman"/>
                <w:b/>
                <w:bCs w:val="0"/>
                <w:color w:val="000000"/>
                <w:sz w:val="18"/>
                <w:szCs w:val="18"/>
                <w:u w:val="single"/>
              </w:rPr>
              <w:t>&gt;100%□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保证率日平均浓度和年平均浓度叠加值</w:t>
            </w:r>
          </w:p>
        </w:tc>
        <w:tc>
          <w:tcPr>
            <w:tcW w:w="4098" w:type="dxa"/>
            <w:gridSpan w:val="10"/>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C</w:t>
            </w:r>
            <w:r>
              <w:rPr>
                <w:rFonts w:ascii="Times New Roman" w:hAnsi="宋体"/>
                <w:b/>
                <w:bCs w:val="0"/>
                <w:color w:val="000000"/>
                <w:sz w:val="18"/>
                <w:szCs w:val="18"/>
                <w:u w:val="single"/>
              </w:rPr>
              <w:t>叠加达标</w:t>
            </w:r>
            <w:r>
              <w:rPr>
                <w:rFonts w:ascii="Times New Roman" w:hAnsi="Times New Roman"/>
                <w:b/>
                <w:bCs w:val="0"/>
                <w:color w:val="000000"/>
                <w:sz w:val="18"/>
                <w:szCs w:val="18"/>
                <w:u w:val="single"/>
              </w:rPr>
              <w:t>□</w:t>
            </w:r>
          </w:p>
        </w:tc>
        <w:tc>
          <w:tcPr>
            <w:tcW w:w="2150" w:type="dxa"/>
            <w:gridSpan w:val="4"/>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C</w:t>
            </w:r>
            <w:r>
              <w:rPr>
                <w:rFonts w:ascii="Times New Roman" w:hAnsi="宋体"/>
                <w:b/>
                <w:bCs w:val="0"/>
                <w:color w:val="000000"/>
                <w:sz w:val="18"/>
                <w:szCs w:val="18"/>
                <w:u w:val="single"/>
              </w:rPr>
              <w:t>叠加不达标</w:t>
            </w:r>
            <w:r>
              <w:rPr>
                <w:rFonts w:ascii="Times New Roman" w:hAnsi="Times New Roman"/>
                <w:b/>
                <w:bCs w:val="0"/>
                <w:color w:val="000000"/>
                <w:sz w:val="18"/>
                <w:szCs w:val="18"/>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区域环境质量的整体变化情况</w:t>
            </w:r>
          </w:p>
        </w:tc>
        <w:tc>
          <w:tcPr>
            <w:tcW w:w="4098" w:type="dxa"/>
            <w:gridSpan w:val="10"/>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k≤-20%□</w:t>
            </w:r>
          </w:p>
        </w:tc>
        <w:tc>
          <w:tcPr>
            <w:tcW w:w="2150" w:type="dxa"/>
            <w:gridSpan w:val="4"/>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k&gt;-20%□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restart"/>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环境监测计划</w:t>
            </w: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污染源监测</w:t>
            </w:r>
          </w:p>
        </w:tc>
        <w:tc>
          <w:tcPr>
            <w:tcW w:w="2899" w:type="dxa"/>
            <w:gridSpan w:val="7"/>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监测因子：</w:t>
            </w:r>
            <w:r>
              <w:rPr>
                <w:rFonts w:ascii="Times New Roman" w:hAnsi="Times New Roman"/>
                <w:b/>
                <w:bCs w:val="0"/>
                <w:color w:val="000000"/>
                <w:sz w:val="18"/>
                <w:szCs w:val="18"/>
                <w:u w:val="single"/>
              </w:rPr>
              <w:t>(H</w:t>
            </w:r>
            <w:r>
              <w:rPr>
                <w:rFonts w:ascii="Times New Roman" w:hAnsi="Times New Roman"/>
                <w:b/>
                <w:bCs w:val="0"/>
                <w:color w:val="000000"/>
                <w:sz w:val="18"/>
                <w:szCs w:val="18"/>
                <w:u w:val="single"/>
                <w:vertAlign w:val="subscript"/>
              </w:rPr>
              <w:t>2</w:t>
            </w:r>
            <w:r>
              <w:rPr>
                <w:rFonts w:ascii="Times New Roman" w:hAnsi="Times New Roman"/>
                <w:b/>
                <w:bCs w:val="0"/>
                <w:color w:val="000000"/>
                <w:sz w:val="18"/>
                <w:szCs w:val="18"/>
                <w:u w:val="single"/>
              </w:rPr>
              <w:t>S</w:t>
            </w:r>
            <w:r>
              <w:rPr>
                <w:rFonts w:ascii="Times New Roman" w:hAnsi="宋体"/>
                <w:b/>
                <w:bCs w:val="0"/>
                <w:color w:val="000000"/>
                <w:sz w:val="18"/>
                <w:szCs w:val="18"/>
                <w:u w:val="single"/>
              </w:rPr>
              <w:t>、</w:t>
            </w:r>
            <w:r>
              <w:rPr>
                <w:rFonts w:ascii="Times New Roman" w:hAnsi="Times New Roman"/>
                <w:b/>
                <w:bCs w:val="0"/>
                <w:color w:val="000000"/>
                <w:sz w:val="18"/>
                <w:szCs w:val="18"/>
                <w:u w:val="single"/>
              </w:rPr>
              <w:t>NH</w:t>
            </w:r>
            <w:r>
              <w:rPr>
                <w:rFonts w:ascii="Times New Roman" w:hAnsi="Times New Roman"/>
                <w:b/>
                <w:bCs w:val="0"/>
                <w:color w:val="000000"/>
                <w:sz w:val="18"/>
                <w:szCs w:val="18"/>
                <w:u w:val="single"/>
                <w:vertAlign w:val="subscript"/>
              </w:rPr>
              <w:t>3</w:t>
            </w:r>
            <w:r>
              <w:rPr>
                <w:rFonts w:ascii="Times New Roman" w:hAnsi="宋体"/>
                <w:b/>
                <w:bCs w:val="0"/>
                <w:color w:val="000000"/>
                <w:sz w:val="18"/>
                <w:szCs w:val="18"/>
                <w:u w:val="single"/>
              </w:rPr>
              <w:t>、</w:t>
            </w:r>
            <w:r>
              <w:rPr>
                <w:rFonts w:ascii="Times New Roman" w:hAnsi="Times New Roman"/>
                <w:b/>
                <w:bCs w:val="0"/>
                <w:color w:val="000000"/>
                <w:sz w:val="18"/>
                <w:szCs w:val="18"/>
                <w:u w:val="single"/>
              </w:rPr>
              <w:t>SO</w:t>
            </w:r>
            <w:r>
              <w:rPr>
                <w:rFonts w:ascii="Times New Roman" w:hAnsi="Times New Roman"/>
                <w:b/>
                <w:bCs w:val="0"/>
                <w:color w:val="000000"/>
                <w:sz w:val="18"/>
                <w:szCs w:val="18"/>
                <w:u w:val="single"/>
                <w:vertAlign w:val="subscript"/>
              </w:rPr>
              <w:t>2</w:t>
            </w:r>
            <w:r>
              <w:rPr>
                <w:rFonts w:ascii="Times New Roman" w:hAnsi="宋体"/>
                <w:b/>
                <w:bCs w:val="0"/>
                <w:color w:val="000000"/>
                <w:sz w:val="18"/>
                <w:szCs w:val="18"/>
                <w:u w:val="single"/>
              </w:rPr>
              <w:t>、</w:t>
            </w:r>
            <w:r>
              <w:rPr>
                <w:rFonts w:ascii="Times New Roman" w:hAnsi="Times New Roman"/>
                <w:b/>
                <w:bCs w:val="0"/>
                <w:color w:val="000000"/>
                <w:sz w:val="18"/>
                <w:szCs w:val="18"/>
                <w:u w:val="single"/>
              </w:rPr>
              <w:t>NO</w:t>
            </w:r>
            <w:r>
              <w:rPr>
                <w:rFonts w:ascii="Times New Roman" w:hAnsi="Times New Roman"/>
                <w:b/>
                <w:bCs w:val="0"/>
                <w:color w:val="000000"/>
                <w:sz w:val="18"/>
                <w:szCs w:val="18"/>
                <w:u w:val="single"/>
                <w:vertAlign w:val="subscript"/>
              </w:rPr>
              <w:t>X</w:t>
            </w:r>
            <w:r>
              <w:rPr>
                <w:rFonts w:ascii="Times New Roman" w:hAnsi="Times New Roman"/>
                <w:b/>
                <w:bCs w:val="0"/>
                <w:color w:val="000000"/>
                <w:sz w:val="18"/>
                <w:szCs w:val="18"/>
                <w:u w:val="single"/>
              </w:rPr>
              <w:t>)</w:t>
            </w:r>
          </w:p>
        </w:tc>
        <w:tc>
          <w:tcPr>
            <w:tcW w:w="2266" w:type="dxa"/>
            <w:gridSpan w:val="5"/>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有组织废气监测</w:t>
            </w:r>
            <w:r>
              <w:rPr>
                <w:rFonts w:ascii="Times New Roman" w:hAnsi="Times New Roman"/>
                <w:b/>
                <w:bCs w:val="0"/>
                <w:color w:val="000000"/>
                <w:sz w:val="18"/>
                <w:szCs w:val="18"/>
                <w:u w:val="single"/>
              </w:rPr>
              <w:fldChar w:fldCharType="begin"/>
            </w:r>
            <w:r>
              <w:rPr>
                <w:rFonts w:ascii="Times New Roman" w:hAnsi="Times New Roman"/>
                <w:b/>
                <w:bCs w:val="0"/>
                <w:color w:val="000000"/>
                <w:sz w:val="18"/>
                <w:szCs w:val="18"/>
                <w:u w:val="single"/>
              </w:rPr>
              <w:instrText xml:space="preserve"> eq \o\ac(</w:instrText>
            </w:r>
            <w:r>
              <w:rPr>
                <w:rFonts w:ascii="Times New Roman" w:hAnsi="Times New Roman"/>
                <w:b/>
                <w:bCs w:val="0"/>
                <w:color w:val="000000"/>
                <w:position w:val="-3"/>
                <w:sz w:val="27"/>
                <w:szCs w:val="18"/>
                <w:u w:val="single"/>
              </w:rPr>
              <w:instrText xml:space="preserve">□</w:instrText>
            </w:r>
            <w:r>
              <w:rPr>
                <w:rFonts w:ascii="Times New Roman" w:hAnsi="Times New Roman"/>
                <w:b/>
                <w:bCs w:val="0"/>
                <w:color w:val="000000"/>
                <w:sz w:val="18"/>
                <w:szCs w:val="18"/>
                <w:u w:val="single"/>
              </w:rPr>
              <w:instrText xml:space="preserve">,√)</w:instrText>
            </w:r>
            <w:r>
              <w:rPr>
                <w:rFonts w:ascii="Times New Roman" w:hAnsi="Times New Roman"/>
                <w:b/>
                <w:bCs w:val="0"/>
                <w:color w:val="000000"/>
                <w:sz w:val="18"/>
                <w:szCs w:val="18"/>
                <w:u w:val="single"/>
              </w:rPr>
              <w:fldChar w:fldCharType="end"/>
            </w:r>
            <w:r>
              <w:rPr>
                <w:rFonts w:ascii="Times New Roman" w:hAnsi="Times New Roman"/>
                <w:b/>
                <w:bCs w:val="0"/>
                <w:color w:val="000000"/>
                <w:sz w:val="18"/>
                <w:szCs w:val="18"/>
                <w:u w:val="single"/>
              </w:rPr>
              <w:br w:type="textWrapping"/>
            </w:r>
            <w:r>
              <w:rPr>
                <w:rFonts w:ascii="Times New Roman" w:hAnsi="宋体"/>
                <w:b/>
                <w:bCs w:val="0"/>
                <w:color w:val="000000"/>
                <w:sz w:val="18"/>
                <w:szCs w:val="18"/>
                <w:u w:val="single"/>
              </w:rPr>
              <w:t>无组织废气监测</w:t>
            </w:r>
            <w:r>
              <w:rPr>
                <w:rFonts w:ascii="Times New Roman" w:hAnsi="Times New Roman"/>
                <w:b/>
                <w:bCs w:val="0"/>
                <w:color w:val="000000"/>
                <w:sz w:val="18"/>
                <w:szCs w:val="18"/>
                <w:u w:val="single"/>
              </w:rPr>
              <w:fldChar w:fldCharType="begin"/>
            </w:r>
            <w:r>
              <w:rPr>
                <w:rFonts w:ascii="Times New Roman" w:hAnsi="Times New Roman"/>
                <w:b/>
                <w:bCs w:val="0"/>
                <w:color w:val="000000"/>
                <w:sz w:val="18"/>
                <w:szCs w:val="18"/>
                <w:u w:val="single"/>
              </w:rPr>
              <w:instrText xml:space="preserve"> eq \o\ac(</w:instrText>
            </w:r>
            <w:r>
              <w:rPr>
                <w:rFonts w:ascii="Times New Roman" w:hAnsi="Times New Roman"/>
                <w:b/>
                <w:bCs w:val="0"/>
                <w:color w:val="000000"/>
                <w:position w:val="-3"/>
                <w:sz w:val="27"/>
                <w:szCs w:val="18"/>
                <w:u w:val="single"/>
              </w:rPr>
              <w:instrText xml:space="preserve">□,</w:instrText>
            </w:r>
            <w:r>
              <w:rPr>
                <w:rFonts w:ascii="Times New Roman" w:hAnsi="Times New Roman"/>
                <w:b/>
                <w:bCs w:val="0"/>
                <w:color w:val="000000"/>
                <w:sz w:val="18"/>
                <w:szCs w:val="18"/>
                <w:u w:val="single"/>
              </w:rPr>
              <w:instrText xml:space="preserve">√)</w:instrText>
            </w:r>
            <w:r>
              <w:rPr>
                <w:rFonts w:ascii="Times New Roman" w:hAnsi="Times New Roman"/>
                <w:b/>
                <w:bCs w:val="0"/>
                <w:color w:val="000000"/>
                <w:sz w:val="18"/>
                <w:szCs w:val="18"/>
                <w:u w:val="single"/>
              </w:rPr>
              <w:fldChar w:fldCharType="end"/>
            </w:r>
          </w:p>
        </w:tc>
        <w:tc>
          <w:tcPr>
            <w:tcW w:w="1083" w:type="dxa"/>
            <w:gridSpan w:val="2"/>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无监测</w:t>
            </w:r>
            <w:r>
              <w:rPr>
                <w:rFonts w:ascii="Times New Roman" w:hAnsi="Times New Roman"/>
                <w:b/>
                <w:bCs w:val="0"/>
                <w:color w:val="000000"/>
                <w:sz w:val="18"/>
                <w:szCs w:val="18"/>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环境质量监测</w:t>
            </w:r>
          </w:p>
        </w:tc>
        <w:tc>
          <w:tcPr>
            <w:tcW w:w="2899" w:type="dxa"/>
            <w:gridSpan w:val="7"/>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监测因子：</w:t>
            </w:r>
            <w:r>
              <w:rPr>
                <w:rFonts w:ascii="Times New Roman" w:hAnsi="Times New Roman"/>
                <w:b/>
                <w:bCs w:val="0"/>
                <w:color w:val="000000"/>
                <w:sz w:val="18"/>
                <w:szCs w:val="18"/>
                <w:u w:val="single"/>
              </w:rPr>
              <w:t>(   )</w:t>
            </w:r>
          </w:p>
        </w:tc>
        <w:tc>
          <w:tcPr>
            <w:tcW w:w="2266" w:type="dxa"/>
            <w:gridSpan w:val="5"/>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监测点位数</w:t>
            </w:r>
            <w:r>
              <w:rPr>
                <w:rFonts w:ascii="Times New Roman" w:hAnsi="Times New Roman"/>
                <w:b/>
                <w:bCs w:val="0"/>
                <w:color w:val="000000"/>
                <w:sz w:val="18"/>
                <w:szCs w:val="18"/>
                <w:u w:val="single"/>
              </w:rPr>
              <w:t>(  )</w:t>
            </w:r>
          </w:p>
        </w:tc>
        <w:tc>
          <w:tcPr>
            <w:tcW w:w="1083" w:type="dxa"/>
            <w:gridSpan w:val="2"/>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无监测</w:t>
            </w:r>
            <w:r>
              <w:rPr>
                <w:rFonts w:ascii="Times New Roman" w:hAnsi="Times New Roman"/>
                <w:b/>
                <w:bCs w:val="0"/>
                <w:color w:val="000000"/>
                <w:sz w:val="18"/>
                <w:szCs w:val="18"/>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restart"/>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评价结论</w:t>
            </w: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环境影响</w:t>
            </w:r>
          </w:p>
        </w:tc>
        <w:tc>
          <w:tcPr>
            <w:tcW w:w="6248" w:type="dxa"/>
            <w:gridSpan w:val="14"/>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可以接受</w:t>
            </w:r>
            <w:r>
              <w:rPr>
                <w:rFonts w:ascii="Times New Roman" w:hAnsi="Times New Roman"/>
                <w:b/>
                <w:bCs w:val="0"/>
                <w:color w:val="000000"/>
                <w:sz w:val="18"/>
                <w:szCs w:val="18"/>
                <w:u w:val="single"/>
              </w:rPr>
              <w:t xml:space="preserve"> </w:t>
            </w:r>
            <w:r>
              <w:rPr>
                <w:rFonts w:ascii="Times New Roman" w:hAnsi="Times New Roman"/>
                <w:b/>
                <w:bCs w:val="0"/>
                <w:color w:val="000000"/>
                <w:sz w:val="18"/>
                <w:szCs w:val="18"/>
                <w:u w:val="single"/>
              </w:rPr>
              <w:fldChar w:fldCharType="begin"/>
            </w:r>
            <w:r>
              <w:rPr>
                <w:rFonts w:ascii="Times New Roman" w:hAnsi="Times New Roman"/>
                <w:b/>
                <w:bCs w:val="0"/>
                <w:color w:val="000000"/>
                <w:sz w:val="18"/>
                <w:szCs w:val="18"/>
                <w:u w:val="single"/>
              </w:rPr>
              <w:instrText xml:space="preserve"> eq \o\ac(</w:instrText>
            </w:r>
            <w:r>
              <w:rPr>
                <w:rFonts w:ascii="Times New Roman" w:hAnsi="Times New Roman"/>
                <w:b/>
                <w:bCs w:val="0"/>
                <w:color w:val="000000"/>
                <w:position w:val="-3"/>
                <w:sz w:val="27"/>
                <w:szCs w:val="18"/>
                <w:u w:val="single"/>
              </w:rPr>
              <w:instrText xml:space="preserve">□</w:instrText>
            </w:r>
            <w:r>
              <w:rPr>
                <w:rFonts w:ascii="Times New Roman" w:hAnsi="Times New Roman"/>
                <w:b/>
                <w:bCs w:val="0"/>
                <w:color w:val="000000"/>
                <w:sz w:val="18"/>
                <w:szCs w:val="18"/>
                <w:u w:val="single"/>
              </w:rPr>
              <w:instrText xml:space="preserve">,√)</w:instrText>
            </w:r>
            <w:r>
              <w:rPr>
                <w:rFonts w:ascii="Times New Roman" w:hAnsi="Times New Roman"/>
                <w:b/>
                <w:bCs w:val="0"/>
                <w:color w:val="000000"/>
                <w:sz w:val="18"/>
                <w:szCs w:val="18"/>
                <w:u w:val="single"/>
              </w:rPr>
              <w:fldChar w:fldCharType="end"/>
            </w:r>
            <w:r>
              <w:rPr>
                <w:rFonts w:ascii="Times New Roman" w:hAnsi="Times New Roman"/>
                <w:b/>
                <w:bCs w:val="0"/>
                <w:color w:val="000000"/>
                <w:sz w:val="18"/>
                <w:szCs w:val="18"/>
                <w:u w:val="single"/>
              </w:rPr>
              <w:t xml:space="preserve">             </w:t>
            </w:r>
            <w:r>
              <w:rPr>
                <w:rFonts w:ascii="Times New Roman" w:hAnsi="宋体"/>
                <w:b/>
                <w:bCs w:val="0"/>
                <w:color w:val="000000"/>
                <w:sz w:val="18"/>
                <w:szCs w:val="18"/>
                <w:u w:val="single"/>
              </w:rPr>
              <w:t>不可以接受</w:t>
            </w:r>
            <w:r>
              <w:rPr>
                <w:rFonts w:ascii="Times New Roman" w:hAnsi="Times New Roman"/>
                <w:b/>
                <w:bCs w:val="0"/>
                <w:color w:val="000000"/>
                <w:sz w:val="18"/>
                <w:szCs w:val="1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大气环境防护距离</w:t>
            </w:r>
          </w:p>
        </w:tc>
        <w:tc>
          <w:tcPr>
            <w:tcW w:w="6248" w:type="dxa"/>
            <w:gridSpan w:val="14"/>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距</w:t>
            </w:r>
            <w:r>
              <w:rPr>
                <w:rFonts w:ascii="Times New Roman" w:hAnsi="Times New Roman"/>
                <w:b/>
                <w:bCs w:val="0"/>
                <w:color w:val="000000"/>
                <w:sz w:val="18"/>
                <w:szCs w:val="18"/>
                <w:u w:val="single"/>
              </w:rPr>
              <w:t>(    )</w:t>
            </w:r>
            <w:r>
              <w:rPr>
                <w:rFonts w:ascii="Times New Roman" w:hAnsi="宋体"/>
                <w:b/>
                <w:bCs w:val="0"/>
                <w:color w:val="000000"/>
                <w:sz w:val="18"/>
                <w:szCs w:val="18"/>
                <w:u w:val="single"/>
              </w:rPr>
              <w:t>厂界最远</w:t>
            </w:r>
            <w:r>
              <w:rPr>
                <w:rFonts w:ascii="Times New Roman" w:hAnsi="Times New Roman"/>
                <w:b/>
                <w:bCs w:val="0"/>
                <w:color w:val="000000"/>
                <w:sz w:val="18"/>
                <w:szCs w:val="18"/>
                <w:u w:val="single"/>
              </w:rPr>
              <w:t>(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77" w:type="dxa"/>
            <w:vMerge w:val="continue"/>
            <w:noWrap w:val="0"/>
            <w:vAlign w:val="center"/>
          </w:tcPr>
          <w:p>
            <w:pPr>
              <w:widowControl/>
              <w:spacing w:line="260" w:lineRule="exact"/>
              <w:jc w:val="left"/>
              <w:rPr>
                <w:rFonts w:ascii="Times New Roman" w:hAnsi="Times New Roman"/>
                <w:b/>
                <w:bCs w:val="0"/>
                <w:color w:val="000000"/>
                <w:sz w:val="18"/>
                <w:szCs w:val="18"/>
                <w:u w:val="single"/>
              </w:rPr>
            </w:pPr>
          </w:p>
        </w:tc>
        <w:tc>
          <w:tcPr>
            <w:tcW w:w="1728" w:type="dxa"/>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宋体"/>
                <w:b/>
                <w:bCs w:val="0"/>
                <w:color w:val="000000"/>
                <w:sz w:val="18"/>
                <w:szCs w:val="18"/>
                <w:u w:val="single"/>
              </w:rPr>
              <w:t>污染源年排放量</w:t>
            </w:r>
          </w:p>
        </w:tc>
        <w:tc>
          <w:tcPr>
            <w:tcW w:w="1678" w:type="dxa"/>
            <w:gridSpan w:val="4"/>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SO</w:t>
            </w:r>
            <w:r>
              <w:rPr>
                <w:rFonts w:ascii="Times New Roman" w:hAnsi="Times New Roman"/>
                <w:b/>
                <w:bCs w:val="0"/>
                <w:color w:val="000000"/>
                <w:sz w:val="18"/>
                <w:szCs w:val="18"/>
                <w:u w:val="single"/>
                <w:vertAlign w:val="subscript"/>
              </w:rPr>
              <w:t>2</w:t>
            </w:r>
            <w:r>
              <w:rPr>
                <w:rFonts w:ascii="Times New Roman" w:hAnsi="Times New Roman"/>
                <w:b/>
                <w:bCs w:val="0"/>
                <w:color w:val="000000"/>
                <w:sz w:val="18"/>
                <w:szCs w:val="18"/>
                <w:u w:val="single"/>
              </w:rPr>
              <w:t>:( 0.0</w:t>
            </w:r>
            <w:r>
              <w:rPr>
                <w:rFonts w:hint="eastAsia" w:ascii="Times New Roman" w:hAnsi="Times New Roman"/>
                <w:b/>
                <w:bCs w:val="0"/>
                <w:color w:val="000000"/>
                <w:sz w:val="18"/>
                <w:szCs w:val="18"/>
                <w:u w:val="single"/>
              </w:rPr>
              <w:t>0</w:t>
            </w:r>
            <w:r>
              <w:rPr>
                <w:rFonts w:hint="eastAsia"/>
                <w:b/>
                <w:bCs w:val="0"/>
                <w:color w:val="000000"/>
                <w:sz w:val="18"/>
                <w:szCs w:val="18"/>
                <w:u w:val="single"/>
                <w:lang w:val="en-US" w:eastAsia="zh-CN"/>
              </w:rPr>
              <w:t>18</w:t>
            </w:r>
            <w:r>
              <w:rPr>
                <w:rFonts w:ascii="Times New Roman" w:hAnsi="Times New Roman"/>
                <w:b/>
                <w:bCs w:val="0"/>
                <w:color w:val="000000"/>
                <w:sz w:val="18"/>
                <w:szCs w:val="18"/>
                <w:u w:val="single"/>
              </w:rPr>
              <w:t>)t/a</w:t>
            </w:r>
          </w:p>
        </w:tc>
        <w:tc>
          <w:tcPr>
            <w:tcW w:w="1605" w:type="dxa"/>
            <w:gridSpan w:val="4"/>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NOx:( 0.</w:t>
            </w:r>
            <w:r>
              <w:rPr>
                <w:rFonts w:hint="eastAsia" w:ascii="Times New Roman" w:hAnsi="Times New Roman"/>
                <w:b/>
                <w:bCs w:val="0"/>
                <w:color w:val="000000"/>
                <w:sz w:val="18"/>
                <w:szCs w:val="18"/>
                <w:u w:val="single"/>
              </w:rPr>
              <w:t>0</w:t>
            </w:r>
            <w:r>
              <w:rPr>
                <w:rFonts w:hint="eastAsia"/>
                <w:b/>
                <w:bCs w:val="0"/>
                <w:color w:val="000000"/>
                <w:sz w:val="18"/>
                <w:szCs w:val="18"/>
                <w:u w:val="single"/>
                <w:lang w:val="en-US" w:eastAsia="zh-CN"/>
              </w:rPr>
              <w:t>13</w:t>
            </w:r>
            <w:r>
              <w:rPr>
                <w:rFonts w:ascii="Times New Roman" w:hAnsi="Times New Roman"/>
                <w:b/>
                <w:bCs w:val="0"/>
                <w:color w:val="000000"/>
                <w:sz w:val="18"/>
                <w:szCs w:val="18"/>
                <w:u w:val="single"/>
              </w:rPr>
              <w:t>)t/a</w:t>
            </w:r>
          </w:p>
        </w:tc>
        <w:tc>
          <w:tcPr>
            <w:tcW w:w="2965" w:type="dxa"/>
            <w:gridSpan w:val="6"/>
            <w:noWrap w:val="0"/>
            <w:vAlign w:val="center"/>
          </w:tcPr>
          <w:p>
            <w:pPr>
              <w:widowControl/>
              <w:spacing w:line="260" w:lineRule="exact"/>
              <w:jc w:val="center"/>
              <w:rPr>
                <w:rFonts w:ascii="Times New Roman" w:hAnsi="Times New Roman"/>
                <w:b/>
                <w:bCs w:val="0"/>
                <w:color w:val="000000"/>
                <w:sz w:val="18"/>
                <w:szCs w:val="18"/>
                <w:u w:val="single"/>
              </w:rPr>
            </w:pPr>
            <w:r>
              <w:rPr>
                <w:rFonts w:ascii="Times New Roman" w:hAnsi="Times New Roman"/>
                <w:b/>
                <w:bCs w:val="0"/>
                <w:color w:val="000000"/>
                <w:sz w:val="18"/>
                <w:szCs w:val="18"/>
                <w:u w:val="single"/>
              </w:rPr>
              <w:t>VOCs:(0)t/a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753" w:type="dxa"/>
            <w:gridSpan w:val="16"/>
            <w:noWrap w:val="0"/>
            <w:vAlign w:val="center"/>
          </w:tcPr>
          <w:p>
            <w:pPr>
              <w:widowControl/>
              <w:spacing w:line="260" w:lineRule="exact"/>
              <w:jc w:val="left"/>
              <w:rPr>
                <w:rFonts w:ascii="Times New Roman" w:hAnsi="Times New Roman"/>
                <w:b/>
                <w:bCs w:val="0"/>
                <w:color w:val="000000"/>
                <w:sz w:val="18"/>
                <w:szCs w:val="18"/>
                <w:u w:val="single"/>
              </w:rPr>
            </w:pPr>
            <w:r>
              <w:rPr>
                <w:rFonts w:ascii="Times New Roman" w:hAnsi="宋体"/>
                <w:b/>
                <w:bCs w:val="0"/>
                <w:color w:val="000000"/>
                <w:sz w:val="18"/>
                <w:szCs w:val="18"/>
                <w:u w:val="single"/>
              </w:rPr>
              <w:t>注：</w:t>
            </w:r>
            <w:r>
              <w:rPr>
                <w:rFonts w:ascii="Times New Roman" w:hAnsi="Times New Roman"/>
                <w:b/>
                <w:bCs w:val="0"/>
                <w:color w:val="000000"/>
                <w:sz w:val="18"/>
                <w:szCs w:val="18"/>
                <w:u w:val="single"/>
              </w:rPr>
              <w:t>“□”</w:t>
            </w:r>
            <w:r>
              <w:rPr>
                <w:rFonts w:ascii="Times New Roman" w:hAnsi="宋体"/>
                <w:b/>
                <w:bCs w:val="0"/>
                <w:color w:val="000000"/>
                <w:sz w:val="18"/>
                <w:szCs w:val="18"/>
                <w:u w:val="single"/>
              </w:rPr>
              <w:t>，填</w:t>
            </w:r>
            <w:r>
              <w:rPr>
                <w:rFonts w:ascii="Times New Roman" w:hAnsi="Times New Roman"/>
                <w:b/>
                <w:bCs w:val="0"/>
                <w:color w:val="000000"/>
                <w:sz w:val="18"/>
                <w:szCs w:val="18"/>
                <w:u w:val="single"/>
              </w:rPr>
              <w:t>“√”</w:t>
            </w:r>
            <w:r>
              <w:rPr>
                <w:rFonts w:ascii="Times New Roman" w:hAnsi="宋体"/>
                <w:b/>
                <w:bCs w:val="0"/>
                <w:color w:val="000000"/>
                <w:sz w:val="18"/>
                <w:szCs w:val="18"/>
                <w:u w:val="single"/>
              </w:rPr>
              <w:t>；</w:t>
            </w:r>
            <w:r>
              <w:rPr>
                <w:rFonts w:ascii="Times New Roman" w:hAnsi="Times New Roman"/>
                <w:b/>
                <w:bCs w:val="0"/>
                <w:color w:val="000000"/>
                <w:sz w:val="18"/>
                <w:szCs w:val="18"/>
                <w:u w:val="single"/>
              </w:rPr>
              <w:t>“(  )”</w:t>
            </w:r>
            <w:r>
              <w:rPr>
                <w:rFonts w:ascii="Times New Roman" w:hAnsi="宋体"/>
                <w:b/>
                <w:bCs w:val="0"/>
                <w:color w:val="000000"/>
                <w:sz w:val="18"/>
                <w:szCs w:val="18"/>
                <w:u w:val="single"/>
              </w:rPr>
              <w:t>为内容填写项</w:t>
            </w:r>
          </w:p>
        </w:tc>
      </w:tr>
    </w:tbl>
    <w:p>
      <w:pPr>
        <w:adjustRightInd w:val="0"/>
        <w:snapToGrid w:val="0"/>
        <w:spacing w:line="500" w:lineRule="exact"/>
        <w:ind w:firstLine="482" w:firstLineChars="200"/>
        <w:rPr>
          <w:b/>
          <w:bCs/>
          <w:color w:val="000000"/>
          <w:sz w:val="24"/>
          <w:u w:val="single"/>
        </w:rPr>
      </w:pPr>
      <w:r>
        <w:rPr>
          <w:rFonts w:hint="eastAsia"/>
          <w:b/>
          <w:bCs/>
          <w:color w:val="000000"/>
          <w:sz w:val="24"/>
          <w:u w:val="single"/>
          <w:lang w:val="en-US" w:eastAsia="zh-CN"/>
        </w:rPr>
        <w:t>4</w:t>
      </w:r>
      <w:r>
        <w:rPr>
          <w:b/>
          <w:bCs/>
          <w:color w:val="000000"/>
          <w:sz w:val="24"/>
          <w:u w:val="single"/>
        </w:rPr>
        <w:t>、周边环境空气敏感点浓度叠加预测结果分析</w:t>
      </w:r>
    </w:p>
    <w:p>
      <w:pPr>
        <w:adjustRightInd w:val="0"/>
        <w:snapToGrid w:val="0"/>
        <w:spacing w:line="500" w:lineRule="exact"/>
        <w:ind w:firstLine="482" w:firstLineChars="200"/>
        <w:rPr>
          <w:b/>
          <w:bCs/>
          <w:color w:val="000000"/>
          <w:sz w:val="24"/>
          <w:u w:val="single"/>
        </w:rPr>
      </w:pPr>
      <w:r>
        <w:rPr>
          <w:b/>
          <w:bCs/>
          <w:color w:val="000000"/>
          <w:sz w:val="24"/>
          <w:u w:val="single"/>
        </w:rPr>
        <w:t>本项目实施后，项目周边环境空气敏感点及区域最大浓度点的NH</w:t>
      </w:r>
      <w:r>
        <w:rPr>
          <w:b/>
          <w:bCs/>
          <w:color w:val="000000"/>
          <w:sz w:val="24"/>
          <w:u w:val="single"/>
          <w:vertAlign w:val="subscript"/>
        </w:rPr>
        <w:t>3</w:t>
      </w:r>
      <w:r>
        <w:rPr>
          <w:b/>
          <w:bCs/>
          <w:color w:val="000000"/>
          <w:sz w:val="24"/>
          <w:u w:val="single"/>
        </w:rPr>
        <w:t>、H</w:t>
      </w:r>
      <w:r>
        <w:rPr>
          <w:b/>
          <w:bCs/>
          <w:color w:val="000000"/>
          <w:sz w:val="24"/>
          <w:u w:val="single"/>
          <w:vertAlign w:val="subscript"/>
        </w:rPr>
        <w:t>2</w:t>
      </w:r>
      <w:r>
        <w:rPr>
          <w:b/>
          <w:bCs/>
          <w:color w:val="000000"/>
          <w:sz w:val="24"/>
          <w:u w:val="single"/>
        </w:rPr>
        <w:t>S叠加背景浓度结果见表4-18。</w:t>
      </w:r>
    </w:p>
    <w:p>
      <w:pPr>
        <w:jc w:val="center"/>
        <w:rPr>
          <w:b/>
          <w:bCs/>
          <w:color w:val="000000"/>
          <w:sz w:val="24"/>
          <w:u w:val="single"/>
        </w:rPr>
      </w:pPr>
      <w:r>
        <w:rPr>
          <w:b/>
          <w:bCs/>
          <w:color w:val="000000"/>
          <w:szCs w:val="21"/>
          <w:u w:val="single"/>
        </w:rPr>
        <w:t>表4-18      敏感点污染物浓度预测结果一览表</w:t>
      </w:r>
    </w:p>
    <w:tbl>
      <w:tblPr>
        <w:tblStyle w:val="44"/>
        <w:tblW w:w="8946" w:type="dxa"/>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784"/>
        <w:gridCol w:w="1784"/>
        <w:gridCol w:w="1783"/>
        <w:gridCol w:w="1783"/>
        <w:gridCol w:w="1812"/>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84" w:type="dxa"/>
            <w:vAlign w:val="center"/>
          </w:tcPr>
          <w:p>
            <w:pPr>
              <w:jc w:val="center"/>
              <w:rPr>
                <w:b/>
                <w:bCs/>
                <w:color w:val="000000"/>
                <w:szCs w:val="21"/>
                <w:u w:val="single"/>
              </w:rPr>
            </w:pPr>
            <w:r>
              <w:rPr>
                <w:b/>
                <w:bCs/>
                <w:color w:val="000000"/>
                <w:kern w:val="0"/>
                <w:szCs w:val="21"/>
                <w:u w:val="single"/>
              </w:rPr>
              <w:t>关心点</w:t>
            </w:r>
          </w:p>
        </w:tc>
        <w:tc>
          <w:tcPr>
            <w:tcW w:w="1784" w:type="dxa"/>
            <w:vAlign w:val="center"/>
          </w:tcPr>
          <w:p>
            <w:pPr>
              <w:jc w:val="center"/>
              <w:rPr>
                <w:b/>
                <w:bCs/>
                <w:color w:val="000000"/>
                <w:szCs w:val="21"/>
                <w:u w:val="single"/>
              </w:rPr>
            </w:pPr>
            <w:r>
              <w:rPr>
                <w:b/>
                <w:bCs/>
                <w:color w:val="000000"/>
                <w:kern w:val="0"/>
                <w:szCs w:val="21"/>
                <w:u w:val="single"/>
              </w:rPr>
              <w:t>因子</w:t>
            </w:r>
          </w:p>
        </w:tc>
        <w:tc>
          <w:tcPr>
            <w:tcW w:w="1783" w:type="dxa"/>
            <w:vAlign w:val="center"/>
          </w:tcPr>
          <w:p>
            <w:pPr>
              <w:jc w:val="center"/>
              <w:rPr>
                <w:b/>
                <w:bCs/>
                <w:color w:val="000000"/>
                <w:szCs w:val="21"/>
                <w:u w:val="single"/>
              </w:rPr>
            </w:pPr>
            <w:r>
              <w:rPr>
                <w:b/>
                <w:bCs/>
                <w:color w:val="000000"/>
                <w:kern w:val="0"/>
                <w:szCs w:val="21"/>
                <w:u w:val="single"/>
              </w:rPr>
              <w:t>贡献值</w:t>
            </w:r>
          </w:p>
        </w:tc>
        <w:tc>
          <w:tcPr>
            <w:tcW w:w="1783" w:type="dxa"/>
            <w:vAlign w:val="center"/>
          </w:tcPr>
          <w:p>
            <w:pPr>
              <w:jc w:val="center"/>
              <w:rPr>
                <w:b/>
                <w:bCs/>
                <w:color w:val="000000"/>
                <w:szCs w:val="21"/>
                <w:u w:val="single"/>
              </w:rPr>
            </w:pPr>
            <w:r>
              <w:rPr>
                <w:b/>
                <w:bCs/>
                <w:color w:val="000000"/>
                <w:kern w:val="0"/>
                <w:szCs w:val="21"/>
                <w:u w:val="single"/>
              </w:rPr>
              <w:t>现状监测最大值</w:t>
            </w:r>
          </w:p>
        </w:tc>
        <w:tc>
          <w:tcPr>
            <w:tcW w:w="1812" w:type="dxa"/>
            <w:vAlign w:val="center"/>
          </w:tcPr>
          <w:p>
            <w:pPr>
              <w:jc w:val="center"/>
              <w:rPr>
                <w:b/>
                <w:bCs/>
                <w:color w:val="000000"/>
                <w:szCs w:val="21"/>
                <w:u w:val="single"/>
              </w:rPr>
            </w:pPr>
            <w:r>
              <w:rPr>
                <w:b/>
                <w:bCs/>
                <w:color w:val="000000"/>
                <w:kern w:val="0"/>
                <w:szCs w:val="21"/>
                <w:u w:val="single"/>
              </w:rPr>
              <w:t>叠加值</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4" w:type="dxa"/>
            <w:vMerge w:val="restart"/>
            <w:vAlign w:val="center"/>
          </w:tcPr>
          <w:p>
            <w:pPr>
              <w:jc w:val="center"/>
              <w:rPr>
                <w:b/>
                <w:bCs/>
                <w:color w:val="000000"/>
                <w:spacing w:val="-6"/>
                <w:szCs w:val="21"/>
                <w:u w:val="single"/>
              </w:rPr>
            </w:pPr>
            <w:r>
              <w:rPr>
                <w:rFonts w:hint="eastAsia"/>
                <w:b/>
                <w:bCs/>
                <w:color w:val="000000" w:themeColor="text1"/>
                <w:sz w:val="24"/>
                <w:u w:val="single"/>
                <w:lang w:val="zh-CN"/>
              </w:rPr>
              <w:t>邢寨村</w:t>
            </w:r>
          </w:p>
        </w:tc>
        <w:tc>
          <w:tcPr>
            <w:tcW w:w="1784" w:type="dxa"/>
            <w:vAlign w:val="center"/>
          </w:tcPr>
          <w:p>
            <w:pPr>
              <w:jc w:val="center"/>
              <w:rPr>
                <w:b/>
                <w:bCs/>
                <w:color w:val="000000"/>
                <w:szCs w:val="21"/>
                <w:u w:val="single"/>
              </w:rPr>
            </w:pPr>
            <w:r>
              <w:rPr>
                <w:rFonts w:eastAsia="楷体_GB2312"/>
                <w:b/>
                <w:bCs/>
                <w:color w:val="000000"/>
                <w:spacing w:val="-6"/>
                <w:kern w:val="0"/>
                <w:szCs w:val="21"/>
                <w:u w:val="single"/>
              </w:rPr>
              <w:t>NH</w:t>
            </w:r>
            <w:r>
              <w:rPr>
                <w:rFonts w:eastAsia="楷体_GB2312"/>
                <w:b/>
                <w:bCs/>
                <w:color w:val="000000"/>
                <w:spacing w:val="-6"/>
                <w:kern w:val="0"/>
                <w:szCs w:val="21"/>
                <w:u w:val="single"/>
                <w:vertAlign w:val="subscript"/>
              </w:rPr>
              <w:t>3</w:t>
            </w:r>
          </w:p>
        </w:tc>
        <w:tc>
          <w:tcPr>
            <w:tcW w:w="1783" w:type="dxa"/>
            <w:vAlign w:val="center"/>
          </w:tcPr>
          <w:p>
            <w:pPr>
              <w:jc w:val="center"/>
              <w:rPr>
                <w:b/>
                <w:bCs/>
                <w:color w:val="000000"/>
                <w:szCs w:val="21"/>
                <w:u w:val="single"/>
              </w:rPr>
            </w:pPr>
            <w:r>
              <w:rPr>
                <w:b/>
                <w:bCs/>
                <w:color w:val="000000"/>
                <w:szCs w:val="21"/>
                <w:u w:val="single"/>
              </w:rPr>
              <w:t>0.0</w:t>
            </w:r>
            <w:r>
              <w:rPr>
                <w:rFonts w:hint="eastAsia"/>
                <w:b/>
                <w:bCs/>
                <w:color w:val="000000"/>
                <w:szCs w:val="21"/>
                <w:u w:val="single"/>
              </w:rPr>
              <w:t>1081</w:t>
            </w:r>
          </w:p>
        </w:tc>
        <w:tc>
          <w:tcPr>
            <w:tcW w:w="1783" w:type="dxa"/>
            <w:vAlign w:val="center"/>
          </w:tcPr>
          <w:p>
            <w:pPr>
              <w:jc w:val="center"/>
              <w:rPr>
                <w:b/>
                <w:bCs/>
                <w:color w:val="000000"/>
                <w:szCs w:val="21"/>
                <w:u w:val="single"/>
              </w:rPr>
            </w:pPr>
            <w:r>
              <w:rPr>
                <w:b/>
                <w:bCs/>
                <w:color w:val="000000"/>
                <w:szCs w:val="21"/>
                <w:u w:val="single"/>
              </w:rPr>
              <w:t>0.0</w:t>
            </w:r>
            <w:r>
              <w:rPr>
                <w:rFonts w:hint="eastAsia"/>
                <w:b/>
                <w:bCs/>
                <w:color w:val="000000"/>
                <w:szCs w:val="21"/>
                <w:u w:val="single"/>
              </w:rPr>
              <w:t>75</w:t>
            </w:r>
          </w:p>
        </w:tc>
        <w:tc>
          <w:tcPr>
            <w:tcW w:w="1812" w:type="dxa"/>
            <w:vAlign w:val="center"/>
          </w:tcPr>
          <w:p>
            <w:pPr>
              <w:widowControl/>
              <w:jc w:val="center"/>
              <w:rPr>
                <w:b/>
                <w:bCs/>
                <w:color w:val="000000"/>
                <w:szCs w:val="21"/>
                <w:u w:val="single"/>
              </w:rPr>
            </w:pPr>
            <w:r>
              <w:rPr>
                <w:b/>
                <w:bCs/>
                <w:color w:val="000000"/>
                <w:szCs w:val="21"/>
                <w:u w:val="single"/>
              </w:rPr>
              <w:t>0.0</w:t>
            </w:r>
            <w:r>
              <w:rPr>
                <w:rFonts w:hint="eastAsia"/>
                <w:b/>
                <w:bCs/>
                <w:color w:val="000000"/>
                <w:szCs w:val="21"/>
                <w:u w:val="single"/>
              </w:rPr>
              <w:t>53</w:t>
            </w:r>
            <w:r>
              <w:rPr>
                <w:b/>
                <w:bCs/>
                <w:color w:val="000000"/>
                <w:szCs w:val="21"/>
                <w:u w:val="single"/>
              </w:rPr>
              <w:t>55</w:t>
            </w:r>
            <w:r>
              <w:rPr>
                <w:rFonts w:hint="eastAsia"/>
                <w:b/>
                <w:bCs/>
                <w:color w:val="000000"/>
                <w:szCs w:val="21"/>
                <w:u w:val="single"/>
              </w:rPr>
              <w:t>1</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4" w:type="dxa"/>
            <w:vMerge w:val="continue"/>
            <w:vAlign w:val="center"/>
          </w:tcPr>
          <w:p>
            <w:pPr>
              <w:jc w:val="center"/>
              <w:rPr>
                <w:b/>
                <w:bCs/>
                <w:color w:val="000000"/>
                <w:szCs w:val="21"/>
                <w:u w:val="single"/>
              </w:rPr>
            </w:pPr>
          </w:p>
        </w:tc>
        <w:tc>
          <w:tcPr>
            <w:tcW w:w="1784" w:type="dxa"/>
            <w:vAlign w:val="center"/>
          </w:tcPr>
          <w:p>
            <w:pPr>
              <w:jc w:val="center"/>
              <w:rPr>
                <w:b/>
                <w:bCs/>
                <w:color w:val="000000"/>
                <w:szCs w:val="21"/>
                <w:u w:val="single"/>
              </w:rPr>
            </w:pPr>
            <w:r>
              <w:rPr>
                <w:rFonts w:eastAsia="楷体_GB2312"/>
                <w:b/>
                <w:bCs/>
                <w:color w:val="000000"/>
                <w:spacing w:val="-6"/>
                <w:kern w:val="0"/>
                <w:szCs w:val="21"/>
                <w:u w:val="single"/>
              </w:rPr>
              <w:t>H</w:t>
            </w:r>
            <w:r>
              <w:rPr>
                <w:rFonts w:eastAsia="楷体_GB2312"/>
                <w:b/>
                <w:bCs/>
                <w:color w:val="000000"/>
                <w:spacing w:val="-6"/>
                <w:kern w:val="0"/>
                <w:szCs w:val="21"/>
                <w:u w:val="single"/>
                <w:vertAlign w:val="subscript"/>
              </w:rPr>
              <w:t>2</w:t>
            </w:r>
            <w:r>
              <w:rPr>
                <w:rFonts w:eastAsia="楷体_GB2312"/>
                <w:b/>
                <w:bCs/>
                <w:color w:val="000000"/>
                <w:spacing w:val="-6"/>
                <w:kern w:val="0"/>
                <w:szCs w:val="21"/>
                <w:u w:val="single"/>
              </w:rPr>
              <w:t>S</w:t>
            </w:r>
          </w:p>
        </w:tc>
        <w:tc>
          <w:tcPr>
            <w:tcW w:w="1783" w:type="dxa"/>
            <w:vAlign w:val="center"/>
          </w:tcPr>
          <w:p>
            <w:pPr>
              <w:jc w:val="center"/>
              <w:rPr>
                <w:b/>
                <w:bCs/>
                <w:color w:val="000000"/>
                <w:szCs w:val="21"/>
                <w:u w:val="single"/>
              </w:rPr>
            </w:pPr>
            <w:r>
              <w:rPr>
                <w:rFonts w:hint="eastAsia"/>
                <w:b/>
                <w:bCs/>
                <w:color w:val="000000"/>
                <w:szCs w:val="21"/>
                <w:u w:val="single"/>
              </w:rPr>
              <w:t>0.0007823</w:t>
            </w:r>
          </w:p>
        </w:tc>
        <w:tc>
          <w:tcPr>
            <w:tcW w:w="1783" w:type="dxa"/>
            <w:vAlign w:val="center"/>
          </w:tcPr>
          <w:p>
            <w:pPr>
              <w:jc w:val="center"/>
              <w:rPr>
                <w:b/>
                <w:bCs/>
                <w:color w:val="000000"/>
                <w:szCs w:val="21"/>
                <w:u w:val="single"/>
              </w:rPr>
            </w:pPr>
            <w:r>
              <w:rPr>
                <w:b/>
                <w:bCs/>
                <w:color w:val="000000"/>
                <w:szCs w:val="21"/>
                <w:u w:val="single"/>
              </w:rPr>
              <w:t>/</w:t>
            </w:r>
          </w:p>
        </w:tc>
        <w:tc>
          <w:tcPr>
            <w:tcW w:w="1812" w:type="dxa"/>
            <w:vAlign w:val="center"/>
          </w:tcPr>
          <w:p>
            <w:pPr>
              <w:jc w:val="center"/>
              <w:rPr>
                <w:b/>
                <w:bCs/>
                <w:color w:val="000000"/>
                <w:spacing w:val="-6"/>
                <w:szCs w:val="21"/>
                <w:u w:val="single"/>
              </w:rPr>
            </w:pPr>
            <w:r>
              <w:rPr>
                <w:rFonts w:hint="eastAsia"/>
                <w:b/>
                <w:bCs/>
                <w:color w:val="000000"/>
                <w:szCs w:val="21"/>
                <w:u w:val="single"/>
              </w:rPr>
              <w:t>0.0007823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4" w:type="dxa"/>
            <w:vMerge w:val="restart"/>
            <w:vAlign w:val="center"/>
          </w:tcPr>
          <w:p>
            <w:pPr>
              <w:jc w:val="center"/>
              <w:rPr>
                <w:b/>
                <w:bCs/>
                <w:color w:val="000000"/>
                <w:szCs w:val="21"/>
                <w:u w:val="single"/>
              </w:rPr>
            </w:pPr>
            <w:r>
              <w:rPr>
                <w:rFonts w:hint="eastAsia"/>
                <w:b/>
                <w:bCs/>
                <w:color w:val="000000" w:themeColor="text1"/>
                <w:sz w:val="24"/>
                <w:u w:val="single"/>
                <w:lang w:val="zh-CN"/>
              </w:rPr>
              <w:t>老任村</w:t>
            </w:r>
          </w:p>
        </w:tc>
        <w:tc>
          <w:tcPr>
            <w:tcW w:w="1784" w:type="dxa"/>
            <w:vAlign w:val="center"/>
          </w:tcPr>
          <w:p>
            <w:pPr>
              <w:jc w:val="center"/>
              <w:rPr>
                <w:b/>
                <w:bCs/>
                <w:color w:val="000000"/>
                <w:szCs w:val="21"/>
                <w:u w:val="single"/>
              </w:rPr>
            </w:pPr>
            <w:r>
              <w:rPr>
                <w:rFonts w:eastAsia="楷体_GB2312"/>
                <w:b/>
                <w:bCs/>
                <w:color w:val="000000"/>
                <w:spacing w:val="-6"/>
                <w:kern w:val="0"/>
                <w:szCs w:val="21"/>
                <w:u w:val="single"/>
              </w:rPr>
              <w:t>NH</w:t>
            </w:r>
            <w:r>
              <w:rPr>
                <w:rFonts w:eastAsia="楷体_GB2312"/>
                <w:b/>
                <w:bCs/>
                <w:color w:val="000000"/>
                <w:spacing w:val="-6"/>
                <w:kern w:val="0"/>
                <w:szCs w:val="21"/>
                <w:u w:val="single"/>
                <w:vertAlign w:val="subscript"/>
              </w:rPr>
              <w:t>3</w:t>
            </w:r>
          </w:p>
        </w:tc>
        <w:tc>
          <w:tcPr>
            <w:tcW w:w="1783" w:type="dxa"/>
            <w:vAlign w:val="center"/>
          </w:tcPr>
          <w:p>
            <w:pPr>
              <w:jc w:val="center"/>
              <w:rPr>
                <w:b/>
                <w:bCs/>
                <w:color w:val="000000"/>
                <w:szCs w:val="21"/>
                <w:u w:val="single"/>
              </w:rPr>
            </w:pPr>
            <w:r>
              <w:rPr>
                <w:rFonts w:hint="eastAsia"/>
                <w:b/>
                <w:bCs/>
                <w:color w:val="000000"/>
                <w:szCs w:val="21"/>
                <w:u w:val="single"/>
              </w:rPr>
              <w:t>0.007134</w:t>
            </w:r>
          </w:p>
        </w:tc>
        <w:tc>
          <w:tcPr>
            <w:tcW w:w="1783" w:type="dxa"/>
            <w:vAlign w:val="center"/>
          </w:tcPr>
          <w:p>
            <w:pPr>
              <w:jc w:val="center"/>
              <w:rPr>
                <w:b/>
                <w:bCs/>
                <w:color w:val="000000"/>
                <w:szCs w:val="21"/>
                <w:u w:val="single"/>
              </w:rPr>
            </w:pPr>
            <w:r>
              <w:rPr>
                <w:b/>
                <w:bCs/>
                <w:color w:val="000000"/>
                <w:szCs w:val="21"/>
                <w:u w:val="single"/>
              </w:rPr>
              <w:t>0.0</w:t>
            </w:r>
            <w:r>
              <w:rPr>
                <w:rFonts w:hint="eastAsia"/>
                <w:b/>
                <w:bCs/>
                <w:color w:val="000000"/>
                <w:szCs w:val="21"/>
                <w:u w:val="single"/>
              </w:rPr>
              <w:t>75</w:t>
            </w:r>
          </w:p>
        </w:tc>
        <w:tc>
          <w:tcPr>
            <w:tcW w:w="1812" w:type="dxa"/>
            <w:vAlign w:val="center"/>
          </w:tcPr>
          <w:p>
            <w:pPr>
              <w:jc w:val="center"/>
              <w:rPr>
                <w:b/>
                <w:bCs/>
                <w:color w:val="000000"/>
                <w:spacing w:val="-6"/>
                <w:szCs w:val="21"/>
                <w:u w:val="single"/>
              </w:rPr>
            </w:pPr>
            <w:r>
              <w:rPr>
                <w:b/>
                <w:bCs/>
                <w:color w:val="000000"/>
                <w:spacing w:val="-6"/>
                <w:szCs w:val="21"/>
                <w:u w:val="single"/>
              </w:rPr>
              <w:t>0.0</w:t>
            </w:r>
            <w:r>
              <w:rPr>
                <w:rFonts w:hint="eastAsia"/>
                <w:b/>
                <w:bCs/>
                <w:color w:val="000000"/>
                <w:spacing w:val="-6"/>
                <w:szCs w:val="21"/>
                <w:u w:val="single"/>
              </w:rPr>
              <w:t>42643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4" w:type="dxa"/>
            <w:vMerge w:val="continue"/>
            <w:vAlign w:val="center"/>
          </w:tcPr>
          <w:p>
            <w:pPr>
              <w:jc w:val="center"/>
              <w:rPr>
                <w:b/>
                <w:bCs/>
                <w:color w:val="000000"/>
                <w:szCs w:val="21"/>
                <w:u w:val="single"/>
              </w:rPr>
            </w:pPr>
          </w:p>
        </w:tc>
        <w:tc>
          <w:tcPr>
            <w:tcW w:w="1784" w:type="dxa"/>
            <w:vAlign w:val="center"/>
          </w:tcPr>
          <w:p>
            <w:pPr>
              <w:jc w:val="center"/>
              <w:rPr>
                <w:b/>
                <w:bCs/>
                <w:color w:val="000000"/>
                <w:szCs w:val="21"/>
                <w:u w:val="single"/>
              </w:rPr>
            </w:pPr>
            <w:r>
              <w:rPr>
                <w:rFonts w:eastAsia="楷体_GB2312"/>
                <w:b/>
                <w:bCs/>
                <w:color w:val="000000"/>
                <w:spacing w:val="-6"/>
                <w:kern w:val="0"/>
                <w:szCs w:val="21"/>
                <w:u w:val="single"/>
              </w:rPr>
              <w:t>H</w:t>
            </w:r>
            <w:r>
              <w:rPr>
                <w:rFonts w:eastAsia="楷体_GB2312"/>
                <w:b/>
                <w:bCs/>
                <w:color w:val="000000"/>
                <w:spacing w:val="-6"/>
                <w:kern w:val="0"/>
                <w:szCs w:val="21"/>
                <w:u w:val="single"/>
                <w:vertAlign w:val="subscript"/>
              </w:rPr>
              <w:t>2</w:t>
            </w:r>
            <w:r>
              <w:rPr>
                <w:rFonts w:eastAsia="楷体_GB2312"/>
                <w:b/>
                <w:bCs/>
                <w:color w:val="000000"/>
                <w:spacing w:val="-6"/>
                <w:kern w:val="0"/>
                <w:szCs w:val="21"/>
                <w:u w:val="single"/>
              </w:rPr>
              <w:t>S</w:t>
            </w:r>
          </w:p>
        </w:tc>
        <w:tc>
          <w:tcPr>
            <w:tcW w:w="1783" w:type="dxa"/>
            <w:vAlign w:val="center"/>
          </w:tcPr>
          <w:p>
            <w:pPr>
              <w:jc w:val="center"/>
              <w:rPr>
                <w:b/>
                <w:bCs/>
                <w:color w:val="000000"/>
                <w:szCs w:val="21"/>
                <w:u w:val="single"/>
              </w:rPr>
            </w:pPr>
            <w:r>
              <w:rPr>
                <w:rFonts w:hint="eastAsia"/>
                <w:b/>
                <w:bCs/>
                <w:color w:val="000000"/>
                <w:szCs w:val="21"/>
                <w:u w:val="single"/>
              </w:rPr>
              <w:t>0.000513</w:t>
            </w:r>
          </w:p>
        </w:tc>
        <w:tc>
          <w:tcPr>
            <w:tcW w:w="1783" w:type="dxa"/>
            <w:vAlign w:val="center"/>
          </w:tcPr>
          <w:p>
            <w:pPr>
              <w:jc w:val="center"/>
              <w:rPr>
                <w:b/>
                <w:bCs/>
                <w:color w:val="000000"/>
                <w:szCs w:val="21"/>
                <w:u w:val="single"/>
              </w:rPr>
            </w:pPr>
            <w:r>
              <w:rPr>
                <w:b/>
                <w:bCs/>
                <w:color w:val="000000"/>
                <w:szCs w:val="21"/>
                <w:u w:val="single"/>
              </w:rPr>
              <w:t>/</w:t>
            </w:r>
          </w:p>
        </w:tc>
        <w:tc>
          <w:tcPr>
            <w:tcW w:w="1812" w:type="dxa"/>
            <w:vAlign w:val="center"/>
          </w:tcPr>
          <w:p>
            <w:pPr>
              <w:jc w:val="center"/>
              <w:rPr>
                <w:b/>
                <w:bCs/>
                <w:color w:val="000000"/>
                <w:spacing w:val="-6"/>
                <w:szCs w:val="21"/>
                <w:u w:val="single"/>
              </w:rPr>
            </w:pPr>
            <w:r>
              <w:rPr>
                <w:rFonts w:hint="eastAsia"/>
                <w:b/>
                <w:bCs/>
                <w:color w:val="000000"/>
                <w:szCs w:val="21"/>
                <w:u w:val="single"/>
              </w:rPr>
              <w:t>0.000513</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4" w:type="dxa"/>
            <w:vMerge w:val="restart"/>
            <w:vAlign w:val="center"/>
          </w:tcPr>
          <w:p>
            <w:pPr>
              <w:jc w:val="center"/>
              <w:rPr>
                <w:b/>
                <w:bCs/>
                <w:color w:val="000000"/>
                <w:spacing w:val="-6"/>
                <w:szCs w:val="21"/>
                <w:u w:val="single"/>
              </w:rPr>
            </w:pPr>
            <w:r>
              <w:rPr>
                <w:rFonts w:hint="eastAsia"/>
                <w:b/>
                <w:bCs/>
                <w:color w:val="000000" w:themeColor="text1"/>
                <w:sz w:val="24"/>
                <w:u w:val="single"/>
                <w:lang w:val="zh-CN"/>
              </w:rPr>
              <w:t>仙翁庙村</w:t>
            </w:r>
          </w:p>
        </w:tc>
        <w:tc>
          <w:tcPr>
            <w:tcW w:w="1784" w:type="dxa"/>
            <w:vAlign w:val="center"/>
          </w:tcPr>
          <w:p>
            <w:pPr>
              <w:jc w:val="center"/>
              <w:rPr>
                <w:b/>
                <w:bCs/>
                <w:color w:val="000000"/>
                <w:szCs w:val="21"/>
                <w:u w:val="single"/>
              </w:rPr>
            </w:pPr>
            <w:r>
              <w:rPr>
                <w:rFonts w:eastAsia="楷体_GB2312"/>
                <w:b/>
                <w:bCs/>
                <w:color w:val="000000"/>
                <w:spacing w:val="-6"/>
                <w:kern w:val="0"/>
                <w:szCs w:val="21"/>
                <w:u w:val="single"/>
              </w:rPr>
              <w:t>NH</w:t>
            </w:r>
            <w:r>
              <w:rPr>
                <w:rFonts w:eastAsia="楷体_GB2312"/>
                <w:b/>
                <w:bCs/>
                <w:color w:val="000000"/>
                <w:spacing w:val="-6"/>
                <w:kern w:val="0"/>
                <w:szCs w:val="21"/>
                <w:u w:val="single"/>
                <w:vertAlign w:val="subscript"/>
              </w:rPr>
              <w:t>3</w:t>
            </w:r>
          </w:p>
        </w:tc>
        <w:tc>
          <w:tcPr>
            <w:tcW w:w="1783" w:type="dxa"/>
            <w:vAlign w:val="center"/>
          </w:tcPr>
          <w:p>
            <w:pPr>
              <w:jc w:val="center"/>
              <w:rPr>
                <w:b/>
                <w:bCs/>
                <w:color w:val="000000"/>
                <w:szCs w:val="21"/>
                <w:u w:val="single"/>
              </w:rPr>
            </w:pPr>
            <w:r>
              <w:rPr>
                <w:rFonts w:hint="eastAsia"/>
                <w:b/>
                <w:bCs/>
                <w:color w:val="000000"/>
                <w:szCs w:val="21"/>
                <w:u w:val="single"/>
              </w:rPr>
              <w:t>0.008143</w:t>
            </w:r>
          </w:p>
        </w:tc>
        <w:tc>
          <w:tcPr>
            <w:tcW w:w="1783" w:type="dxa"/>
            <w:vAlign w:val="center"/>
          </w:tcPr>
          <w:p>
            <w:pPr>
              <w:jc w:val="center"/>
              <w:rPr>
                <w:b/>
                <w:bCs/>
                <w:color w:val="000000"/>
                <w:szCs w:val="21"/>
                <w:u w:val="single"/>
              </w:rPr>
            </w:pPr>
            <w:r>
              <w:rPr>
                <w:b/>
                <w:bCs/>
                <w:color w:val="000000"/>
                <w:szCs w:val="21"/>
                <w:u w:val="single"/>
              </w:rPr>
              <w:t>0.0</w:t>
            </w:r>
            <w:r>
              <w:rPr>
                <w:rFonts w:hint="eastAsia"/>
                <w:b/>
                <w:bCs/>
                <w:color w:val="000000"/>
                <w:szCs w:val="21"/>
                <w:u w:val="single"/>
              </w:rPr>
              <w:t>77</w:t>
            </w:r>
          </w:p>
        </w:tc>
        <w:tc>
          <w:tcPr>
            <w:tcW w:w="1812" w:type="dxa"/>
            <w:vAlign w:val="center"/>
          </w:tcPr>
          <w:p>
            <w:pPr>
              <w:jc w:val="center"/>
              <w:rPr>
                <w:b/>
                <w:bCs/>
                <w:color w:val="000000"/>
                <w:spacing w:val="-6"/>
                <w:szCs w:val="21"/>
                <w:u w:val="single"/>
              </w:rPr>
            </w:pPr>
            <w:r>
              <w:rPr>
                <w:b/>
                <w:bCs/>
                <w:color w:val="000000"/>
                <w:spacing w:val="-6"/>
                <w:szCs w:val="21"/>
                <w:u w:val="single"/>
              </w:rPr>
              <w:t>0.0</w:t>
            </w:r>
            <w:r>
              <w:rPr>
                <w:rFonts w:hint="eastAsia"/>
                <w:b/>
                <w:bCs/>
                <w:color w:val="000000"/>
                <w:spacing w:val="-6"/>
                <w:szCs w:val="21"/>
                <w:u w:val="single"/>
              </w:rPr>
              <w:t>45795</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4" w:type="dxa"/>
            <w:vMerge w:val="continue"/>
            <w:vAlign w:val="center"/>
          </w:tcPr>
          <w:p>
            <w:pPr>
              <w:jc w:val="center"/>
              <w:rPr>
                <w:b/>
                <w:bCs/>
                <w:color w:val="000000"/>
                <w:szCs w:val="21"/>
                <w:u w:val="single"/>
              </w:rPr>
            </w:pPr>
          </w:p>
        </w:tc>
        <w:tc>
          <w:tcPr>
            <w:tcW w:w="1784" w:type="dxa"/>
            <w:vAlign w:val="center"/>
          </w:tcPr>
          <w:p>
            <w:pPr>
              <w:jc w:val="center"/>
              <w:rPr>
                <w:b/>
                <w:bCs/>
                <w:color w:val="000000"/>
                <w:szCs w:val="21"/>
                <w:u w:val="single"/>
              </w:rPr>
            </w:pPr>
            <w:r>
              <w:rPr>
                <w:rFonts w:eastAsia="楷体_GB2312"/>
                <w:b/>
                <w:bCs/>
                <w:color w:val="000000"/>
                <w:spacing w:val="-6"/>
                <w:kern w:val="0"/>
                <w:szCs w:val="21"/>
                <w:u w:val="single"/>
              </w:rPr>
              <w:t>H</w:t>
            </w:r>
            <w:r>
              <w:rPr>
                <w:rFonts w:eastAsia="楷体_GB2312"/>
                <w:b/>
                <w:bCs/>
                <w:color w:val="000000"/>
                <w:spacing w:val="-6"/>
                <w:kern w:val="0"/>
                <w:szCs w:val="21"/>
                <w:u w:val="single"/>
                <w:vertAlign w:val="subscript"/>
              </w:rPr>
              <w:t>2</w:t>
            </w:r>
            <w:r>
              <w:rPr>
                <w:rFonts w:eastAsia="楷体_GB2312"/>
                <w:b/>
                <w:bCs/>
                <w:color w:val="000000"/>
                <w:spacing w:val="-6"/>
                <w:kern w:val="0"/>
                <w:szCs w:val="21"/>
                <w:u w:val="single"/>
              </w:rPr>
              <w:t>S</w:t>
            </w:r>
          </w:p>
        </w:tc>
        <w:tc>
          <w:tcPr>
            <w:tcW w:w="1783" w:type="dxa"/>
            <w:vAlign w:val="center"/>
          </w:tcPr>
          <w:p>
            <w:pPr>
              <w:jc w:val="center"/>
              <w:rPr>
                <w:b/>
                <w:bCs/>
                <w:color w:val="000000"/>
                <w:szCs w:val="21"/>
                <w:u w:val="single"/>
              </w:rPr>
            </w:pPr>
            <w:r>
              <w:rPr>
                <w:rFonts w:hint="eastAsia"/>
                <w:b/>
                <w:bCs/>
                <w:color w:val="000000"/>
                <w:szCs w:val="21"/>
                <w:u w:val="single"/>
              </w:rPr>
              <w:t>0.0005889</w:t>
            </w:r>
          </w:p>
        </w:tc>
        <w:tc>
          <w:tcPr>
            <w:tcW w:w="1783" w:type="dxa"/>
            <w:vAlign w:val="center"/>
          </w:tcPr>
          <w:p>
            <w:pPr>
              <w:jc w:val="center"/>
              <w:rPr>
                <w:b/>
                <w:bCs/>
                <w:color w:val="000000"/>
                <w:szCs w:val="21"/>
                <w:u w:val="single"/>
              </w:rPr>
            </w:pPr>
            <w:r>
              <w:rPr>
                <w:b/>
                <w:bCs/>
                <w:color w:val="000000"/>
                <w:szCs w:val="21"/>
                <w:u w:val="single"/>
              </w:rPr>
              <w:t>/</w:t>
            </w:r>
          </w:p>
        </w:tc>
        <w:tc>
          <w:tcPr>
            <w:tcW w:w="1812" w:type="dxa"/>
            <w:vAlign w:val="center"/>
          </w:tcPr>
          <w:p>
            <w:pPr>
              <w:jc w:val="center"/>
              <w:rPr>
                <w:b/>
                <w:bCs/>
                <w:color w:val="000000"/>
                <w:spacing w:val="-6"/>
                <w:szCs w:val="21"/>
                <w:u w:val="single"/>
              </w:rPr>
            </w:pPr>
            <w:r>
              <w:rPr>
                <w:rFonts w:hint="eastAsia"/>
                <w:b/>
                <w:bCs/>
                <w:color w:val="000000"/>
                <w:szCs w:val="21"/>
                <w:u w:val="single"/>
              </w:rPr>
              <w:t>0.0005889</w:t>
            </w:r>
          </w:p>
        </w:tc>
      </w:tr>
    </w:tbl>
    <w:p>
      <w:pPr>
        <w:adjustRightInd w:val="0"/>
        <w:snapToGrid w:val="0"/>
        <w:spacing w:line="500" w:lineRule="exact"/>
        <w:ind w:firstLine="482" w:firstLineChars="200"/>
        <w:rPr>
          <w:b/>
          <w:bCs/>
          <w:color w:val="000000"/>
          <w:sz w:val="24"/>
          <w:u w:val="single"/>
        </w:rPr>
      </w:pPr>
      <w:r>
        <w:rPr>
          <w:b/>
          <w:bCs/>
          <w:color w:val="000000"/>
          <w:sz w:val="24"/>
          <w:u w:val="single"/>
        </w:rPr>
        <w:t>由上表可知，本项目无组织排放的NH</w:t>
      </w:r>
      <w:r>
        <w:rPr>
          <w:b/>
          <w:bCs/>
          <w:color w:val="000000"/>
          <w:sz w:val="24"/>
          <w:u w:val="single"/>
          <w:vertAlign w:val="subscript"/>
        </w:rPr>
        <w:t>3</w:t>
      </w:r>
      <w:r>
        <w:rPr>
          <w:b/>
          <w:bCs/>
          <w:color w:val="000000"/>
          <w:sz w:val="24"/>
          <w:u w:val="single"/>
        </w:rPr>
        <w:t>、H</w:t>
      </w:r>
      <w:r>
        <w:rPr>
          <w:b/>
          <w:bCs/>
          <w:color w:val="000000"/>
          <w:sz w:val="24"/>
          <w:u w:val="single"/>
          <w:vertAlign w:val="subscript"/>
        </w:rPr>
        <w:t>2</w:t>
      </w:r>
      <w:r>
        <w:rPr>
          <w:b/>
          <w:bCs/>
          <w:color w:val="000000"/>
          <w:sz w:val="24"/>
          <w:u w:val="single"/>
        </w:rPr>
        <w:t>S在各敏感点的预测值均可达到《环境影响评价技术导则 大气环境（HJ2.2-2018）》中附录D</w:t>
      </w:r>
      <w:r>
        <w:rPr>
          <w:rFonts w:hint="eastAsia"/>
          <w:b/>
          <w:bCs/>
          <w:color w:val="000000"/>
          <w:sz w:val="24"/>
          <w:u w:val="single"/>
        </w:rPr>
        <w:t>中</w:t>
      </w:r>
      <w:r>
        <w:rPr>
          <w:b/>
          <w:bCs/>
          <w:color w:val="000000"/>
          <w:sz w:val="24"/>
          <w:u w:val="single"/>
        </w:rPr>
        <w:t xml:space="preserve"> 居住区大气中有害物质的最高容许浓度（NH</w:t>
      </w:r>
      <w:r>
        <w:rPr>
          <w:b/>
          <w:bCs/>
          <w:color w:val="000000"/>
          <w:sz w:val="24"/>
          <w:u w:val="single"/>
          <w:vertAlign w:val="subscript"/>
        </w:rPr>
        <w:t>3</w:t>
      </w:r>
      <w:r>
        <w:rPr>
          <w:b/>
          <w:bCs/>
          <w:color w:val="000000"/>
          <w:sz w:val="24"/>
          <w:u w:val="single"/>
        </w:rPr>
        <w:t>0.2mg/m</w:t>
      </w:r>
      <w:r>
        <w:rPr>
          <w:b/>
          <w:bCs/>
          <w:color w:val="000000"/>
          <w:sz w:val="24"/>
          <w:u w:val="single"/>
          <w:vertAlign w:val="superscript"/>
        </w:rPr>
        <w:t>3</w:t>
      </w:r>
      <w:r>
        <w:rPr>
          <w:b/>
          <w:bCs/>
          <w:color w:val="000000"/>
          <w:sz w:val="24"/>
          <w:u w:val="single"/>
        </w:rPr>
        <w:t>、H</w:t>
      </w:r>
      <w:r>
        <w:rPr>
          <w:b/>
          <w:bCs/>
          <w:color w:val="000000"/>
          <w:sz w:val="24"/>
          <w:u w:val="single"/>
          <w:vertAlign w:val="subscript"/>
        </w:rPr>
        <w:t>2</w:t>
      </w:r>
      <w:r>
        <w:rPr>
          <w:b/>
          <w:bCs/>
          <w:color w:val="000000"/>
          <w:sz w:val="24"/>
          <w:u w:val="single"/>
        </w:rPr>
        <w:t>S0.01mg/m</w:t>
      </w:r>
      <w:r>
        <w:rPr>
          <w:b/>
          <w:bCs/>
          <w:color w:val="000000"/>
          <w:sz w:val="24"/>
          <w:u w:val="single"/>
          <w:vertAlign w:val="superscript"/>
        </w:rPr>
        <w:t>3</w:t>
      </w:r>
      <w:r>
        <w:rPr>
          <w:b/>
          <w:bCs/>
          <w:color w:val="000000"/>
          <w:sz w:val="24"/>
          <w:u w:val="single"/>
        </w:rPr>
        <w:t>）。</w:t>
      </w:r>
    </w:p>
    <w:p>
      <w:pPr>
        <w:adjustRightInd w:val="0"/>
        <w:snapToGrid w:val="0"/>
        <w:spacing w:line="500" w:lineRule="exact"/>
        <w:ind w:firstLine="482" w:firstLineChars="200"/>
        <w:rPr>
          <w:b/>
          <w:bCs/>
          <w:color w:val="000000"/>
          <w:sz w:val="24"/>
          <w:u w:val="single"/>
        </w:rPr>
      </w:pPr>
      <w:r>
        <w:rPr>
          <w:b/>
          <w:bCs/>
          <w:color w:val="000000"/>
          <w:sz w:val="24"/>
          <w:u w:val="single"/>
        </w:rPr>
        <w:t>七、环境防护距离的确定</w:t>
      </w:r>
    </w:p>
    <w:p>
      <w:pPr>
        <w:adjustRightInd w:val="0"/>
        <w:snapToGrid w:val="0"/>
        <w:spacing w:line="500" w:lineRule="exact"/>
        <w:ind w:firstLine="482" w:firstLineChars="200"/>
        <w:rPr>
          <w:b/>
          <w:bCs/>
          <w:color w:val="000000"/>
          <w:sz w:val="24"/>
          <w:u w:val="single"/>
        </w:rPr>
      </w:pPr>
      <w:r>
        <w:rPr>
          <w:b/>
          <w:bCs/>
          <w:color w:val="000000"/>
          <w:sz w:val="24"/>
          <w:u w:val="single"/>
        </w:rPr>
        <w:t>（1）大气防护距离</w:t>
      </w:r>
    </w:p>
    <w:p>
      <w:pPr>
        <w:spacing w:line="500" w:lineRule="exact"/>
        <w:ind w:firstLine="482" w:firstLineChars="200"/>
        <w:rPr>
          <w:b/>
          <w:bCs/>
          <w:color w:val="000000"/>
          <w:sz w:val="24"/>
          <w:szCs w:val="22"/>
          <w:u w:val="single"/>
        </w:rPr>
      </w:pPr>
      <w:r>
        <w:rPr>
          <w:b/>
          <w:bCs/>
          <w:color w:val="000000"/>
          <w:sz w:val="24"/>
          <w:szCs w:val="22"/>
          <w:u w:val="single"/>
        </w:rPr>
        <w:t>根据导则《环境影响评价技术导则 大气环境》（HJ2.2-20</w:t>
      </w:r>
      <w:r>
        <w:rPr>
          <w:rFonts w:hint="eastAsia"/>
          <w:b/>
          <w:bCs/>
          <w:color w:val="000000"/>
          <w:sz w:val="24"/>
          <w:szCs w:val="22"/>
          <w:u w:val="single"/>
        </w:rPr>
        <w:t>1</w:t>
      </w:r>
      <w:r>
        <w:rPr>
          <w:b/>
          <w:bCs/>
          <w:color w:val="000000"/>
          <w:sz w:val="24"/>
          <w:szCs w:val="22"/>
          <w:u w:val="single"/>
        </w:rPr>
        <w:t>8）要求，采用推荐模式中的大气环境防护距离模式计算本项目无组织排放单元的大气环境防护距离。经计算，本项目无组织排放单元大气环境防护距离见表4-19。</w:t>
      </w:r>
    </w:p>
    <w:p>
      <w:pPr>
        <w:spacing w:beforeLines="50" w:afterLines="50"/>
        <w:jc w:val="center"/>
        <w:rPr>
          <w:b/>
          <w:bCs/>
          <w:color w:val="000000"/>
          <w:szCs w:val="21"/>
          <w:u w:val="single"/>
        </w:rPr>
      </w:pPr>
      <w:r>
        <w:rPr>
          <w:b/>
          <w:bCs/>
          <w:color w:val="000000"/>
          <w:szCs w:val="21"/>
          <w:u w:val="single"/>
        </w:rPr>
        <w:t>表4-19   本项目无组织排放单元大气环境防护距离      单位：mg/m</w:t>
      </w:r>
      <w:r>
        <w:rPr>
          <w:b/>
          <w:bCs/>
          <w:color w:val="000000"/>
          <w:szCs w:val="21"/>
          <w:u w:val="single"/>
          <w:vertAlign w:val="superscript"/>
        </w:rPr>
        <w:t>3</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852"/>
        <w:gridCol w:w="997"/>
        <w:gridCol w:w="1142"/>
        <w:gridCol w:w="945"/>
        <w:gridCol w:w="1500"/>
        <w:gridCol w:w="17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08"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无组织</w:t>
            </w:r>
          </w:p>
          <w:p>
            <w:pPr>
              <w:jc w:val="center"/>
              <w:rPr>
                <w:rFonts w:ascii="宋体" w:hAnsi="宋体" w:cs="宋体"/>
                <w:b/>
                <w:bCs/>
                <w:color w:val="000000"/>
                <w:szCs w:val="21"/>
                <w:u w:val="single"/>
              </w:rPr>
            </w:pPr>
            <w:r>
              <w:rPr>
                <w:rFonts w:hint="eastAsia" w:ascii="宋体" w:hAnsi="宋体" w:cs="宋体"/>
                <w:b/>
                <w:bCs/>
                <w:color w:val="000000"/>
                <w:szCs w:val="21"/>
                <w:u w:val="single"/>
              </w:rPr>
              <w:t>排放源</w:t>
            </w:r>
          </w:p>
        </w:tc>
        <w:tc>
          <w:tcPr>
            <w:tcW w:w="852"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主要</w:t>
            </w:r>
          </w:p>
          <w:p>
            <w:pPr>
              <w:jc w:val="center"/>
              <w:rPr>
                <w:rFonts w:ascii="宋体" w:hAnsi="宋体" w:cs="宋体"/>
                <w:b/>
                <w:bCs/>
                <w:color w:val="000000"/>
                <w:szCs w:val="21"/>
                <w:u w:val="single"/>
              </w:rPr>
            </w:pPr>
            <w:r>
              <w:rPr>
                <w:rFonts w:hint="eastAsia" w:ascii="宋体" w:hAnsi="宋体" w:cs="宋体"/>
                <w:b/>
                <w:bCs/>
                <w:color w:val="000000"/>
                <w:szCs w:val="21"/>
                <w:u w:val="single"/>
              </w:rPr>
              <w:t>污染物</w:t>
            </w:r>
          </w:p>
        </w:tc>
        <w:tc>
          <w:tcPr>
            <w:tcW w:w="997"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排放量kg/h</w:t>
            </w:r>
          </w:p>
        </w:tc>
        <w:tc>
          <w:tcPr>
            <w:tcW w:w="1142" w:type="dxa"/>
            <w:vAlign w:val="center"/>
          </w:tcPr>
          <w:p>
            <w:pPr>
              <w:spacing w:line="240" w:lineRule="atLeast"/>
              <w:jc w:val="center"/>
              <w:rPr>
                <w:rFonts w:ascii="宋体" w:hAnsi="宋体" w:cs="宋体"/>
                <w:b/>
                <w:bCs/>
                <w:color w:val="000000"/>
                <w:szCs w:val="21"/>
                <w:u w:val="single"/>
              </w:rPr>
            </w:pPr>
            <w:r>
              <w:rPr>
                <w:rFonts w:hint="eastAsia" w:ascii="宋体" w:hAnsi="宋体" w:cs="宋体"/>
                <w:b/>
                <w:bCs/>
                <w:color w:val="000000"/>
                <w:szCs w:val="21"/>
                <w:u w:val="single"/>
              </w:rPr>
              <w:t>长×宽/m</w:t>
            </w:r>
            <w:r>
              <w:rPr>
                <w:rFonts w:hint="eastAsia" w:ascii="宋体" w:hAnsi="宋体" w:cs="宋体"/>
                <w:b/>
                <w:bCs/>
                <w:color w:val="000000"/>
                <w:szCs w:val="21"/>
                <w:u w:val="single"/>
                <w:vertAlign w:val="superscript"/>
              </w:rPr>
              <w:t>2</w:t>
            </w:r>
          </w:p>
        </w:tc>
        <w:tc>
          <w:tcPr>
            <w:tcW w:w="945" w:type="dxa"/>
            <w:vAlign w:val="center"/>
          </w:tcPr>
          <w:p>
            <w:pPr>
              <w:spacing w:line="240" w:lineRule="atLeast"/>
              <w:jc w:val="center"/>
              <w:rPr>
                <w:rFonts w:ascii="宋体" w:hAnsi="宋体" w:cs="宋体"/>
                <w:b/>
                <w:bCs/>
                <w:color w:val="000000"/>
                <w:szCs w:val="21"/>
                <w:u w:val="single"/>
              </w:rPr>
            </w:pPr>
            <w:r>
              <w:rPr>
                <w:rFonts w:hint="eastAsia" w:ascii="宋体" w:hAnsi="宋体" w:cs="宋体"/>
                <w:b/>
                <w:bCs/>
                <w:color w:val="000000"/>
                <w:szCs w:val="21"/>
                <w:u w:val="single"/>
              </w:rPr>
              <w:t>面源高度/m</w:t>
            </w:r>
          </w:p>
        </w:tc>
        <w:tc>
          <w:tcPr>
            <w:tcW w:w="1500"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评价标准</w:t>
            </w:r>
          </w:p>
          <w:p>
            <w:pPr>
              <w:jc w:val="center"/>
              <w:rPr>
                <w:rFonts w:ascii="宋体" w:hAnsi="宋体" w:cs="宋体"/>
                <w:b/>
                <w:bCs/>
                <w:color w:val="000000"/>
                <w:szCs w:val="21"/>
                <w:u w:val="single"/>
              </w:rPr>
            </w:pPr>
            <w:r>
              <w:rPr>
                <w:rFonts w:hint="eastAsia" w:ascii="宋体" w:hAnsi="宋体" w:cs="宋体"/>
                <w:b/>
                <w:bCs/>
                <w:color w:val="000000"/>
                <w:szCs w:val="21"/>
                <w:u w:val="single"/>
              </w:rPr>
              <w:t>mg/m</w:t>
            </w:r>
            <w:r>
              <w:rPr>
                <w:rFonts w:hint="eastAsia" w:ascii="宋体" w:hAnsi="宋体" w:cs="宋体"/>
                <w:b/>
                <w:bCs/>
                <w:color w:val="000000"/>
                <w:szCs w:val="21"/>
                <w:u w:val="single"/>
                <w:vertAlign w:val="superscript"/>
              </w:rPr>
              <w:t>3</w:t>
            </w:r>
          </w:p>
        </w:tc>
        <w:tc>
          <w:tcPr>
            <w:tcW w:w="1702" w:type="dxa"/>
            <w:vAlign w:val="center"/>
          </w:tcPr>
          <w:p>
            <w:pPr>
              <w:spacing w:line="240" w:lineRule="atLeast"/>
              <w:jc w:val="center"/>
              <w:rPr>
                <w:rFonts w:ascii="宋体" w:hAnsi="宋体" w:cs="宋体"/>
                <w:b/>
                <w:bCs/>
                <w:color w:val="000000"/>
                <w:szCs w:val="21"/>
                <w:u w:val="single"/>
              </w:rPr>
            </w:pPr>
            <w:r>
              <w:rPr>
                <w:rFonts w:hint="eastAsia" w:ascii="宋体" w:hAnsi="宋体" w:cs="宋体"/>
                <w:b/>
                <w:bCs/>
                <w:color w:val="000000"/>
                <w:szCs w:val="21"/>
                <w:u w:val="single"/>
              </w:rPr>
              <w:t>大气环境</w:t>
            </w:r>
          </w:p>
          <w:p>
            <w:pPr>
              <w:jc w:val="center"/>
              <w:rPr>
                <w:rFonts w:ascii="宋体" w:hAnsi="宋体" w:cs="宋体"/>
                <w:b/>
                <w:bCs/>
                <w:color w:val="000000"/>
                <w:szCs w:val="21"/>
                <w:u w:val="single"/>
              </w:rPr>
            </w:pPr>
            <w:r>
              <w:rPr>
                <w:rFonts w:hint="eastAsia" w:ascii="宋体" w:hAnsi="宋体" w:cs="宋体"/>
                <w:b/>
                <w:bCs/>
                <w:color w:val="000000"/>
                <w:szCs w:val="21"/>
                <w:u w:val="single"/>
              </w:rPr>
              <w:t>防护距离m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08" w:type="dxa"/>
            <w:vMerge w:val="restart"/>
            <w:vAlign w:val="center"/>
          </w:tcPr>
          <w:p>
            <w:pPr>
              <w:spacing w:line="240" w:lineRule="atLeast"/>
              <w:jc w:val="center"/>
              <w:rPr>
                <w:rFonts w:ascii="宋体" w:hAnsi="宋体" w:cs="宋体"/>
                <w:b/>
                <w:bCs/>
                <w:color w:val="000000"/>
                <w:szCs w:val="21"/>
                <w:u w:val="single"/>
              </w:rPr>
            </w:pPr>
            <w:r>
              <w:rPr>
                <w:rFonts w:hint="eastAsia" w:ascii="宋体" w:hAnsi="宋体" w:cs="宋体"/>
                <w:b/>
                <w:bCs/>
                <w:color w:val="000000"/>
                <w:szCs w:val="21"/>
                <w:u w:val="single"/>
              </w:rPr>
              <w:t>场区</w:t>
            </w:r>
          </w:p>
        </w:tc>
        <w:tc>
          <w:tcPr>
            <w:tcW w:w="852"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H</w:t>
            </w:r>
            <w:r>
              <w:rPr>
                <w:rFonts w:hint="eastAsia" w:ascii="宋体" w:hAnsi="宋体" w:cs="宋体"/>
                <w:b/>
                <w:bCs/>
                <w:color w:val="000000"/>
                <w:szCs w:val="21"/>
                <w:u w:val="single"/>
                <w:vertAlign w:val="subscript"/>
              </w:rPr>
              <w:t>2</w:t>
            </w:r>
            <w:r>
              <w:rPr>
                <w:rFonts w:hint="eastAsia" w:ascii="宋体" w:hAnsi="宋体" w:cs="宋体"/>
                <w:b/>
                <w:bCs/>
                <w:color w:val="000000"/>
                <w:szCs w:val="21"/>
                <w:u w:val="single"/>
              </w:rPr>
              <w:t>S</w:t>
            </w:r>
          </w:p>
        </w:tc>
        <w:tc>
          <w:tcPr>
            <w:tcW w:w="997"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0.014</w:t>
            </w:r>
          </w:p>
        </w:tc>
        <w:tc>
          <w:tcPr>
            <w:tcW w:w="1142" w:type="dxa"/>
            <w:vMerge w:val="restart"/>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510×265</w:t>
            </w:r>
          </w:p>
        </w:tc>
        <w:tc>
          <w:tcPr>
            <w:tcW w:w="945" w:type="dxa"/>
            <w:vMerge w:val="restart"/>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3</w:t>
            </w:r>
          </w:p>
        </w:tc>
        <w:tc>
          <w:tcPr>
            <w:tcW w:w="1500"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0.01</w:t>
            </w:r>
          </w:p>
        </w:tc>
        <w:tc>
          <w:tcPr>
            <w:tcW w:w="1702"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08" w:type="dxa"/>
            <w:vMerge w:val="continue"/>
            <w:vAlign w:val="center"/>
          </w:tcPr>
          <w:p>
            <w:pPr>
              <w:jc w:val="center"/>
              <w:rPr>
                <w:rFonts w:ascii="宋体" w:hAnsi="宋体" w:cs="宋体"/>
                <w:b/>
                <w:bCs/>
                <w:color w:val="000000"/>
                <w:szCs w:val="21"/>
                <w:u w:val="single"/>
              </w:rPr>
            </w:pPr>
          </w:p>
        </w:tc>
        <w:tc>
          <w:tcPr>
            <w:tcW w:w="852"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NH</w:t>
            </w:r>
            <w:r>
              <w:rPr>
                <w:rFonts w:hint="eastAsia" w:ascii="宋体" w:hAnsi="宋体" w:cs="宋体"/>
                <w:b/>
                <w:bCs/>
                <w:color w:val="000000"/>
                <w:szCs w:val="21"/>
                <w:u w:val="single"/>
                <w:vertAlign w:val="subscript"/>
              </w:rPr>
              <w:t>3</w:t>
            </w:r>
          </w:p>
        </w:tc>
        <w:tc>
          <w:tcPr>
            <w:tcW w:w="997"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0.185</w:t>
            </w:r>
          </w:p>
        </w:tc>
        <w:tc>
          <w:tcPr>
            <w:tcW w:w="1142" w:type="dxa"/>
            <w:vMerge w:val="continue"/>
            <w:vAlign w:val="center"/>
          </w:tcPr>
          <w:p>
            <w:pPr>
              <w:jc w:val="center"/>
              <w:rPr>
                <w:rFonts w:ascii="宋体" w:hAnsi="宋体" w:cs="宋体"/>
                <w:b/>
                <w:bCs/>
                <w:color w:val="000000"/>
                <w:szCs w:val="21"/>
                <w:u w:val="single"/>
              </w:rPr>
            </w:pPr>
          </w:p>
        </w:tc>
        <w:tc>
          <w:tcPr>
            <w:tcW w:w="945" w:type="dxa"/>
            <w:vMerge w:val="continue"/>
            <w:vAlign w:val="center"/>
          </w:tcPr>
          <w:p>
            <w:pPr>
              <w:jc w:val="center"/>
              <w:rPr>
                <w:rFonts w:ascii="宋体" w:hAnsi="宋体" w:cs="宋体"/>
                <w:b/>
                <w:bCs/>
                <w:color w:val="000000"/>
                <w:szCs w:val="21"/>
                <w:u w:val="single"/>
              </w:rPr>
            </w:pPr>
          </w:p>
        </w:tc>
        <w:tc>
          <w:tcPr>
            <w:tcW w:w="1500"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0.20</w:t>
            </w:r>
          </w:p>
        </w:tc>
        <w:tc>
          <w:tcPr>
            <w:tcW w:w="1702" w:type="dxa"/>
          </w:tcPr>
          <w:p>
            <w:pPr>
              <w:jc w:val="center"/>
              <w:rPr>
                <w:rFonts w:ascii="宋体" w:hAnsi="宋体" w:cs="宋体"/>
                <w:b/>
                <w:bCs/>
                <w:color w:val="000000"/>
                <w:szCs w:val="21"/>
                <w:u w:val="single"/>
              </w:rPr>
            </w:pPr>
            <w:r>
              <w:rPr>
                <w:rFonts w:hint="eastAsia" w:ascii="宋体" w:hAnsi="宋体" w:cs="宋体"/>
                <w:b/>
                <w:bCs/>
                <w:color w:val="000000"/>
                <w:szCs w:val="21"/>
                <w:u w:val="single"/>
              </w:rPr>
              <w:t>0</w:t>
            </w:r>
          </w:p>
        </w:tc>
      </w:tr>
    </w:tbl>
    <w:p>
      <w:pPr>
        <w:adjustRightInd w:val="0"/>
        <w:snapToGrid w:val="0"/>
        <w:spacing w:line="500" w:lineRule="exact"/>
        <w:ind w:firstLine="482" w:firstLineChars="200"/>
        <w:rPr>
          <w:b/>
          <w:bCs/>
          <w:color w:val="000000"/>
          <w:sz w:val="24"/>
          <w:u w:val="single"/>
        </w:rPr>
      </w:pPr>
      <w:r>
        <w:rPr>
          <w:b/>
          <w:bCs/>
          <w:color w:val="000000"/>
          <w:sz w:val="24"/>
          <w:u w:val="single"/>
        </w:rPr>
        <w:t>（2）卫生防护距离核定</w:t>
      </w:r>
    </w:p>
    <w:p>
      <w:pPr>
        <w:adjustRightInd w:val="0"/>
        <w:snapToGrid w:val="0"/>
        <w:spacing w:line="500" w:lineRule="exact"/>
        <w:ind w:firstLine="482" w:firstLineChars="200"/>
        <w:rPr>
          <w:b/>
          <w:bCs/>
          <w:color w:val="000000"/>
          <w:sz w:val="24"/>
          <w:u w:val="single"/>
        </w:rPr>
      </w:pPr>
      <w:r>
        <w:rPr>
          <w:b/>
          <w:bCs/>
          <w:color w:val="000000"/>
          <w:sz w:val="24"/>
          <w:u w:val="single"/>
        </w:rPr>
        <w:t>依据《制定地方大气污染物排放标准的技术方法》(GB/T3840-1991)卫生防护距离确定方法，无组织排放源所在的生产单元（生产车间）与居住区之间应设置卫生防护距离，其计算公式为：</w:t>
      </w:r>
    </w:p>
    <w:p>
      <w:pPr>
        <w:adjustRightInd w:val="0"/>
        <w:snapToGrid w:val="0"/>
        <w:spacing w:line="360" w:lineRule="auto"/>
        <w:ind w:firstLine="482" w:firstLineChars="200"/>
        <w:jc w:val="center"/>
        <w:rPr>
          <w:b/>
          <w:bCs/>
          <w:color w:val="000000"/>
          <w:sz w:val="24"/>
          <w:u w:val="single"/>
        </w:rPr>
      </w:pPr>
      <w:r>
        <w:rPr>
          <w:b/>
          <w:bCs/>
          <w:color w:val="000000"/>
          <w:sz w:val="24"/>
          <w:u w:val="single"/>
        </w:rPr>
        <w:drawing>
          <wp:inline distT="0" distB="0" distL="0" distR="0">
            <wp:extent cx="2324100" cy="476250"/>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37" cstate="print"/>
                    <a:srcRect/>
                    <a:stretch>
                      <a:fillRect/>
                    </a:stretch>
                  </pic:blipFill>
                  <pic:spPr>
                    <a:xfrm>
                      <a:off x="0" y="0"/>
                      <a:ext cx="2324100" cy="476250"/>
                    </a:xfrm>
                    <a:prstGeom prst="rect">
                      <a:avLst/>
                    </a:prstGeom>
                    <a:noFill/>
                    <a:ln w="9525">
                      <a:noFill/>
                      <a:miter lim="800000"/>
                      <a:headEnd/>
                      <a:tailEnd/>
                    </a:ln>
                  </pic:spPr>
                </pic:pic>
              </a:graphicData>
            </a:graphic>
          </wp:inline>
        </w:drawing>
      </w:r>
    </w:p>
    <w:p>
      <w:pPr>
        <w:adjustRightInd w:val="0"/>
        <w:snapToGrid w:val="0"/>
        <w:spacing w:line="500" w:lineRule="exact"/>
        <w:ind w:firstLine="482" w:firstLineChars="200"/>
        <w:rPr>
          <w:b/>
          <w:bCs/>
          <w:color w:val="000000"/>
          <w:sz w:val="24"/>
          <w:u w:val="single"/>
        </w:rPr>
      </w:pPr>
      <w:r>
        <w:rPr>
          <w:b/>
          <w:bCs/>
          <w:color w:val="000000"/>
          <w:sz w:val="24"/>
          <w:u w:val="single"/>
        </w:rPr>
        <w:t>式中：C</w:t>
      </w:r>
      <w:r>
        <w:rPr>
          <w:b/>
          <w:bCs/>
          <w:color w:val="000000"/>
          <w:sz w:val="24"/>
          <w:u w:val="single"/>
          <w:vertAlign w:val="subscript"/>
        </w:rPr>
        <w:t>m</w:t>
      </w:r>
      <w:r>
        <w:rPr>
          <w:b/>
          <w:bCs/>
          <w:color w:val="000000"/>
          <w:sz w:val="24"/>
          <w:u w:val="single"/>
        </w:rPr>
        <w:t>—标准浓度限值，mg/Nm</w:t>
      </w:r>
      <w:r>
        <w:rPr>
          <w:b/>
          <w:bCs/>
          <w:color w:val="000000"/>
          <w:sz w:val="24"/>
          <w:u w:val="single"/>
          <w:vertAlign w:val="superscript"/>
        </w:rPr>
        <w:t>3</w:t>
      </w:r>
      <w:r>
        <w:rPr>
          <w:b/>
          <w:bCs/>
          <w:color w:val="000000"/>
          <w:sz w:val="24"/>
          <w:u w:val="single"/>
        </w:rPr>
        <w:t>，取值分别为NH</w:t>
      </w:r>
      <w:r>
        <w:rPr>
          <w:b/>
          <w:bCs/>
          <w:color w:val="000000"/>
          <w:sz w:val="24"/>
          <w:u w:val="single"/>
          <w:vertAlign w:val="subscript"/>
        </w:rPr>
        <w:t>3</w:t>
      </w:r>
      <w:r>
        <w:rPr>
          <w:b/>
          <w:bCs/>
          <w:color w:val="000000"/>
          <w:sz w:val="24"/>
          <w:u w:val="single"/>
        </w:rPr>
        <w:t>为0.2，H</w:t>
      </w:r>
      <w:r>
        <w:rPr>
          <w:b/>
          <w:bCs/>
          <w:color w:val="000000"/>
          <w:sz w:val="24"/>
          <w:u w:val="single"/>
          <w:vertAlign w:val="subscript"/>
        </w:rPr>
        <w:t>2</w:t>
      </w:r>
      <w:r>
        <w:rPr>
          <w:b/>
          <w:bCs/>
          <w:color w:val="000000"/>
          <w:sz w:val="24"/>
          <w:u w:val="single"/>
        </w:rPr>
        <w:t>S为0.01（按居住区标准，即《环境影响评价技术导则 大气环境（HJ2.2-2018）》中附录D。</w:t>
      </w:r>
    </w:p>
    <w:p>
      <w:pPr>
        <w:adjustRightInd w:val="0"/>
        <w:snapToGrid w:val="0"/>
        <w:spacing w:line="500" w:lineRule="exact"/>
        <w:ind w:firstLine="1205" w:firstLineChars="500"/>
        <w:rPr>
          <w:b/>
          <w:bCs/>
          <w:color w:val="000000"/>
          <w:sz w:val="24"/>
          <w:u w:val="single"/>
        </w:rPr>
      </w:pPr>
      <w:r>
        <w:rPr>
          <w:b/>
          <w:bCs/>
          <w:color w:val="000000"/>
          <w:sz w:val="24"/>
          <w:u w:val="single"/>
        </w:rPr>
        <w:t>L—工业企业所需卫生防护距离，m。</w:t>
      </w:r>
    </w:p>
    <w:p>
      <w:pPr>
        <w:adjustRightInd w:val="0"/>
        <w:snapToGrid w:val="0"/>
        <w:spacing w:line="500" w:lineRule="exact"/>
        <w:ind w:firstLine="1205" w:firstLineChars="500"/>
        <w:rPr>
          <w:b/>
          <w:bCs/>
          <w:color w:val="000000"/>
          <w:sz w:val="24"/>
          <w:u w:val="single"/>
        </w:rPr>
      </w:pPr>
      <w:r>
        <w:rPr>
          <w:b/>
          <w:bCs/>
          <w:color w:val="000000"/>
          <w:sz w:val="24"/>
          <w:u w:val="single"/>
        </w:rPr>
        <w:t>r—有害气体无组织排放源所在生产单元的等效半径，m。根据该生产单元占地面积S(m</w:t>
      </w:r>
      <w:r>
        <w:rPr>
          <w:b/>
          <w:bCs/>
          <w:color w:val="000000"/>
          <w:sz w:val="24"/>
          <w:u w:val="single"/>
          <w:vertAlign w:val="superscript"/>
        </w:rPr>
        <w:t>2</w:t>
      </w:r>
      <w:r>
        <w:rPr>
          <w:b/>
          <w:bCs/>
          <w:color w:val="000000"/>
          <w:sz w:val="24"/>
          <w:u w:val="single"/>
        </w:rPr>
        <w:t>)计算，r=(S/</w:t>
      </w:r>
      <w:r>
        <w:rPr>
          <w:b/>
          <w:bCs/>
          <w:color w:val="000000"/>
          <w:sz w:val="24"/>
          <w:u w:val="single"/>
        </w:rPr>
        <w:sym w:font="Symbol" w:char="F070"/>
      </w:r>
      <w:r>
        <w:rPr>
          <w:b/>
          <w:bCs/>
          <w:color w:val="000000"/>
          <w:sz w:val="24"/>
          <w:u w:val="single"/>
        </w:rPr>
        <w:t>)</w:t>
      </w:r>
      <w:r>
        <w:rPr>
          <w:b/>
          <w:bCs/>
          <w:color w:val="000000"/>
          <w:sz w:val="24"/>
          <w:u w:val="single"/>
          <w:vertAlign w:val="superscript"/>
        </w:rPr>
        <w:t>0.5</w:t>
      </w:r>
      <w:r>
        <w:rPr>
          <w:b/>
          <w:bCs/>
          <w:color w:val="000000"/>
          <w:sz w:val="24"/>
          <w:u w:val="single"/>
        </w:rPr>
        <w:t>。</w:t>
      </w:r>
    </w:p>
    <w:p>
      <w:pPr>
        <w:adjustRightInd w:val="0"/>
        <w:snapToGrid w:val="0"/>
        <w:spacing w:line="500" w:lineRule="exact"/>
        <w:ind w:firstLine="1205" w:firstLineChars="500"/>
        <w:rPr>
          <w:b/>
          <w:bCs/>
          <w:color w:val="000000"/>
          <w:sz w:val="24"/>
          <w:u w:val="single"/>
        </w:rPr>
      </w:pPr>
      <w:r>
        <w:rPr>
          <w:b/>
          <w:bCs/>
          <w:color w:val="000000"/>
          <w:sz w:val="24"/>
          <w:u w:val="single"/>
        </w:rPr>
        <w:t>A，B，C，D—卫生防护距离计算系数，无因次，根据工业企业所在地区近五年平均风速及工业企业大气污染源构成类别确定；v=1.9m/s，L≤1000m，工业企业大气污染源构成类型为</w:t>
      </w:r>
      <w:r>
        <w:rPr>
          <w:b/>
          <w:bCs/>
          <w:color w:val="000000"/>
          <w:sz w:val="24"/>
          <w:u w:val="single"/>
        </w:rPr>
        <w:fldChar w:fldCharType="begin"/>
      </w:r>
      <w:r>
        <w:rPr>
          <w:b/>
          <w:bCs/>
          <w:color w:val="000000"/>
          <w:sz w:val="24"/>
          <w:u w:val="single"/>
        </w:rPr>
        <w:instrText xml:space="preserve">= 3 \* ROMAN</w:instrText>
      </w:r>
      <w:r>
        <w:rPr>
          <w:b/>
          <w:bCs/>
          <w:color w:val="000000"/>
          <w:sz w:val="24"/>
          <w:u w:val="single"/>
        </w:rPr>
        <w:fldChar w:fldCharType="separate"/>
      </w:r>
      <w:r>
        <w:rPr>
          <w:b/>
          <w:bCs/>
          <w:color w:val="000000"/>
          <w:sz w:val="24"/>
          <w:u w:val="single"/>
        </w:rPr>
        <w:t>III</w:t>
      </w:r>
      <w:r>
        <w:rPr>
          <w:b/>
          <w:bCs/>
          <w:color w:val="000000"/>
          <w:sz w:val="24"/>
          <w:u w:val="single"/>
        </w:rPr>
        <w:fldChar w:fldCharType="end"/>
      </w:r>
      <w:r>
        <w:rPr>
          <w:b/>
          <w:bCs/>
          <w:color w:val="000000"/>
          <w:sz w:val="24"/>
          <w:u w:val="single"/>
        </w:rPr>
        <w:t>类，取值A=400，B=0.010，C=1.85，D=0.78。</w:t>
      </w:r>
    </w:p>
    <w:p>
      <w:pPr>
        <w:adjustRightInd w:val="0"/>
        <w:snapToGrid w:val="0"/>
        <w:spacing w:line="500" w:lineRule="exact"/>
        <w:ind w:firstLine="1205" w:firstLineChars="500"/>
        <w:rPr>
          <w:b/>
          <w:bCs/>
          <w:color w:val="000000"/>
          <w:sz w:val="24"/>
          <w:u w:val="single"/>
        </w:rPr>
      </w:pPr>
      <w:r>
        <w:rPr>
          <w:b/>
          <w:bCs/>
          <w:color w:val="000000"/>
          <w:sz w:val="24"/>
          <w:u w:val="single"/>
        </w:rPr>
        <w:t>Q</w:t>
      </w:r>
      <w:r>
        <w:rPr>
          <w:b/>
          <w:bCs/>
          <w:color w:val="000000"/>
          <w:sz w:val="24"/>
          <w:u w:val="single"/>
          <w:vertAlign w:val="subscript"/>
        </w:rPr>
        <w:t>c</w:t>
      </w:r>
      <w:r>
        <w:rPr>
          <w:b/>
          <w:bCs/>
          <w:color w:val="000000"/>
          <w:sz w:val="24"/>
          <w:u w:val="single"/>
        </w:rPr>
        <w:t>—工业企业有害气体无组织排放量可以达到的控制水平，kg/h。</w:t>
      </w:r>
    </w:p>
    <w:p>
      <w:pPr>
        <w:spacing w:line="500" w:lineRule="exact"/>
        <w:ind w:firstLine="482" w:firstLineChars="200"/>
        <w:jc w:val="left"/>
        <w:rPr>
          <w:b/>
          <w:bCs/>
          <w:color w:val="000000"/>
          <w:szCs w:val="21"/>
          <w:u w:val="single"/>
        </w:rPr>
      </w:pPr>
      <w:r>
        <w:rPr>
          <w:b/>
          <w:bCs/>
          <w:color w:val="000000"/>
          <w:sz w:val="24"/>
          <w:szCs w:val="22"/>
          <w:u w:val="single"/>
        </w:rPr>
        <w:t>依照上述公式无组织排放单元与居住区之间卫生防护距离计算参数及其结果见表4-20。</w:t>
      </w:r>
    </w:p>
    <w:p>
      <w:pPr>
        <w:spacing w:beforeLines="50" w:afterLines="50"/>
        <w:jc w:val="center"/>
        <w:rPr>
          <w:b/>
          <w:bCs/>
          <w:color w:val="000000"/>
          <w:szCs w:val="21"/>
          <w:u w:val="single"/>
        </w:rPr>
      </w:pPr>
      <w:r>
        <w:rPr>
          <w:b/>
          <w:bCs/>
          <w:color w:val="000000"/>
          <w:szCs w:val="21"/>
          <w:u w:val="single"/>
        </w:rPr>
        <w:t>表4-20  无组织排放单元卫生防护距离计算参数及其结果</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852"/>
        <w:gridCol w:w="850"/>
        <w:gridCol w:w="1134"/>
        <w:gridCol w:w="567"/>
        <w:gridCol w:w="710"/>
        <w:gridCol w:w="567"/>
        <w:gridCol w:w="569"/>
        <w:gridCol w:w="1417"/>
        <w:gridCol w:w="10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1242" w:type="dxa"/>
            <w:vMerge w:val="restart"/>
            <w:vAlign w:val="center"/>
          </w:tcPr>
          <w:p>
            <w:pPr>
              <w:spacing w:line="260" w:lineRule="exact"/>
              <w:jc w:val="center"/>
              <w:rPr>
                <w:rFonts w:ascii="宋体" w:hAnsi="宋体" w:cs="宋体"/>
                <w:b/>
                <w:bCs/>
                <w:color w:val="000000"/>
                <w:szCs w:val="21"/>
                <w:u w:val="single"/>
              </w:rPr>
            </w:pPr>
            <w:r>
              <w:rPr>
                <w:rFonts w:hint="eastAsia" w:ascii="宋体" w:hAnsi="宋体" w:cs="宋体"/>
                <w:b/>
                <w:bCs/>
                <w:color w:val="000000"/>
                <w:szCs w:val="21"/>
                <w:u w:val="single"/>
              </w:rPr>
              <w:t>无组织</w:t>
            </w:r>
          </w:p>
          <w:p>
            <w:pPr>
              <w:spacing w:line="260" w:lineRule="exact"/>
              <w:jc w:val="center"/>
              <w:rPr>
                <w:rFonts w:ascii="宋体" w:hAnsi="宋体" w:cs="宋体"/>
                <w:b/>
                <w:bCs/>
                <w:color w:val="000000"/>
                <w:szCs w:val="21"/>
                <w:u w:val="single"/>
              </w:rPr>
            </w:pPr>
            <w:r>
              <w:rPr>
                <w:rFonts w:hint="eastAsia" w:ascii="宋体" w:hAnsi="宋体" w:cs="宋体"/>
                <w:b/>
                <w:bCs/>
                <w:color w:val="000000"/>
                <w:szCs w:val="21"/>
                <w:u w:val="single"/>
              </w:rPr>
              <w:t>排放源</w:t>
            </w:r>
          </w:p>
        </w:tc>
        <w:tc>
          <w:tcPr>
            <w:tcW w:w="852" w:type="dxa"/>
            <w:vMerge w:val="restart"/>
            <w:vAlign w:val="center"/>
          </w:tcPr>
          <w:p>
            <w:pPr>
              <w:spacing w:line="260" w:lineRule="exact"/>
              <w:jc w:val="center"/>
              <w:rPr>
                <w:rFonts w:ascii="宋体" w:hAnsi="宋体" w:cs="宋体"/>
                <w:b/>
                <w:bCs/>
                <w:color w:val="000000"/>
                <w:szCs w:val="21"/>
                <w:u w:val="single"/>
              </w:rPr>
            </w:pPr>
            <w:r>
              <w:rPr>
                <w:rFonts w:hint="eastAsia" w:ascii="宋体" w:hAnsi="宋体" w:cs="宋体"/>
                <w:b/>
                <w:bCs/>
                <w:color w:val="000000"/>
                <w:szCs w:val="21"/>
                <w:u w:val="single"/>
              </w:rPr>
              <w:t>主要</w:t>
            </w:r>
          </w:p>
          <w:p>
            <w:pPr>
              <w:spacing w:line="260" w:lineRule="exact"/>
              <w:jc w:val="center"/>
              <w:rPr>
                <w:rFonts w:ascii="宋体" w:hAnsi="宋体" w:cs="宋体"/>
                <w:b/>
                <w:bCs/>
                <w:color w:val="000000"/>
                <w:szCs w:val="21"/>
                <w:u w:val="single"/>
              </w:rPr>
            </w:pPr>
            <w:r>
              <w:rPr>
                <w:rFonts w:hint="eastAsia" w:ascii="宋体" w:hAnsi="宋体" w:cs="宋体"/>
                <w:b/>
                <w:bCs/>
                <w:color w:val="000000"/>
                <w:szCs w:val="21"/>
                <w:u w:val="single"/>
              </w:rPr>
              <w:t>污染物</w:t>
            </w:r>
          </w:p>
        </w:tc>
        <w:tc>
          <w:tcPr>
            <w:tcW w:w="850" w:type="dxa"/>
            <w:vMerge w:val="restart"/>
            <w:vAlign w:val="center"/>
          </w:tcPr>
          <w:p>
            <w:pPr>
              <w:spacing w:line="260" w:lineRule="exact"/>
              <w:jc w:val="center"/>
              <w:rPr>
                <w:rFonts w:ascii="宋体" w:hAnsi="宋体" w:cs="宋体"/>
                <w:b/>
                <w:bCs/>
                <w:color w:val="000000"/>
                <w:szCs w:val="21"/>
                <w:u w:val="single"/>
              </w:rPr>
            </w:pPr>
            <w:r>
              <w:rPr>
                <w:rFonts w:hint="eastAsia" w:ascii="宋体" w:hAnsi="宋体" w:cs="宋体"/>
                <w:b/>
                <w:bCs/>
                <w:color w:val="000000"/>
                <w:szCs w:val="21"/>
                <w:u w:val="single"/>
              </w:rPr>
              <w:t>排放量kg/h</w:t>
            </w:r>
          </w:p>
        </w:tc>
        <w:tc>
          <w:tcPr>
            <w:tcW w:w="1134" w:type="dxa"/>
            <w:vMerge w:val="restart"/>
            <w:vAlign w:val="center"/>
          </w:tcPr>
          <w:p>
            <w:pPr>
              <w:spacing w:line="260" w:lineRule="exact"/>
              <w:jc w:val="center"/>
              <w:rPr>
                <w:rFonts w:ascii="宋体" w:hAnsi="宋体" w:cs="宋体"/>
                <w:b/>
                <w:bCs/>
                <w:color w:val="000000"/>
                <w:szCs w:val="21"/>
                <w:u w:val="single"/>
              </w:rPr>
            </w:pPr>
            <w:r>
              <w:rPr>
                <w:rFonts w:hint="eastAsia" w:ascii="宋体" w:hAnsi="宋体" w:cs="宋体"/>
                <w:b/>
                <w:bCs/>
                <w:color w:val="000000"/>
                <w:szCs w:val="21"/>
                <w:u w:val="single"/>
              </w:rPr>
              <w:t>评价标准</w:t>
            </w:r>
          </w:p>
          <w:p>
            <w:pPr>
              <w:spacing w:line="260" w:lineRule="exact"/>
              <w:jc w:val="center"/>
              <w:rPr>
                <w:rFonts w:ascii="宋体" w:hAnsi="宋体" w:cs="宋体"/>
                <w:b/>
                <w:bCs/>
                <w:color w:val="000000"/>
                <w:szCs w:val="21"/>
                <w:u w:val="single"/>
              </w:rPr>
            </w:pPr>
            <w:r>
              <w:rPr>
                <w:rFonts w:hint="eastAsia" w:ascii="宋体" w:hAnsi="宋体" w:cs="宋体"/>
                <w:b/>
                <w:bCs/>
                <w:color w:val="000000"/>
                <w:szCs w:val="21"/>
                <w:u w:val="single"/>
              </w:rPr>
              <w:t>mg/m</w:t>
            </w:r>
            <w:r>
              <w:rPr>
                <w:rFonts w:hint="eastAsia" w:ascii="宋体" w:hAnsi="宋体" w:cs="宋体"/>
                <w:b/>
                <w:bCs/>
                <w:color w:val="000000"/>
                <w:szCs w:val="21"/>
                <w:u w:val="single"/>
                <w:vertAlign w:val="superscript"/>
              </w:rPr>
              <w:t>3</w:t>
            </w:r>
          </w:p>
        </w:tc>
        <w:tc>
          <w:tcPr>
            <w:tcW w:w="2413" w:type="dxa"/>
            <w:gridSpan w:val="4"/>
            <w:vAlign w:val="center"/>
          </w:tcPr>
          <w:p>
            <w:pPr>
              <w:spacing w:line="260" w:lineRule="exact"/>
              <w:jc w:val="center"/>
              <w:rPr>
                <w:rFonts w:ascii="宋体" w:hAnsi="宋体" w:cs="宋体"/>
                <w:b/>
                <w:bCs/>
                <w:color w:val="000000"/>
                <w:szCs w:val="21"/>
                <w:u w:val="single"/>
              </w:rPr>
            </w:pPr>
            <w:r>
              <w:rPr>
                <w:rFonts w:hint="eastAsia" w:ascii="宋体" w:hAnsi="宋体" w:cs="宋体"/>
                <w:b/>
                <w:bCs/>
                <w:color w:val="000000"/>
                <w:szCs w:val="21"/>
                <w:u w:val="single"/>
              </w:rPr>
              <w:t>计算参数</w:t>
            </w:r>
          </w:p>
        </w:tc>
        <w:tc>
          <w:tcPr>
            <w:tcW w:w="1417" w:type="dxa"/>
            <w:vMerge w:val="restart"/>
            <w:vAlign w:val="center"/>
          </w:tcPr>
          <w:p>
            <w:pPr>
              <w:spacing w:line="260" w:lineRule="exact"/>
              <w:jc w:val="center"/>
              <w:rPr>
                <w:rFonts w:ascii="宋体" w:hAnsi="宋体" w:cs="宋体"/>
                <w:b/>
                <w:bCs/>
                <w:color w:val="000000"/>
                <w:szCs w:val="21"/>
                <w:u w:val="single"/>
              </w:rPr>
            </w:pPr>
            <w:r>
              <w:rPr>
                <w:rFonts w:hint="eastAsia" w:ascii="宋体" w:hAnsi="宋体" w:cs="宋体"/>
                <w:b/>
                <w:bCs/>
                <w:color w:val="000000"/>
                <w:szCs w:val="21"/>
                <w:u w:val="single"/>
              </w:rPr>
              <w:t>卫生防护距离</w:t>
            </w:r>
          </w:p>
          <w:p>
            <w:pPr>
              <w:spacing w:line="260" w:lineRule="exact"/>
              <w:jc w:val="center"/>
              <w:rPr>
                <w:rFonts w:ascii="宋体" w:hAnsi="宋体" w:cs="宋体"/>
                <w:b/>
                <w:bCs/>
                <w:color w:val="000000"/>
                <w:szCs w:val="21"/>
                <w:u w:val="single"/>
              </w:rPr>
            </w:pPr>
            <w:r>
              <w:rPr>
                <w:rFonts w:hint="eastAsia" w:ascii="宋体" w:hAnsi="宋体" w:cs="宋体"/>
                <w:b/>
                <w:bCs/>
                <w:color w:val="000000"/>
                <w:szCs w:val="21"/>
                <w:u w:val="single"/>
              </w:rPr>
              <w:t>计算值（m）</w:t>
            </w:r>
          </w:p>
        </w:tc>
        <w:tc>
          <w:tcPr>
            <w:tcW w:w="1038" w:type="dxa"/>
            <w:vMerge w:val="restart"/>
            <w:vAlign w:val="center"/>
          </w:tcPr>
          <w:p>
            <w:pPr>
              <w:spacing w:line="260" w:lineRule="exact"/>
              <w:jc w:val="center"/>
              <w:rPr>
                <w:rFonts w:ascii="宋体" w:hAnsi="宋体" w:cs="宋体"/>
                <w:b/>
                <w:bCs/>
                <w:color w:val="000000"/>
                <w:szCs w:val="21"/>
                <w:u w:val="single"/>
              </w:rPr>
            </w:pPr>
            <w:r>
              <w:rPr>
                <w:rFonts w:hint="eastAsia" w:ascii="宋体" w:hAnsi="宋体" w:cs="宋体"/>
                <w:b/>
                <w:bCs/>
                <w:color w:val="000000"/>
                <w:szCs w:val="21"/>
                <w:u w:val="single"/>
              </w:rPr>
              <w:t>提级后</w:t>
            </w:r>
          </w:p>
          <w:p>
            <w:pPr>
              <w:spacing w:line="260" w:lineRule="exact"/>
              <w:jc w:val="center"/>
              <w:rPr>
                <w:rFonts w:ascii="宋体" w:hAnsi="宋体" w:cs="宋体"/>
                <w:b/>
                <w:bCs/>
                <w:color w:val="000000"/>
                <w:szCs w:val="21"/>
                <w:u w:val="single"/>
              </w:rPr>
            </w:pPr>
            <w:r>
              <w:rPr>
                <w:rFonts w:hint="eastAsia" w:ascii="宋体" w:hAnsi="宋体" w:cs="宋体"/>
                <w:b/>
                <w:bCs/>
                <w:color w:val="000000"/>
                <w:szCs w:val="21"/>
                <w:u w:val="single"/>
              </w:rPr>
              <w:t>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1242" w:type="dxa"/>
            <w:vMerge w:val="continue"/>
            <w:vAlign w:val="center"/>
          </w:tcPr>
          <w:p>
            <w:pPr>
              <w:jc w:val="center"/>
              <w:rPr>
                <w:rFonts w:ascii="宋体" w:hAnsi="宋体" w:cs="宋体"/>
                <w:b/>
                <w:bCs/>
                <w:color w:val="000000"/>
                <w:szCs w:val="21"/>
                <w:u w:val="single"/>
              </w:rPr>
            </w:pPr>
          </w:p>
        </w:tc>
        <w:tc>
          <w:tcPr>
            <w:tcW w:w="852" w:type="dxa"/>
            <w:vMerge w:val="continue"/>
            <w:vAlign w:val="center"/>
          </w:tcPr>
          <w:p>
            <w:pPr>
              <w:jc w:val="center"/>
              <w:rPr>
                <w:rFonts w:ascii="宋体" w:hAnsi="宋体" w:cs="宋体"/>
                <w:b/>
                <w:bCs/>
                <w:color w:val="000000"/>
                <w:szCs w:val="21"/>
                <w:u w:val="single"/>
              </w:rPr>
            </w:pPr>
          </w:p>
        </w:tc>
        <w:tc>
          <w:tcPr>
            <w:tcW w:w="850" w:type="dxa"/>
            <w:vMerge w:val="continue"/>
            <w:vAlign w:val="center"/>
          </w:tcPr>
          <w:p>
            <w:pPr>
              <w:jc w:val="center"/>
              <w:rPr>
                <w:rFonts w:ascii="宋体" w:hAnsi="宋体" w:cs="宋体"/>
                <w:b/>
                <w:bCs/>
                <w:color w:val="000000"/>
                <w:szCs w:val="21"/>
                <w:u w:val="single"/>
              </w:rPr>
            </w:pPr>
          </w:p>
        </w:tc>
        <w:tc>
          <w:tcPr>
            <w:tcW w:w="1134" w:type="dxa"/>
            <w:vMerge w:val="continue"/>
            <w:vAlign w:val="center"/>
          </w:tcPr>
          <w:p>
            <w:pPr>
              <w:jc w:val="center"/>
              <w:rPr>
                <w:rFonts w:ascii="宋体" w:hAnsi="宋体" w:cs="宋体"/>
                <w:b/>
                <w:bCs/>
                <w:color w:val="000000"/>
                <w:szCs w:val="21"/>
                <w:u w:val="single"/>
              </w:rPr>
            </w:pPr>
          </w:p>
        </w:tc>
        <w:tc>
          <w:tcPr>
            <w:tcW w:w="567" w:type="dxa"/>
            <w:vAlign w:val="center"/>
          </w:tcPr>
          <w:p>
            <w:pPr>
              <w:spacing w:line="320" w:lineRule="exact"/>
              <w:jc w:val="center"/>
              <w:rPr>
                <w:rFonts w:ascii="宋体" w:hAnsi="宋体" w:cs="宋体"/>
                <w:b/>
                <w:bCs/>
                <w:color w:val="000000"/>
                <w:szCs w:val="21"/>
                <w:u w:val="single"/>
              </w:rPr>
            </w:pPr>
            <w:r>
              <w:rPr>
                <w:rFonts w:hint="eastAsia" w:ascii="宋体" w:hAnsi="宋体" w:cs="宋体"/>
                <w:b/>
                <w:bCs/>
                <w:color w:val="000000"/>
                <w:szCs w:val="21"/>
                <w:u w:val="single"/>
              </w:rPr>
              <w:t>A</w:t>
            </w:r>
          </w:p>
        </w:tc>
        <w:tc>
          <w:tcPr>
            <w:tcW w:w="710" w:type="dxa"/>
            <w:vAlign w:val="center"/>
          </w:tcPr>
          <w:p>
            <w:pPr>
              <w:spacing w:line="320" w:lineRule="exact"/>
              <w:jc w:val="center"/>
              <w:rPr>
                <w:rFonts w:ascii="宋体" w:hAnsi="宋体" w:cs="宋体"/>
                <w:b/>
                <w:bCs/>
                <w:color w:val="000000"/>
                <w:szCs w:val="21"/>
                <w:u w:val="single"/>
              </w:rPr>
            </w:pPr>
            <w:r>
              <w:rPr>
                <w:rFonts w:hint="eastAsia" w:ascii="宋体" w:hAnsi="宋体" w:cs="宋体"/>
                <w:b/>
                <w:bCs/>
                <w:color w:val="000000"/>
                <w:szCs w:val="21"/>
                <w:u w:val="single"/>
              </w:rPr>
              <w:t>B</w:t>
            </w:r>
          </w:p>
        </w:tc>
        <w:tc>
          <w:tcPr>
            <w:tcW w:w="567" w:type="dxa"/>
            <w:vAlign w:val="center"/>
          </w:tcPr>
          <w:p>
            <w:pPr>
              <w:spacing w:line="320" w:lineRule="exact"/>
              <w:jc w:val="center"/>
              <w:rPr>
                <w:rFonts w:ascii="宋体" w:hAnsi="宋体" w:cs="宋体"/>
                <w:b/>
                <w:bCs/>
                <w:color w:val="000000"/>
                <w:szCs w:val="21"/>
                <w:u w:val="single"/>
              </w:rPr>
            </w:pPr>
            <w:r>
              <w:rPr>
                <w:rFonts w:hint="eastAsia" w:ascii="宋体" w:hAnsi="宋体" w:cs="宋体"/>
                <w:b/>
                <w:bCs/>
                <w:color w:val="000000"/>
                <w:szCs w:val="21"/>
                <w:u w:val="single"/>
              </w:rPr>
              <w:t>C</w:t>
            </w:r>
          </w:p>
        </w:tc>
        <w:tc>
          <w:tcPr>
            <w:tcW w:w="569" w:type="dxa"/>
            <w:vAlign w:val="center"/>
          </w:tcPr>
          <w:p>
            <w:pPr>
              <w:spacing w:line="320" w:lineRule="exact"/>
              <w:jc w:val="center"/>
              <w:rPr>
                <w:rFonts w:ascii="宋体" w:hAnsi="宋体" w:cs="宋体"/>
                <w:b/>
                <w:bCs/>
                <w:color w:val="000000"/>
                <w:szCs w:val="21"/>
                <w:u w:val="single"/>
              </w:rPr>
            </w:pPr>
            <w:r>
              <w:rPr>
                <w:rFonts w:hint="eastAsia" w:ascii="宋体" w:hAnsi="宋体" w:cs="宋体"/>
                <w:b/>
                <w:bCs/>
                <w:color w:val="000000"/>
                <w:szCs w:val="21"/>
                <w:u w:val="single"/>
              </w:rPr>
              <w:t>D</w:t>
            </w:r>
          </w:p>
        </w:tc>
        <w:tc>
          <w:tcPr>
            <w:tcW w:w="1417" w:type="dxa"/>
            <w:vMerge w:val="continue"/>
            <w:vAlign w:val="center"/>
          </w:tcPr>
          <w:p>
            <w:pPr>
              <w:spacing w:line="240" w:lineRule="atLeast"/>
              <w:jc w:val="center"/>
              <w:rPr>
                <w:rFonts w:ascii="宋体" w:hAnsi="宋体" w:cs="宋体"/>
                <w:b/>
                <w:bCs/>
                <w:color w:val="000000"/>
                <w:szCs w:val="21"/>
                <w:u w:val="single"/>
              </w:rPr>
            </w:pPr>
          </w:p>
        </w:tc>
        <w:tc>
          <w:tcPr>
            <w:tcW w:w="1038" w:type="dxa"/>
            <w:vMerge w:val="continue"/>
            <w:vAlign w:val="center"/>
          </w:tcPr>
          <w:p>
            <w:pPr>
              <w:spacing w:line="240" w:lineRule="atLeast"/>
              <w:jc w:val="center"/>
              <w:rPr>
                <w:rFonts w:ascii="宋体" w:hAnsi="宋体" w:cs="宋体"/>
                <w:b/>
                <w:bCs/>
                <w:color w:val="00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vMerge w:val="restart"/>
            <w:vAlign w:val="center"/>
          </w:tcPr>
          <w:p>
            <w:pPr>
              <w:spacing w:line="240" w:lineRule="atLeast"/>
              <w:jc w:val="center"/>
              <w:rPr>
                <w:rFonts w:ascii="宋体" w:hAnsi="宋体" w:cs="宋体"/>
                <w:b/>
                <w:bCs/>
                <w:color w:val="000000"/>
                <w:szCs w:val="21"/>
                <w:u w:val="single"/>
              </w:rPr>
            </w:pPr>
            <w:r>
              <w:rPr>
                <w:rFonts w:hint="eastAsia" w:ascii="宋体" w:hAnsi="宋体" w:cs="宋体"/>
                <w:b/>
                <w:bCs/>
                <w:color w:val="000000"/>
                <w:szCs w:val="21"/>
                <w:u w:val="single"/>
              </w:rPr>
              <w:t>厂区</w:t>
            </w:r>
          </w:p>
        </w:tc>
        <w:tc>
          <w:tcPr>
            <w:tcW w:w="852"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H</w:t>
            </w:r>
            <w:r>
              <w:rPr>
                <w:rFonts w:hint="eastAsia" w:ascii="宋体" w:hAnsi="宋体" w:cs="宋体"/>
                <w:b/>
                <w:bCs/>
                <w:color w:val="000000"/>
                <w:szCs w:val="21"/>
                <w:u w:val="single"/>
                <w:vertAlign w:val="subscript"/>
              </w:rPr>
              <w:t>2</w:t>
            </w:r>
            <w:r>
              <w:rPr>
                <w:rFonts w:hint="eastAsia" w:ascii="宋体" w:hAnsi="宋体" w:cs="宋体"/>
                <w:b/>
                <w:bCs/>
                <w:color w:val="000000"/>
                <w:szCs w:val="21"/>
                <w:u w:val="single"/>
              </w:rPr>
              <w:t>S</w:t>
            </w:r>
          </w:p>
        </w:tc>
        <w:tc>
          <w:tcPr>
            <w:tcW w:w="850"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0.014</w:t>
            </w:r>
          </w:p>
        </w:tc>
        <w:tc>
          <w:tcPr>
            <w:tcW w:w="1134"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0.01</w:t>
            </w:r>
          </w:p>
        </w:tc>
        <w:tc>
          <w:tcPr>
            <w:tcW w:w="567" w:type="dxa"/>
            <w:vMerge w:val="restart"/>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470</w:t>
            </w:r>
          </w:p>
        </w:tc>
        <w:tc>
          <w:tcPr>
            <w:tcW w:w="710" w:type="dxa"/>
            <w:vMerge w:val="restart"/>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0.021</w:t>
            </w:r>
          </w:p>
        </w:tc>
        <w:tc>
          <w:tcPr>
            <w:tcW w:w="567" w:type="dxa"/>
            <w:vMerge w:val="restart"/>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1.85</w:t>
            </w:r>
          </w:p>
        </w:tc>
        <w:tc>
          <w:tcPr>
            <w:tcW w:w="569" w:type="dxa"/>
            <w:vMerge w:val="restart"/>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0.84</w:t>
            </w:r>
          </w:p>
        </w:tc>
        <w:tc>
          <w:tcPr>
            <w:tcW w:w="1417"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6.151</w:t>
            </w:r>
          </w:p>
        </w:tc>
        <w:tc>
          <w:tcPr>
            <w:tcW w:w="1038"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242" w:type="dxa"/>
            <w:vMerge w:val="continue"/>
            <w:vAlign w:val="center"/>
          </w:tcPr>
          <w:p>
            <w:pPr>
              <w:jc w:val="center"/>
              <w:rPr>
                <w:rFonts w:ascii="宋体" w:hAnsi="宋体" w:cs="宋体"/>
                <w:b/>
                <w:bCs/>
                <w:color w:val="000000"/>
                <w:szCs w:val="21"/>
                <w:u w:val="single"/>
              </w:rPr>
            </w:pPr>
          </w:p>
        </w:tc>
        <w:tc>
          <w:tcPr>
            <w:tcW w:w="852"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NH</w:t>
            </w:r>
            <w:r>
              <w:rPr>
                <w:rFonts w:hint="eastAsia" w:ascii="宋体" w:hAnsi="宋体" w:cs="宋体"/>
                <w:b/>
                <w:bCs/>
                <w:color w:val="000000"/>
                <w:szCs w:val="21"/>
                <w:u w:val="single"/>
                <w:vertAlign w:val="subscript"/>
              </w:rPr>
              <w:t>3</w:t>
            </w:r>
          </w:p>
        </w:tc>
        <w:tc>
          <w:tcPr>
            <w:tcW w:w="850"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0.185</w:t>
            </w:r>
          </w:p>
        </w:tc>
        <w:tc>
          <w:tcPr>
            <w:tcW w:w="1134"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0.20</w:t>
            </w:r>
          </w:p>
        </w:tc>
        <w:tc>
          <w:tcPr>
            <w:tcW w:w="567" w:type="dxa"/>
            <w:vMerge w:val="continue"/>
            <w:vAlign w:val="center"/>
          </w:tcPr>
          <w:p>
            <w:pPr>
              <w:jc w:val="center"/>
              <w:rPr>
                <w:rFonts w:ascii="宋体" w:hAnsi="宋体" w:cs="宋体"/>
                <w:b/>
                <w:bCs/>
                <w:color w:val="000000"/>
                <w:szCs w:val="21"/>
                <w:u w:val="single"/>
              </w:rPr>
            </w:pPr>
          </w:p>
        </w:tc>
        <w:tc>
          <w:tcPr>
            <w:tcW w:w="710" w:type="dxa"/>
            <w:vMerge w:val="continue"/>
            <w:vAlign w:val="center"/>
          </w:tcPr>
          <w:p>
            <w:pPr>
              <w:jc w:val="center"/>
              <w:rPr>
                <w:rFonts w:ascii="宋体" w:hAnsi="宋体" w:cs="宋体"/>
                <w:b/>
                <w:bCs/>
                <w:color w:val="000000"/>
                <w:szCs w:val="21"/>
                <w:u w:val="single"/>
              </w:rPr>
            </w:pPr>
          </w:p>
        </w:tc>
        <w:tc>
          <w:tcPr>
            <w:tcW w:w="567" w:type="dxa"/>
            <w:vMerge w:val="continue"/>
            <w:vAlign w:val="center"/>
          </w:tcPr>
          <w:p>
            <w:pPr>
              <w:jc w:val="center"/>
              <w:rPr>
                <w:rFonts w:ascii="宋体" w:hAnsi="宋体" w:cs="宋体"/>
                <w:b/>
                <w:bCs/>
                <w:color w:val="000000"/>
                <w:szCs w:val="21"/>
                <w:u w:val="single"/>
              </w:rPr>
            </w:pPr>
          </w:p>
        </w:tc>
        <w:tc>
          <w:tcPr>
            <w:tcW w:w="569" w:type="dxa"/>
            <w:vMerge w:val="continue"/>
            <w:vAlign w:val="center"/>
          </w:tcPr>
          <w:p>
            <w:pPr>
              <w:jc w:val="center"/>
              <w:rPr>
                <w:rFonts w:ascii="宋体" w:hAnsi="宋体" w:cs="宋体"/>
                <w:b/>
                <w:bCs/>
                <w:color w:val="000000"/>
                <w:szCs w:val="21"/>
                <w:u w:val="single"/>
              </w:rPr>
            </w:pPr>
          </w:p>
        </w:tc>
        <w:tc>
          <w:tcPr>
            <w:tcW w:w="1417"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3.965</w:t>
            </w:r>
          </w:p>
        </w:tc>
        <w:tc>
          <w:tcPr>
            <w:tcW w:w="1038" w:type="dxa"/>
            <w:vAlign w:val="center"/>
          </w:tcPr>
          <w:p>
            <w:pPr>
              <w:jc w:val="center"/>
              <w:rPr>
                <w:rFonts w:ascii="宋体" w:hAnsi="宋体" w:cs="宋体"/>
                <w:b/>
                <w:bCs/>
                <w:color w:val="000000"/>
                <w:szCs w:val="21"/>
                <w:u w:val="single"/>
              </w:rPr>
            </w:pPr>
            <w:r>
              <w:rPr>
                <w:rFonts w:hint="eastAsia" w:ascii="宋体" w:hAnsi="宋体" w:cs="宋体"/>
                <w:b/>
                <w:bCs/>
                <w:color w:val="000000"/>
                <w:szCs w:val="21"/>
                <w:u w:val="single"/>
              </w:rPr>
              <w:t>50</w:t>
            </w:r>
          </w:p>
        </w:tc>
      </w:tr>
    </w:tbl>
    <w:p>
      <w:pPr>
        <w:spacing w:line="460" w:lineRule="exact"/>
        <w:ind w:firstLine="482" w:firstLineChars="200"/>
        <w:rPr>
          <w:b/>
          <w:bCs/>
          <w:color w:val="000000"/>
          <w:sz w:val="24"/>
          <w:szCs w:val="22"/>
          <w:u w:val="single"/>
        </w:rPr>
      </w:pPr>
      <w:r>
        <w:rPr>
          <w:b/>
          <w:bCs/>
          <w:color w:val="000000"/>
          <w:sz w:val="24"/>
          <w:szCs w:val="22"/>
          <w:u w:val="single"/>
        </w:rPr>
        <w:t>根据《制定地方大气污染物排放标准的技术方法》规定，“无组织排放多种有害气体的工业企业，按Q</w:t>
      </w:r>
      <w:r>
        <w:rPr>
          <w:b/>
          <w:bCs/>
          <w:color w:val="000000"/>
          <w:sz w:val="24"/>
          <w:szCs w:val="22"/>
          <w:u w:val="single"/>
          <w:vertAlign w:val="subscript"/>
        </w:rPr>
        <w:t>c</w:t>
      </w:r>
      <w:r>
        <w:rPr>
          <w:b/>
          <w:bCs/>
          <w:color w:val="000000"/>
          <w:sz w:val="24"/>
          <w:szCs w:val="22"/>
          <w:u w:val="single"/>
        </w:rPr>
        <w:t>/C</w:t>
      </w:r>
      <w:r>
        <w:rPr>
          <w:b/>
          <w:bCs/>
          <w:color w:val="000000"/>
          <w:sz w:val="24"/>
          <w:szCs w:val="22"/>
          <w:u w:val="single"/>
          <w:vertAlign w:val="subscript"/>
        </w:rPr>
        <w:t>m</w:t>
      </w:r>
      <w:r>
        <w:rPr>
          <w:b/>
          <w:bCs/>
          <w:color w:val="000000"/>
          <w:sz w:val="24"/>
          <w:szCs w:val="22"/>
          <w:u w:val="single"/>
        </w:rPr>
        <w:t>的最大值计算其所需卫生防护距离；但当按两种或两种以上的有害气体的Q</w:t>
      </w:r>
      <w:r>
        <w:rPr>
          <w:b/>
          <w:bCs/>
          <w:color w:val="000000"/>
          <w:sz w:val="24"/>
          <w:szCs w:val="22"/>
          <w:u w:val="single"/>
          <w:vertAlign w:val="subscript"/>
        </w:rPr>
        <w:t>c</w:t>
      </w:r>
      <w:r>
        <w:rPr>
          <w:b/>
          <w:bCs/>
          <w:color w:val="000000"/>
          <w:sz w:val="24"/>
          <w:szCs w:val="22"/>
          <w:u w:val="single"/>
        </w:rPr>
        <w:t>/C</w:t>
      </w:r>
      <w:r>
        <w:rPr>
          <w:b/>
          <w:bCs/>
          <w:color w:val="000000"/>
          <w:sz w:val="24"/>
          <w:szCs w:val="22"/>
          <w:u w:val="single"/>
          <w:vertAlign w:val="subscript"/>
        </w:rPr>
        <w:t>m</w:t>
      </w:r>
      <w:r>
        <w:rPr>
          <w:b/>
          <w:bCs/>
          <w:color w:val="000000"/>
          <w:sz w:val="24"/>
          <w:szCs w:val="22"/>
          <w:u w:val="single"/>
        </w:rPr>
        <w:t>值计算的卫生防护距离在同一级别时，该类工业企业的卫生防护距离级别应该高一级。”</w:t>
      </w:r>
    </w:p>
    <w:p>
      <w:pPr>
        <w:spacing w:line="460" w:lineRule="exact"/>
        <w:ind w:firstLine="482" w:firstLineChars="200"/>
        <w:rPr>
          <w:b/>
          <w:bCs/>
          <w:color w:val="000000"/>
          <w:sz w:val="24"/>
          <w:szCs w:val="22"/>
          <w:u w:val="single"/>
        </w:rPr>
      </w:pPr>
      <w:r>
        <w:rPr>
          <w:b/>
          <w:bCs/>
          <w:color w:val="000000"/>
          <w:sz w:val="24"/>
          <w:szCs w:val="22"/>
          <w:u w:val="single"/>
        </w:rPr>
        <w:t>经计算，项目无组织排放2种有害气体，因此，场区需设置卫生防护距离为100m。</w:t>
      </w:r>
    </w:p>
    <w:p>
      <w:pPr>
        <w:spacing w:line="460" w:lineRule="exact"/>
        <w:ind w:firstLine="482" w:firstLineChars="200"/>
        <w:rPr>
          <w:b/>
          <w:bCs/>
          <w:color w:val="000000"/>
          <w:sz w:val="24"/>
          <w:u w:val="single"/>
        </w:rPr>
      </w:pPr>
      <w:r>
        <w:rPr>
          <w:b/>
          <w:bCs/>
          <w:color w:val="000000"/>
          <w:sz w:val="24"/>
          <w:szCs w:val="22"/>
          <w:u w:val="single"/>
        </w:rPr>
        <w:t>根据本项目平面布置，本项目卫生防护距离设置为：厂区：东场界100m、南场界100m、西场界100m、北场界100m</w:t>
      </w:r>
      <w:r>
        <w:rPr>
          <w:b/>
          <w:bCs/>
          <w:color w:val="000000"/>
          <w:sz w:val="24"/>
          <w:u w:val="single"/>
        </w:rPr>
        <w:t>。</w:t>
      </w:r>
    </w:p>
    <w:p>
      <w:pPr>
        <w:adjustRightInd w:val="0"/>
        <w:snapToGrid w:val="0"/>
        <w:spacing w:line="500" w:lineRule="exact"/>
        <w:ind w:firstLine="482" w:firstLineChars="200"/>
        <w:rPr>
          <w:b/>
          <w:bCs/>
          <w:color w:val="000000"/>
          <w:sz w:val="24"/>
          <w:u w:val="single"/>
        </w:rPr>
      </w:pPr>
      <w:r>
        <w:rPr>
          <w:b/>
          <w:bCs/>
          <w:color w:val="000000"/>
          <w:sz w:val="24"/>
          <w:u w:val="single"/>
        </w:rPr>
        <w:t>据现场勘查，项目最近敏感点</w:t>
      </w:r>
      <w:r>
        <w:rPr>
          <w:rFonts w:hint="eastAsia"/>
          <w:b/>
          <w:bCs/>
          <w:color w:val="000000"/>
          <w:sz w:val="24"/>
          <w:u w:val="single"/>
        </w:rPr>
        <w:t>邢寨村</w:t>
      </w:r>
      <w:r>
        <w:rPr>
          <w:b/>
          <w:bCs/>
          <w:color w:val="000000"/>
          <w:sz w:val="24"/>
          <w:u w:val="single"/>
        </w:rPr>
        <w:t>距离项目养殖场</w:t>
      </w:r>
      <w:r>
        <w:rPr>
          <w:rFonts w:hint="eastAsia"/>
          <w:b/>
          <w:bCs/>
          <w:color w:val="000000"/>
          <w:sz w:val="24"/>
          <w:u w:val="single"/>
        </w:rPr>
        <w:t>东</w:t>
      </w:r>
      <w:r>
        <w:rPr>
          <w:b/>
          <w:bCs/>
          <w:color w:val="000000"/>
          <w:sz w:val="24"/>
          <w:u w:val="single"/>
        </w:rPr>
        <w:t>场界</w:t>
      </w:r>
      <w:r>
        <w:rPr>
          <w:rFonts w:hint="eastAsia"/>
          <w:b/>
          <w:bCs/>
          <w:color w:val="000000"/>
          <w:sz w:val="24"/>
          <w:u w:val="single"/>
          <w:lang w:eastAsia="zh-CN"/>
        </w:rPr>
        <w:t>507</w:t>
      </w:r>
      <w:r>
        <w:rPr>
          <w:b/>
          <w:bCs/>
          <w:color w:val="000000"/>
          <w:sz w:val="24"/>
          <w:u w:val="single"/>
        </w:rPr>
        <w:t>m，防护距离100m内无环境敏感点。</w:t>
      </w:r>
    </w:p>
    <w:p>
      <w:pPr>
        <w:adjustRightInd w:val="0"/>
        <w:snapToGrid w:val="0"/>
        <w:spacing w:line="500" w:lineRule="exact"/>
        <w:rPr>
          <w:b/>
          <w:bCs/>
          <w:color w:val="000000"/>
          <w:sz w:val="24"/>
          <w:u w:val="single"/>
        </w:rPr>
      </w:pPr>
      <w:r>
        <w:rPr>
          <w:b/>
          <w:bCs/>
          <w:color w:val="000000"/>
          <w:sz w:val="24"/>
          <w:u w:val="single"/>
        </w:rPr>
        <w:t>4.2.1.3大气环境预测结论</w:t>
      </w:r>
    </w:p>
    <w:p>
      <w:pPr>
        <w:adjustRightInd w:val="0"/>
        <w:snapToGrid w:val="0"/>
        <w:spacing w:line="500" w:lineRule="exact"/>
        <w:ind w:firstLine="482" w:firstLineChars="200"/>
        <w:rPr>
          <w:b/>
          <w:bCs/>
          <w:color w:val="000000"/>
          <w:sz w:val="24"/>
          <w:u w:val="single"/>
        </w:rPr>
      </w:pPr>
      <w:r>
        <w:rPr>
          <w:rFonts w:hint="eastAsia" w:ascii="宋体" w:hAnsi="宋体" w:cs="宋体"/>
          <w:b/>
          <w:bCs/>
          <w:color w:val="000000"/>
          <w:sz w:val="24"/>
          <w:u w:val="single"/>
        </w:rPr>
        <w:t>①</w:t>
      </w:r>
      <w:r>
        <w:rPr>
          <w:b/>
          <w:bCs/>
          <w:color w:val="000000"/>
          <w:sz w:val="24"/>
          <w:u w:val="single"/>
        </w:rPr>
        <w:t xml:space="preserve"> 项目实施后，沼气燃烧沼气产生的SO</w:t>
      </w:r>
      <w:r>
        <w:rPr>
          <w:b/>
          <w:bCs/>
          <w:color w:val="000000"/>
          <w:sz w:val="24"/>
          <w:u w:val="single"/>
          <w:vertAlign w:val="subscript"/>
        </w:rPr>
        <w:t>2</w:t>
      </w:r>
      <w:r>
        <w:rPr>
          <w:b/>
          <w:bCs/>
          <w:color w:val="000000"/>
          <w:sz w:val="24"/>
          <w:u w:val="single"/>
        </w:rPr>
        <w:t>、NO</w:t>
      </w:r>
      <w:r>
        <w:rPr>
          <w:b/>
          <w:bCs/>
          <w:color w:val="000000"/>
          <w:sz w:val="24"/>
          <w:u w:val="single"/>
          <w:vertAlign w:val="subscript"/>
        </w:rPr>
        <w:t>X</w:t>
      </w:r>
      <w:r>
        <w:rPr>
          <w:b/>
          <w:bCs/>
          <w:color w:val="000000"/>
          <w:sz w:val="24"/>
          <w:u w:val="single"/>
        </w:rPr>
        <w:t>在各敏感点处的污染物浓度均能满足《环境空气质量标准》（GB3095-2012）中SO</w:t>
      </w:r>
      <w:r>
        <w:rPr>
          <w:b/>
          <w:bCs/>
          <w:color w:val="000000"/>
          <w:sz w:val="24"/>
          <w:u w:val="single"/>
          <w:vertAlign w:val="subscript"/>
        </w:rPr>
        <w:t>2</w:t>
      </w:r>
      <w:r>
        <w:rPr>
          <w:b/>
          <w:bCs/>
          <w:color w:val="000000"/>
          <w:sz w:val="24"/>
          <w:u w:val="single"/>
        </w:rPr>
        <w:t>、NO</w:t>
      </w:r>
      <w:r>
        <w:rPr>
          <w:b/>
          <w:bCs/>
          <w:color w:val="000000"/>
          <w:sz w:val="24"/>
          <w:u w:val="single"/>
          <w:vertAlign w:val="subscript"/>
        </w:rPr>
        <w:t>X</w:t>
      </w:r>
      <w:r>
        <w:rPr>
          <w:b/>
          <w:bCs/>
          <w:color w:val="000000"/>
          <w:sz w:val="24"/>
          <w:u w:val="single"/>
        </w:rPr>
        <w:t>的二级标准浓度限值要求；工经程采取脱臭措施后排放的H2S、NH3在各敏感点处的污染物浓度均能满足《环境影响评价技术导则 大气环境（HJ2.2-2018）》中附录D中居住区大气中有害物质的最高允许浓度限值。</w:t>
      </w:r>
    </w:p>
    <w:p>
      <w:pPr>
        <w:adjustRightInd w:val="0"/>
        <w:snapToGrid w:val="0"/>
        <w:spacing w:line="500" w:lineRule="exact"/>
        <w:ind w:firstLine="482" w:firstLineChars="200"/>
        <w:rPr>
          <w:b/>
          <w:bCs/>
          <w:color w:val="000000"/>
          <w:sz w:val="24"/>
          <w:u w:val="single"/>
        </w:rPr>
      </w:pPr>
      <w:r>
        <w:rPr>
          <w:rFonts w:hint="eastAsia" w:ascii="宋体" w:hAnsi="宋体" w:cs="宋体"/>
          <w:b/>
          <w:bCs/>
          <w:color w:val="000000"/>
          <w:sz w:val="24"/>
          <w:u w:val="single"/>
        </w:rPr>
        <w:t>②</w:t>
      </w:r>
      <w:r>
        <w:rPr>
          <w:b/>
          <w:bCs/>
          <w:color w:val="000000"/>
          <w:sz w:val="24"/>
          <w:u w:val="single"/>
        </w:rPr>
        <w:t xml:space="preserve"> 经计算，工经程采取脱臭措施后排放的H</w:t>
      </w:r>
      <w:r>
        <w:rPr>
          <w:b/>
          <w:bCs/>
          <w:color w:val="000000"/>
          <w:sz w:val="24"/>
          <w:u w:val="single"/>
          <w:vertAlign w:val="subscript"/>
        </w:rPr>
        <w:t>2</w:t>
      </w:r>
      <w:r>
        <w:rPr>
          <w:b/>
          <w:bCs/>
          <w:color w:val="000000"/>
          <w:sz w:val="24"/>
          <w:u w:val="single"/>
        </w:rPr>
        <w:t>S、NH</w:t>
      </w:r>
      <w:r>
        <w:rPr>
          <w:b/>
          <w:bCs/>
          <w:color w:val="000000"/>
          <w:sz w:val="24"/>
          <w:u w:val="single"/>
          <w:vertAlign w:val="subscript"/>
        </w:rPr>
        <w:t>3</w:t>
      </w:r>
      <w:r>
        <w:rPr>
          <w:b/>
          <w:bCs/>
          <w:color w:val="000000"/>
          <w:sz w:val="24"/>
          <w:u w:val="single"/>
        </w:rPr>
        <w:t>在各场界处的预测值均可达到对应的《恶臭污染物排放标准》（GB14554-93）场界浓度限值要求。</w:t>
      </w:r>
    </w:p>
    <w:p>
      <w:pPr>
        <w:adjustRightInd w:val="0"/>
        <w:snapToGrid w:val="0"/>
        <w:spacing w:line="500" w:lineRule="exact"/>
        <w:ind w:firstLine="482" w:firstLineChars="200"/>
        <w:rPr>
          <w:b/>
          <w:bCs/>
          <w:color w:val="000000"/>
          <w:sz w:val="24"/>
          <w:u w:val="single"/>
        </w:rPr>
      </w:pPr>
      <w:r>
        <w:rPr>
          <w:rFonts w:hint="eastAsia" w:ascii="宋体" w:hAnsi="宋体" w:cs="宋体"/>
          <w:b/>
          <w:bCs/>
          <w:color w:val="000000"/>
          <w:sz w:val="24"/>
          <w:u w:val="single"/>
        </w:rPr>
        <w:t>③</w:t>
      </w:r>
      <w:r>
        <w:rPr>
          <w:b/>
          <w:bCs/>
          <w:color w:val="000000"/>
          <w:sz w:val="24"/>
          <w:u w:val="single"/>
        </w:rPr>
        <w:t>经计算，本项目的卫生防护距离均为100m，大气环境防护距离计算无超标点，同时根据《畜禽养殖业污染防治技术规范》（HJ/T81－2001）中选址要求的规定，养殖场场界与禁建区域边界的最小距离不得小于</w:t>
      </w:r>
      <w:r>
        <w:rPr>
          <w:rFonts w:hint="eastAsia"/>
          <w:b/>
          <w:bCs/>
          <w:color w:val="000000"/>
          <w:sz w:val="24"/>
          <w:u w:val="single"/>
        </w:rPr>
        <w:t>3</w:t>
      </w:r>
      <w:r>
        <w:rPr>
          <w:b/>
          <w:bCs/>
          <w:color w:val="000000"/>
          <w:sz w:val="24"/>
          <w:u w:val="single"/>
        </w:rPr>
        <w:t>00m。项目区最近敏感点</w:t>
      </w:r>
      <w:r>
        <w:rPr>
          <w:rFonts w:hint="eastAsia"/>
          <w:b/>
          <w:bCs/>
          <w:color w:val="000000"/>
          <w:sz w:val="24"/>
          <w:u w:val="single"/>
        </w:rPr>
        <w:t>邢寨村</w:t>
      </w:r>
      <w:r>
        <w:rPr>
          <w:b/>
          <w:bCs/>
          <w:color w:val="000000"/>
          <w:sz w:val="24"/>
          <w:u w:val="single"/>
        </w:rPr>
        <w:t>距离项目养殖场</w:t>
      </w:r>
      <w:r>
        <w:rPr>
          <w:rFonts w:hint="eastAsia"/>
          <w:b/>
          <w:bCs/>
          <w:color w:val="000000"/>
          <w:sz w:val="24"/>
          <w:u w:val="single"/>
        </w:rPr>
        <w:t>东</w:t>
      </w:r>
      <w:r>
        <w:rPr>
          <w:b/>
          <w:bCs/>
          <w:color w:val="000000"/>
          <w:sz w:val="24"/>
          <w:u w:val="single"/>
        </w:rPr>
        <w:t>场界</w:t>
      </w:r>
      <w:r>
        <w:rPr>
          <w:rFonts w:hint="eastAsia"/>
          <w:b/>
          <w:bCs/>
          <w:color w:val="000000"/>
          <w:sz w:val="24"/>
          <w:u w:val="single"/>
          <w:lang w:eastAsia="zh-CN"/>
        </w:rPr>
        <w:t>507</w:t>
      </w:r>
      <w:r>
        <w:rPr>
          <w:b/>
          <w:bCs/>
          <w:color w:val="000000"/>
          <w:sz w:val="24"/>
          <w:u w:val="single"/>
        </w:rPr>
        <w:t>m，项目选址满足卫生防护距离要求和选址要求。</w:t>
      </w:r>
    </w:p>
    <w:p>
      <w:pPr>
        <w:adjustRightInd w:val="0"/>
        <w:snapToGrid w:val="0"/>
        <w:spacing w:line="500" w:lineRule="exact"/>
        <w:ind w:firstLine="482" w:firstLineChars="200"/>
        <w:rPr>
          <w:b/>
          <w:bCs/>
          <w:color w:val="000000"/>
          <w:sz w:val="24"/>
          <w:u w:val="single"/>
        </w:rPr>
      </w:pPr>
      <w:r>
        <w:rPr>
          <w:rFonts w:hint="eastAsia" w:ascii="宋体" w:hAnsi="宋体" w:cs="宋体"/>
          <w:b/>
          <w:bCs/>
          <w:color w:val="000000"/>
          <w:sz w:val="24"/>
          <w:u w:val="single"/>
        </w:rPr>
        <w:t>④</w:t>
      </w:r>
      <w:r>
        <w:rPr>
          <w:b/>
          <w:bCs/>
          <w:color w:val="000000"/>
          <w:sz w:val="24"/>
          <w:u w:val="single"/>
        </w:rPr>
        <w:t>防护距离内无敏感点存在，满足项目防护距离的条件下，评价认为项目无组织废气的排放对环境的影响可以接受。</w:t>
      </w:r>
    </w:p>
    <w:p>
      <w:pPr>
        <w:spacing w:line="600" w:lineRule="exact"/>
        <w:outlineLvl w:val="2"/>
        <w:rPr>
          <w:color w:val="000000"/>
          <w:sz w:val="24"/>
        </w:rPr>
      </w:pPr>
      <w:r>
        <w:rPr>
          <w:color w:val="000000"/>
          <w:sz w:val="24"/>
        </w:rPr>
        <w:t>4.2.</w:t>
      </w:r>
      <w:bookmarkStart w:id="268" w:name="_Toc298705419"/>
      <w:r>
        <w:rPr>
          <w:color w:val="000000"/>
          <w:sz w:val="24"/>
        </w:rPr>
        <w:t xml:space="preserve">2 </w:t>
      </w:r>
      <w:bookmarkEnd w:id="268"/>
      <w:r>
        <w:rPr>
          <w:color w:val="000000"/>
          <w:sz w:val="24"/>
        </w:rPr>
        <w:t>地表水环境影响预测与评价</w:t>
      </w:r>
    </w:p>
    <w:p>
      <w:pPr>
        <w:adjustRightInd w:val="0"/>
        <w:snapToGrid w:val="0"/>
        <w:spacing w:line="500" w:lineRule="exact"/>
        <w:rPr>
          <w:b/>
          <w:bCs/>
          <w:color w:val="000000"/>
          <w:sz w:val="24"/>
          <w:u w:val="single"/>
        </w:rPr>
      </w:pPr>
      <w:r>
        <w:rPr>
          <w:b/>
          <w:bCs/>
          <w:color w:val="000000"/>
          <w:sz w:val="24"/>
          <w:u w:val="single"/>
        </w:rPr>
        <w:t>4.2.2.1 正常工况</w:t>
      </w:r>
    </w:p>
    <w:p>
      <w:pPr>
        <w:adjustRightInd w:val="0"/>
        <w:snapToGrid w:val="0"/>
        <w:spacing w:line="500" w:lineRule="exact"/>
        <w:ind w:firstLine="482" w:firstLineChars="200"/>
        <w:rPr>
          <w:b/>
          <w:bCs/>
          <w:color w:val="000000"/>
          <w:sz w:val="24"/>
          <w:u w:val="single"/>
        </w:rPr>
      </w:pPr>
      <w:r>
        <w:rPr>
          <w:b/>
          <w:bCs/>
          <w:color w:val="000000"/>
          <w:sz w:val="24"/>
          <w:u w:val="single"/>
        </w:rPr>
        <w:t>项目废水经场内污水站处理后，部分回用于猪舍冲洗，剩余作为农肥施用于项目配套农田的种植。废水全部消纳利用，不外排。项目的生产运营不会对评价区地表水环境造成污染影响。</w:t>
      </w:r>
    </w:p>
    <w:p>
      <w:pPr>
        <w:adjustRightInd w:val="0"/>
        <w:snapToGrid w:val="0"/>
        <w:spacing w:line="500" w:lineRule="exact"/>
        <w:rPr>
          <w:b/>
          <w:bCs/>
          <w:color w:val="000000"/>
          <w:sz w:val="24"/>
          <w:u w:val="single"/>
        </w:rPr>
      </w:pPr>
      <w:r>
        <w:rPr>
          <w:b/>
          <w:bCs/>
          <w:color w:val="000000"/>
          <w:sz w:val="24"/>
          <w:u w:val="single"/>
        </w:rPr>
        <w:t>4.2.2.2 雨季及非施肥期</w:t>
      </w:r>
    </w:p>
    <w:p>
      <w:pPr>
        <w:adjustRightInd w:val="0"/>
        <w:snapToGrid w:val="0"/>
        <w:spacing w:line="500" w:lineRule="exact"/>
        <w:ind w:firstLine="482" w:firstLineChars="200"/>
        <w:rPr>
          <w:b/>
          <w:bCs/>
          <w:color w:val="000000"/>
          <w:sz w:val="24"/>
          <w:u w:val="single"/>
        </w:rPr>
      </w:pPr>
      <w:r>
        <w:rPr>
          <w:b/>
          <w:bCs/>
          <w:color w:val="000000"/>
          <w:sz w:val="24"/>
          <w:u w:val="single"/>
        </w:rPr>
        <w:t>雨季及非施肥期，项目所产生的沼液无法及时消纳，拟全部暂存于沼液储存池，项目场内设1个沼液储存池，按照存储166d沼液的规模设计沼液储存池，总容积为64006m</w:t>
      </w:r>
      <w:r>
        <w:rPr>
          <w:b/>
          <w:bCs/>
          <w:color w:val="000000"/>
          <w:sz w:val="24"/>
          <w:u w:val="single"/>
          <w:vertAlign w:val="superscript"/>
        </w:rPr>
        <w:t>3</w:t>
      </w:r>
      <w:r>
        <w:rPr>
          <w:b/>
          <w:bCs/>
          <w:color w:val="000000"/>
          <w:sz w:val="24"/>
          <w:u w:val="single"/>
        </w:rPr>
        <w:t>，占地面积</w:t>
      </w:r>
      <w:r>
        <w:rPr>
          <w:b/>
          <w:bCs/>
          <w:sz w:val="24"/>
          <w:u w:val="single"/>
        </w:rPr>
        <w:t>11640</w:t>
      </w:r>
      <w:r>
        <w:rPr>
          <w:b/>
          <w:bCs/>
          <w:color w:val="000000"/>
          <w:sz w:val="24"/>
          <w:u w:val="single"/>
        </w:rPr>
        <w:t>m</w:t>
      </w:r>
      <w:r>
        <w:rPr>
          <w:b/>
          <w:bCs/>
          <w:color w:val="000000"/>
          <w:sz w:val="24"/>
          <w:u w:val="single"/>
          <w:vertAlign w:val="superscript"/>
        </w:rPr>
        <w:t>2</w:t>
      </w:r>
      <w:r>
        <w:rPr>
          <w:b/>
          <w:bCs/>
          <w:color w:val="000000"/>
          <w:sz w:val="24"/>
          <w:u w:val="single"/>
        </w:rPr>
        <w:t>，位于项目用地西北侧。</w:t>
      </w:r>
    </w:p>
    <w:p>
      <w:pPr>
        <w:adjustRightInd w:val="0"/>
        <w:snapToGrid w:val="0"/>
        <w:spacing w:line="500" w:lineRule="exact"/>
        <w:rPr>
          <w:b/>
          <w:bCs/>
          <w:color w:val="000000"/>
          <w:sz w:val="24"/>
          <w:u w:val="single"/>
        </w:rPr>
      </w:pPr>
      <w:r>
        <w:rPr>
          <w:b/>
          <w:bCs/>
          <w:color w:val="000000"/>
          <w:sz w:val="24"/>
          <w:u w:val="single"/>
        </w:rPr>
        <w:t>4.2.2.3消纳区对地表水影响分析</w:t>
      </w:r>
    </w:p>
    <w:p>
      <w:pPr>
        <w:adjustRightInd w:val="0"/>
        <w:snapToGrid w:val="0"/>
        <w:spacing w:line="500" w:lineRule="exact"/>
        <w:ind w:firstLine="482" w:firstLineChars="200"/>
        <w:rPr>
          <w:b/>
          <w:bCs/>
          <w:color w:val="000000"/>
          <w:sz w:val="24"/>
          <w:u w:val="single"/>
        </w:rPr>
      </w:pPr>
      <w:r>
        <w:rPr>
          <w:b/>
          <w:bCs/>
          <w:color w:val="000000"/>
          <w:sz w:val="24"/>
          <w:u w:val="single"/>
        </w:rPr>
        <w:t>本项目及配套沼液消纳区距离最近地表水体为</w:t>
      </w:r>
      <w:r>
        <w:rPr>
          <w:rFonts w:hint="eastAsia"/>
          <w:b/>
          <w:bCs/>
          <w:color w:val="000000"/>
          <w:sz w:val="24"/>
          <w:u w:val="single"/>
          <w:lang w:val="zh-CN"/>
        </w:rPr>
        <w:t>西</w:t>
      </w:r>
      <w:r>
        <w:rPr>
          <w:b/>
          <w:bCs/>
          <w:color w:val="000000"/>
          <w:sz w:val="24"/>
          <w:u w:val="single"/>
          <w:lang w:val="zh-CN"/>
        </w:rPr>
        <w:t>侧</w:t>
      </w:r>
      <w:r>
        <w:rPr>
          <w:rFonts w:hint="eastAsia"/>
          <w:b/>
          <w:bCs/>
          <w:color w:val="000000"/>
          <w:sz w:val="24"/>
          <w:u w:val="single"/>
        </w:rPr>
        <w:t>583</w:t>
      </w:r>
      <w:r>
        <w:rPr>
          <w:b/>
          <w:bCs/>
          <w:color w:val="000000"/>
          <w:sz w:val="24"/>
          <w:u w:val="single"/>
          <w:lang w:val="zh-CN"/>
        </w:rPr>
        <w:t>m处的</w:t>
      </w:r>
      <w:r>
        <w:rPr>
          <w:rFonts w:hint="eastAsia"/>
          <w:b/>
          <w:bCs/>
          <w:color w:val="000000"/>
          <w:sz w:val="24"/>
          <w:u w:val="single"/>
          <w:lang w:val="zh-CN"/>
        </w:rPr>
        <w:t>大黄港</w:t>
      </w:r>
      <w:r>
        <w:rPr>
          <w:b/>
          <w:bCs/>
          <w:color w:val="000000"/>
          <w:sz w:val="24"/>
          <w:u w:val="single"/>
          <w:lang w:val="zh-CN"/>
        </w:rPr>
        <w:t>河</w:t>
      </w:r>
      <w:r>
        <w:rPr>
          <w:b/>
          <w:bCs/>
          <w:color w:val="000000"/>
          <w:sz w:val="24"/>
          <w:u w:val="single"/>
        </w:rPr>
        <w:t>，消纳区农灌季节设置田埂，分区轮流灌溉，确保沼液不外流，由于项目距离地表水体较远对周边地表水体影响不大。</w:t>
      </w:r>
    </w:p>
    <w:p>
      <w:pPr>
        <w:adjustRightInd w:val="0"/>
        <w:snapToGrid w:val="0"/>
        <w:spacing w:line="600" w:lineRule="exact"/>
        <w:outlineLvl w:val="2"/>
        <w:rPr>
          <w:color w:val="000000"/>
          <w:sz w:val="24"/>
        </w:rPr>
      </w:pPr>
      <w:r>
        <w:rPr>
          <w:color w:val="000000"/>
          <w:sz w:val="24"/>
        </w:rPr>
        <w:t>4.2.</w:t>
      </w:r>
      <w:bookmarkStart w:id="269" w:name="_Toc298705420"/>
      <w:r>
        <w:rPr>
          <w:color w:val="000000"/>
          <w:sz w:val="24"/>
        </w:rPr>
        <w:t xml:space="preserve">3 </w:t>
      </w:r>
      <w:bookmarkEnd w:id="269"/>
      <w:r>
        <w:rPr>
          <w:color w:val="000000"/>
          <w:sz w:val="24"/>
        </w:rPr>
        <w:t>地下水环境影响预测与评价</w:t>
      </w:r>
    </w:p>
    <w:p>
      <w:pPr>
        <w:tabs>
          <w:tab w:val="right" w:leader="dot" w:pos="8647"/>
        </w:tabs>
        <w:adjustRightInd w:val="0"/>
        <w:snapToGrid w:val="0"/>
        <w:spacing w:line="500" w:lineRule="exact"/>
        <w:rPr>
          <w:b/>
          <w:bCs/>
          <w:color w:val="000000"/>
          <w:sz w:val="24"/>
          <w:u w:val="single"/>
        </w:rPr>
      </w:pPr>
      <w:r>
        <w:rPr>
          <w:b/>
          <w:bCs/>
          <w:color w:val="000000"/>
          <w:sz w:val="24"/>
          <w:u w:val="single"/>
        </w:rPr>
        <w:t>4.2.3.1评价工作等级的确定</w:t>
      </w:r>
    </w:p>
    <w:p>
      <w:pPr>
        <w:topLinePunct/>
        <w:spacing w:line="500" w:lineRule="exact"/>
        <w:ind w:firstLine="482" w:firstLineChars="200"/>
        <w:rPr>
          <w:b/>
          <w:bCs/>
          <w:color w:val="000000"/>
          <w:sz w:val="24"/>
          <w:szCs w:val="28"/>
          <w:u w:val="single"/>
          <w:lang w:val="en-GB"/>
        </w:rPr>
      </w:pPr>
      <w:r>
        <w:rPr>
          <w:b/>
          <w:bCs/>
          <w:color w:val="000000"/>
          <w:sz w:val="24"/>
          <w:szCs w:val="28"/>
          <w:u w:val="single"/>
          <w:lang w:val="en-GB"/>
        </w:rPr>
        <w:t>根据《环境影响评价技术导则·地下水环境》（HJ610-2016）评价等级划分依据，建设项目评价等级由项目类别和环境敏感程度共同判定：</w:t>
      </w:r>
    </w:p>
    <w:p>
      <w:pPr>
        <w:topLinePunct/>
        <w:spacing w:line="500" w:lineRule="exact"/>
        <w:ind w:firstLine="482" w:firstLineChars="200"/>
        <w:rPr>
          <w:b/>
          <w:bCs/>
          <w:color w:val="000000"/>
          <w:sz w:val="24"/>
          <w:szCs w:val="28"/>
          <w:u w:val="single"/>
          <w:lang w:val="en-GB"/>
        </w:rPr>
      </w:pPr>
      <w:r>
        <w:rPr>
          <w:b/>
          <w:bCs/>
          <w:color w:val="000000"/>
          <w:sz w:val="24"/>
          <w:szCs w:val="28"/>
          <w:u w:val="single"/>
          <w:lang w:val="en-GB"/>
        </w:rPr>
        <w:t>（1）地下水环境影响评价项目类别：根据HJ610-2016附录A“地下水环境影响评价行业分类表”，本项目行业类别属于畜禽养殖场、养殖小区项目，环境影响评价文件类型为报告书，因此其地下水环境影响评价项目类别为</w:t>
      </w:r>
      <w:r>
        <w:rPr>
          <w:rFonts w:hint="eastAsia" w:ascii="宋体" w:hAnsi="宋体" w:cs="宋体"/>
          <w:b/>
          <w:bCs/>
          <w:color w:val="000000"/>
          <w:sz w:val="24"/>
          <w:szCs w:val="28"/>
          <w:u w:val="single"/>
          <w:lang w:val="en-GB"/>
        </w:rPr>
        <w:t>Ⅲ</w:t>
      </w:r>
      <w:r>
        <w:rPr>
          <w:b/>
          <w:bCs/>
          <w:color w:val="000000"/>
          <w:sz w:val="24"/>
          <w:szCs w:val="28"/>
          <w:u w:val="single"/>
          <w:lang w:val="en-GB"/>
        </w:rPr>
        <w:t>类。</w:t>
      </w:r>
    </w:p>
    <w:p>
      <w:pPr>
        <w:topLinePunct/>
        <w:spacing w:line="500" w:lineRule="exact"/>
        <w:ind w:firstLine="482" w:firstLineChars="200"/>
        <w:rPr>
          <w:b/>
          <w:bCs/>
          <w:color w:val="000000"/>
          <w:sz w:val="24"/>
          <w:szCs w:val="28"/>
          <w:u w:val="single"/>
          <w:lang w:val="en-GB"/>
        </w:rPr>
      </w:pPr>
      <w:r>
        <w:rPr>
          <w:b/>
          <w:bCs/>
          <w:color w:val="000000"/>
          <w:sz w:val="24"/>
          <w:szCs w:val="28"/>
          <w:u w:val="single"/>
          <w:lang w:val="en-GB"/>
        </w:rPr>
        <w:t>（2）建设项目场地的地下水环境敏感程度：根据《河南省县级集中式饮用水水源保护区划》，本项目在饮用水源保护区范围之外，不会对平舆县饮用水源产生影响。且本项目周围无国家和地方政府设定的与地下水环境相关的其它保护区。因此，本项目的地下水环境敏感程度为不敏感。</w:t>
      </w:r>
    </w:p>
    <w:p>
      <w:pPr>
        <w:adjustRightInd w:val="0"/>
        <w:snapToGrid w:val="0"/>
        <w:spacing w:line="500" w:lineRule="exact"/>
        <w:ind w:firstLine="482" w:firstLineChars="200"/>
        <w:rPr>
          <w:b/>
          <w:bCs/>
          <w:color w:val="000000"/>
          <w:sz w:val="24"/>
          <w:u w:val="single"/>
        </w:rPr>
      </w:pPr>
      <w:r>
        <w:rPr>
          <w:b/>
          <w:bCs/>
          <w:color w:val="000000"/>
          <w:sz w:val="24"/>
          <w:szCs w:val="28"/>
          <w:u w:val="single"/>
          <w:lang w:val="en-GB"/>
        </w:rPr>
        <w:t>根据评价工作等级分级表可知，本项目地下水评价工作等级为三级</w:t>
      </w:r>
      <w:r>
        <w:rPr>
          <w:b/>
          <w:bCs/>
          <w:color w:val="000000"/>
          <w:sz w:val="24"/>
          <w:u w:val="single"/>
        </w:rPr>
        <w:t>。</w:t>
      </w:r>
    </w:p>
    <w:p>
      <w:pPr>
        <w:adjustRightInd w:val="0"/>
        <w:snapToGrid w:val="0"/>
        <w:spacing w:line="500" w:lineRule="exact"/>
        <w:rPr>
          <w:b/>
          <w:bCs/>
          <w:color w:val="000000"/>
          <w:sz w:val="24"/>
          <w:u w:val="single"/>
        </w:rPr>
      </w:pPr>
      <w:r>
        <w:rPr>
          <w:b/>
          <w:bCs/>
          <w:color w:val="000000"/>
          <w:sz w:val="24"/>
          <w:u w:val="single"/>
        </w:rPr>
        <w:t>4.2.3.2 区域环境水文地质条件及区域地下水开采情况</w:t>
      </w:r>
    </w:p>
    <w:p>
      <w:pPr>
        <w:spacing w:line="500" w:lineRule="exact"/>
        <w:ind w:firstLine="482" w:firstLineChars="200"/>
        <w:rPr>
          <w:b/>
          <w:bCs/>
          <w:sz w:val="24"/>
          <w:u w:val="single"/>
        </w:rPr>
      </w:pPr>
      <w:r>
        <w:rPr>
          <w:b/>
          <w:bCs/>
          <w:sz w:val="24"/>
          <w:u w:val="single"/>
        </w:rPr>
        <w:t>本项目位于平舆</w:t>
      </w:r>
      <w:r>
        <w:rPr>
          <w:b/>
          <w:bCs/>
          <w:color w:val="000000"/>
          <w:sz w:val="24"/>
          <w:u w:val="single"/>
        </w:rPr>
        <w:t>县杨埠镇邢寨村，地下水流向和</w:t>
      </w:r>
      <w:r>
        <w:rPr>
          <w:b/>
          <w:bCs/>
          <w:sz w:val="24"/>
          <w:u w:val="single"/>
        </w:rPr>
        <w:t>地势基本一致，由西南向东北减低，平均比降1/3600～1/4000。</w:t>
      </w:r>
    </w:p>
    <w:p>
      <w:pPr>
        <w:autoSpaceDE w:val="0"/>
        <w:autoSpaceDN w:val="0"/>
        <w:spacing w:line="500" w:lineRule="exact"/>
        <w:ind w:firstLine="482" w:firstLineChars="200"/>
        <w:jc w:val="left"/>
        <w:rPr>
          <w:b/>
          <w:bCs/>
          <w:color w:val="000000"/>
          <w:sz w:val="24"/>
          <w:u w:val="single"/>
        </w:rPr>
      </w:pPr>
      <w:r>
        <w:rPr>
          <w:b/>
          <w:bCs/>
          <w:color w:val="000000"/>
          <w:sz w:val="24"/>
          <w:u w:val="single"/>
        </w:rPr>
        <w:t>平舆县地下水资源分为三个水文地质分区：芦岗以东的岗东平原富水区、岗西中等富水区、岗岭贫水区。根据河南省地矿厅地质三队提供的勘查资料，城区30m以上的地下水多为潜水，下部为承压水。岗东平原富水区，其主要补给是接受相邻区域水平方向上的径流补给和层间的赿流补给，在天然条件下该区地下水流向东南。本区深层地下水含水层是指30－500m深度以内的含水岩组，其含水层岩性为粉细砂、细砂、中粗砂及砂砾石层。250－300m深度间具有多层下更新统含水沙层，向东及东北方向，砂层厚度大，分选好，富水性和导水性均较好，单井出水量一般为1700～2000ｍ</w:t>
      </w:r>
      <w:r>
        <w:rPr>
          <w:b/>
          <w:bCs/>
          <w:color w:val="000000"/>
          <w:sz w:val="24"/>
          <w:u w:val="single"/>
          <w:vertAlign w:val="superscript"/>
        </w:rPr>
        <w:t>３</w:t>
      </w:r>
      <w:r>
        <w:rPr>
          <w:b/>
          <w:bCs/>
          <w:color w:val="000000"/>
          <w:sz w:val="24"/>
          <w:u w:val="single"/>
        </w:rPr>
        <w:t>/d。</w:t>
      </w:r>
    </w:p>
    <w:p>
      <w:pPr>
        <w:adjustRightInd w:val="0"/>
        <w:snapToGrid w:val="0"/>
        <w:spacing w:line="520" w:lineRule="exact"/>
        <w:ind w:firstLine="482" w:firstLineChars="200"/>
        <w:rPr>
          <w:b/>
          <w:bCs/>
          <w:kern w:val="0"/>
          <w:sz w:val="24"/>
          <w:u w:val="single"/>
        </w:rPr>
      </w:pPr>
      <w:r>
        <w:rPr>
          <w:b/>
          <w:bCs/>
          <w:kern w:val="0"/>
          <w:sz w:val="24"/>
          <w:u w:val="single"/>
        </w:rPr>
        <w:t>经现场调查本项目附近村民饮用水采用自建水井，饮用地下水。</w:t>
      </w:r>
    </w:p>
    <w:p>
      <w:pPr>
        <w:spacing w:line="520" w:lineRule="exact"/>
        <w:ind w:firstLine="480"/>
        <w:rPr>
          <w:b/>
          <w:bCs/>
          <w:color w:val="000000"/>
          <w:sz w:val="24"/>
          <w:u w:val="single"/>
        </w:rPr>
      </w:pPr>
      <w:r>
        <w:rPr>
          <w:b/>
          <w:bCs/>
          <w:sz w:val="24"/>
          <w:u w:val="single"/>
        </w:rPr>
        <w:t>本项目位于平舆县</w:t>
      </w:r>
      <w:r>
        <w:rPr>
          <w:rFonts w:hint="eastAsia"/>
          <w:b/>
          <w:bCs/>
          <w:color w:val="000000"/>
          <w:sz w:val="24"/>
          <w:u w:val="single"/>
        </w:rPr>
        <w:t>东和店镇邢岗村</w:t>
      </w:r>
      <w:r>
        <w:rPr>
          <w:b/>
          <w:bCs/>
          <w:sz w:val="24"/>
          <w:u w:val="single"/>
        </w:rPr>
        <w:t>，本项目位于平舆县城市饮用水水源地东北侧，本项目距平舆县城市饮用水水源地一级保护区最近距离约为</w:t>
      </w:r>
      <w:r>
        <w:rPr>
          <w:rFonts w:hint="eastAsia"/>
          <w:b/>
          <w:bCs/>
          <w:sz w:val="24"/>
          <w:u w:val="single"/>
        </w:rPr>
        <w:t>15</w:t>
      </w:r>
      <w:r>
        <w:rPr>
          <w:b/>
          <w:bCs/>
          <w:sz w:val="24"/>
          <w:u w:val="single"/>
        </w:rPr>
        <w:t>km，对比</w:t>
      </w:r>
      <w:r>
        <w:rPr>
          <w:rFonts w:hint="eastAsia"/>
          <w:b/>
          <w:bCs/>
          <w:color w:val="000000"/>
          <w:sz w:val="24"/>
          <w:u w:val="single"/>
        </w:rPr>
        <w:t>东和店镇</w:t>
      </w:r>
      <w:r>
        <w:rPr>
          <w:b/>
          <w:bCs/>
          <w:sz w:val="24"/>
          <w:u w:val="single"/>
        </w:rPr>
        <w:t>饮用水水源地保护区划，本项目距</w:t>
      </w:r>
      <w:r>
        <w:rPr>
          <w:rFonts w:hint="eastAsia"/>
          <w:b/>
          <w:bCs/>
          <w:kern w:val="0"/>
          <w:sz w:val="24"/>
          <w:u w:val="single"/>
        </w:rPr>
        <w:t>东和店镇</w:t>
      </w:r>
      <w:r>
        <w:rPr>
          <w:b/>
          <w:bCs/>
          <w:sz w:val="24"/>
          <w:u w:val="single"/>
        </w:rPr>
        <w:t>饮用水水源地一级保护区最近距离约为6.9km，本项目不在饮用水源保护区范围内，建设单位拟自行建设自备井1口以满足自身用水需求。</w:t>
      </w:r>
    </w:p>
    <w:p>
      <w:pPr>
        <w:adjustRightInd w:val="0"/>
        <w:snapToGrid w:val="0"/>
        <w:spacing w:line="500" w:lineRule="exact"/>
        <w:rPr>
          <w:b/>
          <w:bCs/>
          <w:color w:val="000000"/>
          <w:sz w:val="24"/>
          <w:u w:val="single"/>
        </w:rPr>
      </w:pPr>
      <w:r>
        <w:rPr>
          <w:b/>
          <w:bCs/>
          <w:color w:val="000000"/>
          <w:sz w:val="24"/>
          <w:u w:val="single"/>
        </w:rPr>
        <w:t>4.2.3.3地下水环境影响分析</w:t>
      </w:r>
    </w:p>
    <w:p>
      <w:pPr>
        <w:adjustRightInd w:val="0"/>
        <w:snapToGrid w:val="0"/>
        <w:spacing w:line="500" w:lineRule="exact"/>
        <w:ind w:firstLine="482" w:firstLineChars="200"/>
        <w:rPr>
          <w:b/>
          <w:bCs/>
          <w:color w:val="000000"/>
          <w:sz w:val="24"/>
          <w:u w:val="single"/>
        </w:rPr>
      </w:pPr>
      <w:r>
        <w:rPr>
          <w:b/>
          <w:bCs/>
          <w:color w:val="000000"/>
          <w:sz w:val="24"/>
          <w:u w:val="single"/>
        </w:rPr>
        <w:t>本项目产生的废水主要为养殖废水和员工生活污水，经管道收集后自流至污水处理系统统一处理，其中养殖废水为高浓度有机废水，经厌氧处理后用于附近农田施肥，雨季及非农灌期暂存在场区沼液池中，本次评价主要从以下方面分析营运期废水对地下水水质的影响。</w:t>
      </w:r>
    </w:p>
    <w:p>
      <w:pPr>
        <w:spacing w:line="500" w:lineRule="exact"/>
        <w:ind w:firstLine="482" w:firstLineChars="200"/>
        <w:rPr>
          <w:b/>
          <w:bCs/>
          <w:sz w:val="24"/>
          <w:u w:val="single"/>
        </w:rPr>
      </w:pPr>
      <w:r>
        <w:rPr>
          <w:b/>
          <w:bCs/>
          <w:sz w:val="24"/>
          <w:u w:val="single"/>
        </w:rPr>
        <w:t>本项目为养殖项目，营运期间无废水排放，项目地下水的影响主要为沼液储存池防渗衬层达不到防渗效果沼液泄漏对地下水的影响。</w:t>
      </w:r>
    </w:p>
    <w:p>
      <w:pPr>
        <w:spacing w:line="500" w:lineRule="exact"/>
        <w:ind w:firstLine="482" w:firstLineChars="200"/>
        <w:rPr>
          <w:b/>
          <w:bCs/>
          <w:sz w:val="24"/>
          <w:u w:val="single"/>
        </w:rPr>
      </w:pPr>
      <w:r>
        <w:rPr>
          <w:b/>
          <w:bCs/>
          <w:sz w:val="24"/>
          <w:u w:val="single"/>
        </w:rPr>
        <w:t>（1）预测时段</w:t>
      </w:r>
    </w:p>
    <w:p>
      <w:pPr>
        <w:spacing w:line="520" w:lineRule="exact"/>
        <w:ind w:firstLine="482" w:firstLineChars="200"/>
        <w:rPr>
          <w:b/>
          <w:bCs/>
          <w:sz w:val="24"/>
          <w:u w:val="single"/>
        </w:rPr>
      </w:pPr>
      <w:r>
        <w:rPr>
          <w:b/>
          <w:bCs/>
          <w:sz w:val="24"/>
          <w:u w:val="single"/>
        </w:rPr>
        <w:t>地下水环境影响预测时段为污染发生后1d、100d、1000d，和能反映特征因子迁移规律的其他时间节点。</w:t>
      </w:r>
    </w:p>
    <w:p>
      <w:pPr>
        <w:spacing w:line="500" w:lineRule="exact"/>
        <w:ind w:firstLine="482" w:firstLineChars="200"/>
        <w:rPr>
          <w:b/>
          <w:bCs/>
          <w:sz w:val="24"/>
          <w:u w:val="single"/>
        </w:rPr>
      </w:pPr>
      <w:r>
        <w:rPr>
          <w:b/>
          <w:bCs/>
          <w:sz w:val="24"/>
          <w:u w:val="single"/>
        </w:rPr>
        <w:t>（2）情景设置</w:t>
      </w:r>
    </w:p>
    <w:p>
      <w:pPr>
        <w:spacing w:line="500" w:lineRule="exact"/>
        <w:ind w:firstLine="482" w:firstLineChars="200"/>
        <w:rPr>
          <w:b/>
          <w:bCs/>
          <w:sz w:val="24"/>
          <w:u w:val="single"/>
        </w:rPr>
      </w:pPr>
      <w:r>
        <w:rPr>
          <w:b/>
          <w:bCs/>
          <w:sz w:val="24"/>
          <w:u w:val="single"/>
        </w:rPr>
        <w:t>根据《环境影响评价技术导则 地下水环境》（HJ610-2016），本项目场区划分为重点防渗区及一般防渗区，根据防渗级别采取不同的防渗材料，地下水防渗措施均为目前养殖行业普遍采用的成熟措施，沼液储存池防渗采用“素土夯实+HDPE膜”，渗透系数1.0×10</w:t>
      </w:r>
      <w:r>
        <w:rPr>
          <w:b/>
          <w:bCs/>
          <w:sz w:val="24"/>
          <w:u w:val="single"/>
          <w:vertAlign w:val="superscript"/>
        </w:rPr>
        <w:t>-10</w:t>
      </w:r>
      <w:r>
        <w:rPr>
          <w:b/>
          <w:bCs/>
          <w:sz w:val="24"/>
          <w:u w:val="single"/>
        </w:rPr>
        <w:t>cm/s，符合（GB18597-2001）、（GB18599-2001）的相关规定要求，故仅预测非正常状况下的影响结果。本次情景设置如下：</w:t>
      </w:r>
    </w:p>
    <w:p>
      <w:pPr>
        <w:spacing w:line="520" w:lineRule="exact"/>
        <w:ind w:firstLine="482" w:firstLineChars="200"/>
        <w:rPr>
          <w:b/>
          <w:bCs/>
          <w:sz w:val="24"/>
          <w:u w:val="single"/>
        </w:rPr>
      </w:pPr>
      <w:r>
        <w:rPr>
          <w:b/>
          <w:bCs/>
          <w:sz w:val="24"/>
          <w:u w:val="single"/>
        </w:rPr>
        <w:t>非正常状况下：沼液储存池防渗层达不到设计的防渗效果，沼液通过池底、池壁下渗经包气带进入潜层地下水对场界及下游保护目标吴自岐庄的影响进行预测。</w:t>
      </w:r>
    </w:p>
    <w:p>
      <w:pPr>
        <w:spacing w:line="500" w:lineRule="exact"/>
        <w:ind w:firstLine="482" w:firstLineChars="200"/>
        <w:rPr>
          <w:b/>
          <w:bCs/>
          <w:sz w:val="24"/>
          <w:u w:val="single"/>
        </w:rPr>
      </w:pPr>
      <w:r>
        <w:rPr>
          <w:b/>
          <w:bCs/>
          <w:sz w:val="24"/>
          <w:u w:val="single"/>
        </w:rPr>
        <w:t>（3）预测因子</w:t>
      </w:r>
    </w:p>
    <w:p>
      <w:pPr>
        <w:spacing w:line="520" w:lineRule="exact"/>
        <w:ind w:firstLine="482" w:firstLineChars="200"/>
        <w:rPr>
          <w:b/>
          <w:bCs/>
          <w:sz w:val="24"/>
          <w:u w:val="single"/>
        </w:rPr>
      </w:pPr>
      <w:r>
        <w:rPr>
          <w:b/>
          <w:bCs/>
          <w:sz w:val="24"/>
          <w:u w:val="single"/>
        </w:rPr>
        <w:t>本项目废水污染物特征因子不含重金属，不含持久性有机污染物，废水特征污染因子为COD</w:t>
      </w:r>
      <w:r>
        <w:rPr>
          <w:b/>
          <w:bCs/>
          <w:sz w:val="24"/>
          <w:u w:val="single"/>
          <w:vertAlign w:val="subscript"/>
        </w:rPr>
        <w:t>Mn</w:t>
      </w:r>
      <w:r>
        <w:rPr>
          <w:b/>
          <w:bCs/>
          <w:sz w:val="24"/>
          <w:u w:val="single"/>
        </w:rPr>
        <w:t>、氨氮。</w:t>
      </w:r>
    </w:p>
    <w:p>
      <w:pPr>
        <w:spacing w:line="500" w:lineRule="exact"/>
        <w:ind w:firstLine="482" w:firstLineChars="200"/>
        <w:rPr>
          <w:b/>
          <w:bCs/>
          <w:sz w:val="24"/>
          <w:u w:val="single"/>
        </w:rPr>
      </w:pPr>
      <w:r>
        <w:rPr>
          <w:b/>
          <w:bCs/>
          <w:sz w:val="24"/>
          <w:u w:val="single"/>
        </w:rPr>
        <w:t>（4）预测源强及预测模式</w:t>
      </w:r>
    </w:p>
    <w:p>
      <w:pPr>
        <w:spacing w:line="500" w:lineRule="exact"/>
        <w:ind w:firstLine="482" w:firstLineChars="200"/>
        <w:rPr>
          <w:b/>
          <w:bCs/>
          <w:sz w:val="24"/>
          <w:u w:val="single"/>
        </w:rPr>
      </w:pPr>
      <w:r>
        <w:rPr>
          <w:b/>
          <w:bCs/>
          <w:sz w:val="24"/>
          <w:u w:val="single"/>
        </w:rPr>
        <w:t>参照《给水排水构筑物工程施工及验收规范》（GB50141）中钢筋混凝土结构渗漏强度、渗漏量计算公式，确定本项目预测源强。其正常状况渗漏强度为：2L/（m</w:t>
      </w:r>
      <w:r>
        <w:rPr>
          <w:b/>
          <w:bCs/>
          <w:sz w:val="24"/>
          <w:u w:val="single"/>
          <w:vertAlign w:val="superscript"/>
        </w:rPr>
        <w:t>2</w:t>
      </w:r>
      <w:r>
        <w:rPr>
          <w:b/>
          <w:bCs/>
          <w:sz w:val="24"/>
          <w:u w:val="single"/>
        </w:rPr>
        <w:t>·d），非正常状况下泄漏强度按照正常状况下泄漏源强的10倍计，渗漏量（L/d）=渗漏面积（池底面积+池壁面积）×渗漏强度。考虑到本项目沼液储存池占地面积较大，整个沼液储存池同时发生防渗层达不到设计的防渗效果的可能性较小，故本项目非正常状况的渗漏面积按照沼液储存池有效内表面积的10%计。</w:t>
      </w:r>
    </w:p>
    <w:p>
      <w:pPr>
        <w:spacing w:line="520" w:lineRule="exact"/>
        <w:ind w:firstLine="482" w:firstLineChars="200"/>
        <w:rPr>
          <w:b/>
          <w:bCs/>
          <w:sz w:val="24"/>
          <w:u w:val="single"/>
        </w:rPr>
      </w:pPr>
      <w:r>
        <w:rPr>
          <w:b/>
          <w:bCs/>
          <w:sz w:val="24"/>
          <w:u w:val="single"/>
        </w:rPr>
        <w:t>本项目按照沼液储存池（64006m</w:t>
      </w:r>
      <w:r>
        <w:rPr>
          <w:b/>
          <w:bCs/>
          <w:sz w:val="24"/>
          <w:u w:val="single"/>
          <w:vertAlign w:val="superscript"/>
        </w:rPr>
        <w:t>3</w:t>
      </w:r>
      <w:r>
        <w:rPr>
          <w:b/>
          <w:bCs/>
          <w:sz w:val="24"/>
          <w:u w:val="single"/>
        </w:rPr>
        <w:t>）有效内表面积（池底面积+池壁面积）的10%为2000m</w:t>
      </w:r>
      <w:r>
        <w:rPr>
          <w:b/>
          <w:bCs/>
          <w:sz w:val="24"/>
          <w:u w:val="single"/>
          <w:vertAlign w:val="superscript"/>
        </w:rPr>
        <w:t>2</w:t>
      </w:r>
      <w:r>
        <w:rPr>
          <w:b/>
          <w:bCs/>
          <w:sz w:val="24"/>
          <w:u w:val="single"/>
        </w:rPr>
        <w:t>，沼液渗漏量约为40m</w:t>
      </w:r>
      <w:r>
        <w:rPr>
          <w:b/>
          <w:bCs/>
          <w:sz w:val="24"/>
          <w:u w:val="single"/>
          <w:vertAlign w:val="superscript"/>
        </w:rPr>
        <w:t>3</w:t>
      </w:r>
      <w:r>
        <w:rPr>
          <w:b/>
          <w:bCs/>
          <w:sz w:val="24"/>
          <w:u w:val="single"/>
        </w:rPr>
        <w:t>。沼液中COD浓度为3000mg/L，氨氮为900mg/L，所以COD、氨氮泄漏量分别为COD120kg，氨氮36kg。根据有关资料，COD是高锰酸盐指数的2.7倍，因此，COD泄漏量折算成高锰酸盐指数为44.4kg。</w:t>
      </w:r>
    </w:p>
    <w:p>
      <w:pPr>
        <w:spacing w:line="520" w:lineRule="exact"/>
        <w:ind w:firstLine="482" w:firstLineChars="200"/>
        <w:rPr>
          <w:b/>
          <w:bCs/>
          <w:sz w:val="24"/>
          <w:u w:val="single"/>
        </w:rPr>
      </w:pPr>
      <w:r>
        <w:rPr>
          <w:b/>
          <w:bCs/>
          <w:sz w:val="24"/>
          <w:u w:val="single"/>
        </w:rPr>
        <w:t>预测模型采用地下水溶质运移解析法——一维无限长多孔介质柱体，示踪剂瞬时注入模型：</w:t>
      </w:r>
    </w:p>
    <w:p>
      <w:pPr>
        <w:ind w:firstLine="480"/>
        <w:rPr>
          <w:b/>
          <w:bCs/>
          <w:color w:val="FF0000"/>
          <w:sz w:val="24"/>
          <w:u w:val="single"/>
        </w:rPr>
      </w:pPr>
      <w:r>
        <w:rPr>
          <w:b/>
          <w:bCs/>
          <w:color w:val="FF0000"/>
          <w:sz w:val="24"/>
          <w:u w:val="single"/>
        </w:rPr>
        <w:drawing>
          <wp:inline distT="0" distB="0" distL="0" distR="0">
            <wp:extent cx="2170430" cy="723265"/>
            <wp:effectExtent l="19050" t="0" r="127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noChangeArrowheads="1"/>
                    </pic:cNvPicPr>
                  </pic:nvPicPr>
                  <pic:blipFill>
                    <a:blip r:embed="rId38" cstate="print"/>
                    <a:srcRect/>
                    <a:stretch>
                      <a:fillRect/>
                    </a:stretch>
                  </pic:blipFill>
                  <pic:spPr>
                    <a:xfrm>
                      <a:off x="0" y="0"/>
                      <a:ext cx="2170430" cy="723265"/>
                    </a:xfrm>
                    <a:prstGeom prst="rect">
                      <a:avLst/>
                    </a:prstGeom>
                    <a:noFill/>
                    <a:ln w="9525">
                      <a:noFill/>
                      <a:miter lim="800000"/>
                      <a:headEnd/>
                      <a:tailEnd/>
                    </a:ln>
                  </pic:spPr>
                </pic:pic>
              </a:graphicData>
            </a:graphic>
          </wp:inline>
        </w:drawing>
      </w:r>
      <w:r>
        <w:rPr>
          <w:b/>
          <w:bCs/>
          <w:color w:val="FF0000"/>
          <w:sz w:val="24"/>
          <w:u w:val="single"/>
        </w:rPr>
        <w:drawing>
          <wp:inline distT="0" distB="0" distL="0" distR="0">
            <wp:extent cx="3649345" cy="2106930"/>
            <wp:effectExtent l="19050" t="0" r="8255" b="0"/>
            <wp:docPr id="3" name="图片 10"/>
            <wp:cNvGraphicFramePr/>
            <a:graphic xmlns:a="http://schemas.openxmlformats.org/drawingml/2006/main">
              <a:graphicData uri="http://schemas.openxmlformats.org/drawingml/2006/picture">
                <pic:pic xmlns:pic="http://schemas.openxmlformats.org/drawingml/2006/picture">
                  <pic:nvPicPr>
                    <pic:cNvPr id="3" name="图片 10"/>
                    <pic:cNvPicPr preferRelativeResize="0">
                      <a:picLocks noChangeArrowheads="1"/>
                    </pic:cNvPicPr>
                  </pic:nvPicPr>
                  <pic:blipFill>
                    <a:blip r:embed="rId39" cstate="print"/>
                    <a:srcRect t="23871" r="662"/>
                    <a:stretch>
                      <a:fillRect/>
                    </a:stretch>
                  </pic:blipFill>
                  <pic:spPr>
                    <a:xfrm>
                      <a:off x="0" y="0"/>
                      <a:ext cx="3649345" cy="2106930"/>
                    </a:xfrm>
                    <a:prstGeom prst="rect">
                      <a:avLst/>
                    </a:prstGeom>
                    <a:noFill/>
                    <a:ln w="9525">
                      <a:noFill/>
                      <a:miter lim="800000"/>
                      <a:headEnd/>
                      <a:tailEnd/>
                    </a:ln>
                  </pic:spPr>
                </pic:pic>
              </a:graphicData>
            </a:graphic>
          </wp:inline>
        </w:drawing>
      </w:r>
    </w:p>
    <w:p>
      <w:pPr>
        <w:spacing w:line="520" w:lineRule="exact"/>
        <w:ind w:firstLine="482" w:firstLineChars="200"/>
        <w:rPr>
          <w:b/>
          <w:bCs/>
          <w:sz w:val="24"/>
          <w:u w:val="single"/>
        </w:rPr>
      </w:pPr>
      <w:r>
        <w:rPr>
          <w:b/>
          <w:bCs/>
          <w:sz w:val="24"/>
          <w:u w:val="single"/>
        </w:rPr>
        <w:t>非正常状况时横截面面积按照沼液储存池占地面积的10%计，即2000m</w:t>
      </w:r>
      <w:r>
        <w:rPr>
          <w:b/>
          <w:bCs/>
          <w:sz w:val="24"/>
          <w:u w:val="single"/>
          <w:vertAlign w:val="superscript"/>
        </w:rPr>
        <w:t>2</w:t>
      </w:r>
      <w:r>
        <w:rPr>
          <w:b/>
          <w:bCs/>
          <w:sz w:val="24"/>
          <w:u w:val="single"/>
        </w:rPr>
        <w:t>。</w:t>
      </w:r>
    </w:p>
    <w:p>
      <w:pPr>
        <w:spacing w:line="520" w:lineRule="exact"/>
        <w:ind w:firstLine="482" w:firstLineChars="200"/>
        <w:rPr>
          <w:b/>
          <w:bCs/>
          <w:sz w:val="24"/>
          <w:u w:val="single"/>
        </w:rPr>
      </w:pPr>
      <w:r>
        <w:rPr>
          <w:b/>
          <w:bCs/>
          <w:sz w:val="24"/>
          <w:u w:val="single"/>
        </w:rPr>
        <w:t>水流速度根据地下水流经验公式计算：</w:t>
      </w:r>
    </w:p>
    <w:p>
      <w:pPr>
        <w:ind w:firstLine="1205" w:firstLineChars="500"/>
        <w:rPr>
          <w:b/>
          <w:bCs/>
          <w:sz w:val="24"/>
          <w:u w:val="single"/>
        </w:rPr>
      </w:pPr>
      <w:r>
        <w:rPr>
          <w:b/>
          <w:bCs/>
          <w:sz w:val="24"/>
          <w:u w:val="single"/>
        </w:rPr>
        <w:t>V=KI/n</w:t>
      </w:r>
    </w:p>
    <w:p>
      <w:pPr>
        <w:spacing w:line="500" w:lineRule="exact"/>
        <w:ind w:firstLine="480"/>
        <w:rPr>
          <w:b/>
          <w:bCs/>
          <w:sz w:val="24"/>
          <w:u w:val="single"/>
        </w:rPr>
      </w:pPr>
      <w:r>
        <w:rPr>
          <w:b/>
          <w:bCs/>
          <w:sz w:val="24"/>
          <w:u w:val="single"/>
        </w:rPr>
        <w:t>式中：V——水流速度；</w:t>
      </w:r>
    </w:p>
    <w:p>
      <w:pPr>
        <w:spacing w:line="500" w:lineRule="exact"/>
        <w:ind w:firstLine="1205" w:firstLineChars="500"/>
        <w:rPr>
          <w:b/>
          <w:bCs/>
          <w:kern w:val="0"/>
          <w:sz w:val="24"/>
          <w:u w:val="single"/>
        </w:rPr>
      </w:pPr>
      <w:r>
        <w:rPr>
          <w:b/>
          <w:bCs/>
          <w:sz w:val="24"/>
          <w:u w:val="single"/>
        </w:rPr>
        <w:t>K——渗透系数，</w:t>
      </w:r>
      <w:r>
        <w:rPr>
          <w:b/>
          <w:bCs/>
          <w:kern w:val="0"/>
          <w:sz w:val="24"/>
          <w:u w:val="single"/>
        </w:rPr>
        <w:t>m/d；</w:t>
      </w:r>
    </w:p>
    <w:p>
      <w:pPr>
        <w:spacing w:line="500" w:lineRule="exact"/>
        <w:ind w:firstLine="1205" w:firstLineChars="500"/>
        <w:rPr>
          <w:b/>
          <w:bCs/>
          <w:kern w:val="0"/>
          <w:sz w:val="24"/>
          <w:u w:val="single"/>
        </w:rPr>
      </w:pPr>
      <w:r>
        <w:rPr>
          <w:b/>
          <w:bCs/>
          <w:kern w:val="0"/>
          <w:sz w:val="24"/>
          <w:u w:val="single"/>
        </w:rPr>
        <w:t>I——水力坡度；</w:t>
      </w:r>
    </w:p>
    <w:p>
      <w:pPr>
        <w:spacing w:line="500" w:lineRule="exact"/>
        <w:ind w:firstLine="1205" w:firstLineChars="500"/>
        <w:rPr>
          <w:b/>
          <w:bCs/>
          <w:kern w:val="0"/>
          <w:sz w:val="24"/>
          <w:u w:val="single"/>
        </w:rPr>
      </w:pPr>
      <w:r>
        <w:rPr>
          <w:b/>
          <w:bCs/>
          <w:kern w:val="0"/>
          <w:sz w:val="24"/>
          <w:u w:val="single"/>
        </w:rPr>
        <w:t>n——有效孔隙度。</w:t>
      </w:r>
    </w:p>
    <w:p>
      <w:pPr>
        <w:adjustRightInd w:val="0"/>
        <w:snapToGrid w:val="0"/>
        <w:spacing w:line="500" w:lineRule="exact"/>
        <w:ind w:firstLine="482" w:firstLineChars="200"/>
        <w:rPr>
          <w:b/>
          <w:bCs/>
          <w:sz w:val="24"/>
          <w:u w:val="single"/>
        </w:rPr>
      </w:pPr>
      <w:r>
        <w:rPr>
          <w:b/>
          <w:bCs/>
          <w:sz w:val="24"/>
          <w:u w:val="single"/>
        </w:rPr>
        <w:t>由上式计算可得，本项目所在区域地下水流速为0.0143m/d。</w:t>
      </w:r>
    </w:p>
    <w:p>
      <w:pPr>
        <w:spacing w:line="500" w:lineRule="exact"/>
        <w:ind w:firstLine="482" w:firstLineChars="200"/>
        <w:rPr>
          <w:b/>
          <w:bCs/>
          <w:sz w:val="24"/>
          <w:u w:val="single"/>
        </w:rPr>
      </w:pPr>
      <w:r>
        <w:rPr>
          <w:b/>
          <w:bCs/>
          <w:sz w:val="24"/>
          <w:u w:val="single"/>
        </w:rPr>
        <w:t>（5）预测结果</w:t>
      </w:r>
    </w:p>
    <w:p>
      <w:pPr>
        <w:spacing w:line="520" w:lineRule="exact"/>
        <w:ind w:firstLine="482" w:firstLineChars="200"/>
        <w:rPr>
          <w:b/>
          <w:bCs/>
          <w:sz w:val="24"/>
          <w:u w:val="single"/>
        </w:rPr>
      </w:pPr>
      <w:r>
        <w:rPr>
          <w:b/>
          <w:bCs/>
          <w:sz w:val="24"/>
          <w:u w:val="single"/>
        </w:rPr>
        <w:t>结合《环境影响评价技术导则  地下水环境》（HJ610-2016），选取泄漏后污染物浓度最大时间、100d、1000d、场界、场址下游的</w:t>
      </w:r>
      <w:r>
        <w:rPr>
          <w:rFonts w:hint="eastAsia"/>
          <w:b/>
          <w:bCs/>
          <w:sz w:val="24"/>
          <w:u w:val="single"/>
        </w:rPr>
        <w:t>邢寨村</w:t>
      </w:r>
      <w:r>
        <w:rPr>
          <w:b/>
          <w:bCs/>
          <w:sz w:val="24"/>
          <w:u w:val="single"/>
        </w:rPr>
        <w:t>庄进行预测。</w:t>
      </w:r>
    </w:p>
    <w:p>
      <w:pPr>
        <w:spacing w:line="500" w:lineRule="exact"/>
        <w:ind w:firstLine="482" w:firstLineChars="200"/>
        <w:rPr>
          <w:b/>
          <w:bCs/>
          <w:sz w:val="24"/>
          <w:u w:val="single"/>
        </w:rPr>
      </w:pPr>
      <w:r>
        <w:rPr>
          <w:b/>
          <w:bCs/>
          <w:sz w:val="24"/>
          <w:u w:val="single"/>
        </w:rPr>
        <w:t>预测结果见表4-21~表4-24。</w:t>
      </w:r>
    </w:p>
    <w:p>
      <w:pPr>
        <w:adjustRightInd w:val="0"/>
        <w:snapToGrid w:val="0"/>
        <w:spacing w:beforeLines="50" w:afterLines="50"/>
        <w:ind w:firstLine="437"/>
        <w:jc w:val="center"/>
        <w:rPr>
          <w:b/>
          <w:bCs/>
          <w:szCs w:val="21"/>
          <w:u w:val="single"/>
        </w:rPr>
      </w:pPr>
      <w:r>
        <w:rPr>
          <w:b/>
          <w:bCs/>
          <w:szCs w:val="21"/>
          <w:u w:val="single"/>
        </w:rPr>
        <w:t>表4-21  非正常状况下本项目场址下游地下水CODMn预测结果一览表</w:t>
      </w:r>
    </w:p>
    <w:tbl>
      <w:tblPr>
        <w:tblStyle w:val="44"/>
        <w:tblW w:w="894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0"/>
        <w:gridCol w:w="1554"/>
        <w:gridCol w:w="1201"/>
        <w:gridCol w:w="1203"/>
        <w:gridCol w:w="1202"/>
        <w:gridCol w:w="1202"/>
        <w:gridCol w:w="15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40" w:type="dxa"/>
            <w:vAlign w:val="center"/>
          </w:tcPr>
          <w:p>
            <w:pPr>
              <w:ind w:left="-105" w:leftChars="-50" w:right="-105" w:rightChars="-50"/>
              <w:jc w:val="center"/>
              <w:rPr>
                <w:b/>
                <w:bCs/>
                <w:szCs w:val="21"/>
                <w:u w:val="single"/>
              </w:rPr>
            </w:pPr>
            <w:r>
              <w:rPr>
                <w:b/>
                <w:bCs/>
                <w:szCs w:val="21"/>
                <w:u w:val="single"/>
              </w:rPr>
              <w:t>名称</w:t>
            </w:r>
          </w:p>
        </w:tc>
        <w:tc>
          <w:tcPr>
            <w:tcW w:w="1554" w:type="dxa"/>
            <w:vAlign w:val="center"/>
          </w:tcPr>
          <w:p>
            <w:pPr>
              <w:ind w:left="-50" w:right="-50"/>
              <w:jc w:val="center"/>
              <w:rPr>
                <w:b/>
                <w:bCs/>
                <w:szCs w:val="21"/>
                <w:u w:val="single"/>
              </w:rPr>
            </w:pPr>
            <w:r>
              <w:rPr>
                <w:b/>
                <w:bCs/>
                <w:szCs w:val="21"/>
                <w:u w:val="single"/>
              </w:rPr>
              <w:t>最大预测值（mg/L）</w:t>
            </w:r>
          </w:p>
        </w:tc>
        <w:tc>
          <w:tcPr>
            <w:tcW w:w="1201" w:type="dxa"/>
            <w:vAlign w:val="center"/>
          </w:tcPr>
          <w:p>
            <w:pPr>
              <w:ind w:left="-50" w:right="-50"/>
              <w:jc w:val="center"/>
              <w:rPr>
                <w:b/>
                <w:bCs/>
                <w:szCs w:val="21"/>
                <w:u w:val="single"/>
              </w:rPr>
            </w:pPr>
            <w:r>
              <w:rPr>
                <w:b/>
                <w:bCs/>
                <w:szCs w:val="21"/>
                <w:u w:val="single"/>
              </w:rPr>
              <w:t>最大预测值出现距离（m）</w:t>
            </w:r>
          </w:p>
        </w:tc>
        <w:tc>
          <w:tcPr>
            <w:tcW w:w="1203" w:type="dxa"/>
            <w:vAlign w:val="center"/>
          </w:tcPr>
          <w:p>
            <w:pPr>
              <w:ind w:left="-50" w:right="-50"/>
              <w:jc w:val="center"/>
              <w:rPr>
                <w:b/>
                <w:bCs/>
                <w:szCs w:val="21"/>
                <w:u w:val="single"/>
              </w:rPr>
            </w:pPr>
            <w:r>
              <w:rPr>
                <w:b/>
                <w:bCs/>
                <w:szCs w:val="21"/>
                <w:u w:val="single"/>
              </w:rPr>
              <w:t>最远影响距离（m）</w:t>
            </w:r>
          </w:p>
        </w:tc>
        <w:tc>
          <w:tcPr>
            <w:tcW w:w="1202" w:type="dxa"/>
            <w:vAlign w:val="center"/>
          </w:tcPr>
          <w:p>
            <w:pPr>
              <w:ind w:left="-50" w:right="-50"/>
              <w:jc w:val="center"/>
              <w:rPr>
                <w:b/>
                <w:bCs/>
                <w:szCs w:val="21"/>
                <w:u w:val="single"/>
              </w:rPr>
            </w:pPr>
            <w:r>
              <w:rPr>
                <w:b/>
                <w:bCs/>
                <w:szCs w:val="21"/>
                <w:u w:val="single"/>
              </w:rPr>
              <w:t>开始超标距离（m）</w:t>
            </w:r>
          </w:p>
        </w:tc>
        <w:tc>
          <w:tcPr>
            <w:tcW w:w="1202" w:type="dxa"/>
            <w:vAlign w:val="center"/>
          </w:tcPr>
          <w:p>
            <w:pPr>
              <w:ind w:left="-50" w:right="-50"/>
              <w:jc w:val="center"/>
              <w:rPr>
                <w:b/>
                <w:bCs/>
                <w:szCs w:val="21"/>
                <w:u w:val="single"/>
              </w:rPr>
            </w:pPr>
            <w:r>
              <w:rPr>
                <w:b/>
                <w:bCs/>
                <w:szCs w:val="21"/>
                <w:u w:val="single"/>
              </w:rPr>
              <w:t>开始达标距离（m）</w:t>
            </w:r>
          </w:p>
        </w:tc>
        <w:tc>
          <w:tcPr>
            <w:tcW w:w="1546" w:type="dxa"/>
            <w:vAlign w:val="center"/>
          </w:tcPr>
          <w:p>
            <w:pPr>
              <w:ind w:left="-50" w:right="-50"/>
              <w:jc w:val="center"/>
              <w:rPr>
                <w:b/>
                <w:bCs/>
                <w:szCs w:val="21"/>
                <w:u w:val="single"/>
              </w:rPr>
            </w:pPr>
            <w:r>
              <w:rPr>
                <w:b/>
                <w:bCs/>
                <w:szCs w:val="21"/>
                <w:u w:val="single"/>
              </w:rPr>
              <w:t>标准值（mg/L）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40" w:type="dxa"/>
            <w:vAlign w:val="center"/>
          </w:tcPr>
          <w:p>
            <w:pPr>
              <w:ind w:left="-50" w:right="-50"/>
              <w:jc w:val="center"/>
              <w:rPr>
                <w:b/>
                <w:bCs/>
                <w:szCs w:val="21"/>
                <w:u w:val="single"/>
              </w:rPr>
            </w:pPr>
            <w:r>
              <w:rPr>
                <w:b/>
                <w:bCs/>
                <w:szCs w:val="21"/>
                <w:u w:val="single"/>
              </w:rPr>
              <w:t>1d</w:t>
            </w:r>
          </w:p>
        </w:tc>
        <w:tc>
          <w:tcPr>
            <w:tcW w:w="1554" w:type="dxa"/>
            <w:vAlign w:val="center"/>
          </w:tcPr>
          <w:p>
            <w:pPr>
              <w:ind w:left="-50" w:right="-50"/>
              <w:jc w:val="center"/>
              <w:rPr>
                <w:b/>
                <w:bCs/>
                <w:szCs w:val="21"/>
                <w:u w:val="single"/>
              </w:rPr>
            </w:pPr>
            <w:r>
              <w:rPr>
                <w:b/>
                <w:bCs/>
                <w:szCs w:val="21"/>
                <w:u w:val="single"/>
              </w:rPr>
              <w:t>16.71</w:t>
            </w:r>
          </w:p>
        </w:tc>
        <w:tc>
          <w:tcPr>
            <w:tcW w:w="1201" w:type="dxa"/>
            <w:vAlign w:val="center"/>
          </w:tcPr>
          <w:p>
            <w:pPr>
              <w:ind w:left="-50" w:right="-50"/>
              <w:jc w:val="center"/>
              <w:rPr>
                <w:b/>
                <w:bCs/>
                <w:szCs w:val="21"/>
                <w:u w:val="single"/>
              </w:rPr>
            </w:pPr>
            <w:r>
              <w:rPr>
                <w:b/>
                <w:bCs/>
                <w:szCs w:val="21"/>
                <w:u w:val="single"/>
              </w:rPr>
              <w:t>0</w:t>
            </w:r>
          </w:p>
        </w:tc>
        <w:tc>
          <w:tcPr>
            <w:tcW w:w="1203" w:type="dxa"/>
            <w:vAlign w:val="center"/>
          </w:tcPr>
          <w:p>
            <w:pPr>
              <w:ind w:left="-50" w:right="-50"/>
              <w:jc w:val="center"/>
              <w:rPr>
                <w:b/>
                <w:bCs/>
                <w:szCs w:val="21"/>
                <w:u w:val="single"/>
              </w:rPr>
            </w:pPr>
            <w:r>
              <w:rPr>
                <w:b/>
                <w:bCs/>
                <w:szCs w:val="21"/>
                <w:u w:val="single"/>
              </w:rPr>
              <w:t>27</w:t>
            </w:r>
          </w:p>
        </w:tc>
        <w:tc>
          <w:tcPr>
            <w:tcW w:w="1202" w:type="dxa"/>
            <w:vAlign w:val="center"/>
          </w:tcPr>
          <w:p>
            <w:pPr>
              <w:ind w:left="-50" w:right="-50"/>
              <w:jc w:val="center"/>
              <w:rPr>
                <w:b/>
                <w:bCs/>
                <w:szCs w:val="21"/>
                <w:u w:val="single"/>
              </w:rPr>
            </w:pPr>
            <w:r>
              <w:rPr>
                <w:b/>
                <w:bCs/>
                <w:szCs w:val="21"/>
                <w:u w:val="single"/>
              </w:rPr>
              <w:t>0</w:t>
            </w:r>
          </w:p>
        </w:tc>
        <w:tc>
          <w:tcPr>
            <w:tcW w:w="1202" w:type="dxa"/>
            <w:vAlign w:val="center"/>
          </w:tcPr>
          <w:p>
            <w:pPr>
              <w:ind w:left="-50" w:right="-50"/>
              <w:jc w:val="center"/>
              <w:rPr>
                <w:b/>
                <w:bCs/>
                <w:szCs w:val="21"/>
                <w:u w:val="single"/>
              </w:rPr>
            </w:pPr>
            <w:r>
              <w:rPr>
                <w:b/>
                <w:bCs/>
                <w:szCs w:val="21"/>
                <w:u w:val="single"/>
              </w:rPr>
              <w:t>4</w:t>
            </w:r>
          </w:p>
        </w:tc>
        <w:tc>
          <w:tcPr>
            <w:tcW w:w="1546" w:type="dxa"/>
            <w:vAlign w:val="center"/>
          </w:tcPr>
          <w:p>
            <w:pPr>
              <w:ind w:left="-50" w:right="-50"/>
              <w:jc w:val="center"/>
              <w:rPr>
                <w:b/>
                <w:bCs/>
                <w:szCs w:val="21"/>
                <w:u w:val="single"/>
              </w:rPr>
            </w:pPr>
            <w:r>
              <w:rPr>
                <w:b/>
                <w:bCs/>
                <w:szCs w:val="21"/>
                <w:u w:val="single"/>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0" w:hRule="atLeast"/>
          <w:jc w:val="center"/>
        </w:trPr>
        <w:tc>
          <w:tcPr>
            <w:tcW w:w="1040" w:type="dxa"/>
            <w:vAlign w:val="center"/>
          </w:tcPr>
          <w:p>
            <w:pPr>
              <w:ind w:left="-50" w:right="-50"/>
              <w:jc w:val="center"/>
              <w:rPr>
                <w:b/>
                <w:bCs/>
                <w:szCs w:val="21"/>
                <w:u w:val="single"/>
              </w:rPr>
            </w:pPr>
            <w:r>
              <w:rPr>
                <w:b/>
                <w:bCs/>
                <w:szCs w:val="21"/>
                <w:u w:val="single"/>
              </w:rPr>
              <w:t>100d</w:t>
            </w:r>
          </w:p>
        </w:tc>
        <w:tc>
          <w:tcPr>
            <w:tcW w:w="1554" w:type="dxa"/>
            <w:vAlign w:val="center"/>
          </w:tcPr>
          <w:p>
            <w:pPr>
              <w:ind w:left="-50" w:right="-50"/>
              <w:jc w:val="center"/>
              <w:rPr>
                <w:b/>
                <w:bCs/>
                <w:szCs w:val="21"/>
                <w:u w:val="single"/>
              </w:rPr>
            </w:pPr>
            <w:r>
              <w:rPr>
                <w:b/>
                <w:bCs/>
                <w:szCs w:val="21"/>
                <w:u w:val="single"/>
              </w:rPr>
              <w:t>1.67</w:t>
            </w:r>
          </w:p>
        </w:tc>
        <w:tc>
          <w:tcPr>
            <w:tcW w:w="1201" w:type="dxa"/>
            <w:vAlign w:val="center"/>
          </w:tcPr>
          <w:p>
            <w:pPr>
              <w:pStyle w:val="249"/>
              <w:jc w:val="center"/>
              <w:rPr>
                <w:rFonts w:ascii="Times New Roman" w:hAnsi="Times New Roman"/>
                <w:b/>
                <w:bCs/>
                <w:szCs w:val="21"/>
                <w:u w:val="single"/>
              </w:rPr>
            </w:pPr>
            <w:r>
              <w:rPr>
                <w:rFonts w:ascii="Times New Roman" w:hAnsi="Times New Roman"/>
                <w:b/>
                <w:bCs/>
                <w:szCs w:val="21"/>
                <w:u w:val="single"/>
              </w:rPr>
              <w:t>0</w:t>
            </w:r>
          </w:p>
        </w:tc>
        <w:tc>
          <w:tcPr>
            <w:tcW w:w="1203" w:type="dxa"/>
            <w:vAlign w:val="center"/>
          </w:tcPr>
          <w:p>
            <w:pPr>
              <w:tabs>
                <w:tab w:val="left" w:pos="554"/>
              </w:tabs>
              <w:ind w:left="-50" w:right="-50"/>
              <w:jc w:val="center"/>
              <w:rPr>
                <w:b/>
                <w:bCs/>
                <w:szCs w:val="21"/>
                <w:u w:val="single"/>
              </w:rPr>
            </w:pPr>
            <w:r>
              <w:rPr>
                <w:b/>
                <w:bCs/>
                <w:szCs w:val="21"/>
                <w:u w:val="single"/>
              </w:rPr>
              <w:t>268</w:t>
            </w:r>
          </w:p>
        </w:tc>
        <w:tc>
          <w:tcPr>
            <w:tcW w:w="1202" w:type="dxa"/>
            <w:vAlign w:val="center"/>
          </w:tcPr>
          <w:p>
            <w:pPr>
              <w:ind w:left="-50" w:right="-50"/>
              <w:jc w:val="center"/>
              <w:rPr>
                <w:b/>
                <w:bCs/>
                <w:szCs w:val="21"/>
                <w:u w:val="single"/>
              </w:rPr>
            </w:pPr>
            <w:r>
              <w:rPr>
                <w:b/>
                <w:bCs/>
                <w:szCs w:val="21"/>
                <w:u w:val="single"/>
              </w:rPr>
              <w:t>0</w:t>
            </w:r>
          </w:p>
        </w:tc>
        <w:tc>
          <w:tcPr>
            <w:tcW w:w="1202" w:type="dxa"/>
            <w:vAlign w:val="center"/>
          </w:tcPr>
          <w:p>
            <w:pPr>
              <w:ind w:left="-50" w:right="-50"/>
              <w:jc w:val="center"/>
              <w:rPr>
                <w:b/>
                <w:bCs/>
                <w:szCs w:val="21"/>
                <w:u w:val="single"/>
              </w:rPr>
            </w:pPr>
            <w:r>
              <w:rPr>
                <w:b/>
                <w:bCs/>
                <w:szCs w:val="21"/>
                <w:u w:val="single"/>
              </w:rPr>
              <w:t>0</w:t>
            </w:r>
          </w:p>
        </w:tc>
        <w:tc>
          <w:tcPr>
            <w:tcW w:w="1546" w:type="dxa"/>
            <w:vAlign w:val="center"/>
          </w:tcPr>
          <w:p>
            <w:pPr>
              <w:ind w:left="-50" w:right="-50"/>
              <w:jc w:val="center"/>
              <w:rPr>
                <w:b/>
                <w:bCs/>
                <w:szCs w:val="21"/>
                <w:u w:val="single"/>
              </w:rPr>
            </w:pPr>
            <w:r>
              <w:rPr>
                <w:b/>
                <w:bCs/>
                <w:szCs w:val="21"/>
                <w:u w:val="single"/>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40" w:type="dxa"/>
            <w:vAlign w:val="center"/>
          </w:tcPr>
          <w:p>
            <w:pPr>
              <w:ind w:left="-50" w:right="-50"/>
              <w:jc w:val="center"/>
              <w:rPr>
                <w:b/>
                <w:bCs/>
                <w:szCs w:val="21"/>
                <w:u w:val="single"/>
              </w:rPr>
            </w:pPr>
            <w:r>
              <w:rPr>
                <w:b/>
                <w:bCs/>
                <w:szCs w:val="21"/>
                <w:u w:val="single"/>
              </w:rPr>
              <w:t>1000d</w:t>
            </w:r>
          </w:p>
        </w:tc>
        <w:tc>
          <w:tcPr>
            <w:tcW w:w="1554" w:type="dxa"/>
            <w:vAlign w:val="center"/>
          </w:tcPr>
          <w:p>
            <w:pPr>
              <w:ind w:left="-50" w:right="-50"/>
              <w:jc w:val="center"/>
              <w:rPr>
                <w:b/>
                <w:bCs/>
                <w:szCs w:val="21"/>
                <w:u w:val="single"/>
              </w:rPr>
            </w:pPr>
            <w:r>
              <w:rPr>
                <w:b/>
                <w:bCs/>
                <w:szCs w:val="21"/>
                <w:u w:val="single"/>
              </w:rPr>
              <w:t>0.53</w:t>
            </w:r>
          </w:p>
        </w:tc>
        <w:tc>
          <w:tcPr>
            <w:tcW w:w="1201" w:type="dxa"/>
            <w:vAlign w:val="center"/>
          </w:tcPr>
          <w:p>
            <w:pPr>
              <w:ind w:left="-50" w:right="-50"/>
              <w:jc w:val="center"/>
              <w:rPr>
                <w:b/>
                <w:bCs/>
                <w:szCs w:val="21"/>
                <w:u w:val="single"/>
              </w:rPr>
            </w:pPr>
            <w:r>
              <w:rPr>
                <w:b/>
                <w:bCs/>
                <w:szCs w:val="21"/>
                <w:u w:val="single"/>
              </w:rPr>
              <w:t>0</w:t>
            </w:r>
          </w:p>
        </w:tc>
        <w:tc>
          <w:tcPr>
            <w:tcW w:w="1203" w:type="dxa"/>
            <w:vAlign w:val="center"/>
          </w:tcPr>
          <w:p>
            <w:pPr>
              <w:tabs>
                <w:tab w:val="left" w:pos="554"/>
              </w:tabs>
              <w:ind w:left="-50" w:right="-50"/>
              <w:jc w:val="center"/>
              <w:rPr>
                <w:b/>
                <w:bCs/>
                <w:szCs w:val="21"/>
                <w:u w:val="single"/>
              </w:rPr>
            </w:pPr>
            <w:r>
              <w:rPr>
                <w:b/>
                <w:bCs/>
                <w:szCs w:val="21"/>
                <w:u w:val="single"/>
              </w:rPr>
              <w:t>854</w:t>
            </w:r>
          </w:p>
        </w:tc>
        <w:tc>
          <w:tcPr>
            <w:tcW w:w="1202" w:type="dxa"/>
            <w:vAlign w:val="center"/>
          </w:tcPr>
          <w:p>
            <w:pPr>
              <w:ind w:left="-50" w:right="-50"/>
              <w:jc w:val="center"/>
              <w:rPr>
                <w:b/>
                <w:bCs/>
                <w:szCs w:val="21"/>
                <w:u w:val="single"/>
              </w:rPr>
            </w:pPr>
            <w:r>
              <w:rPr>
                <w:b/>
                <w:bCs/>
                <w:szCs w:val="21"/>
                <w:u w:val="single"/>
              </w:rPr>
              <w:t>0</w:t>
            </w:r>
          </w:p>
        </w:tc>
        <w:tc>
          <w:tcPr>
            <w:tcW w:w="1202" w:type="dxa"/>
            <w:vAlign w:val="center"/>
          </w:tcPr>
          <w:p>
            <w:pPr>
              <w:ind w:left="-50" w:right="-50"/>
              <w:jc w:val="center"/>
              <w:rPr>
                <w:b/>
                <w:bCs/>
                <w:szCs w:val="21"/>
                <w:u w:val="single"/>
              </w:rPr>
            </w:pPr>
            <w:r>
              <w:rPr>
                <w:b/>
                <w:bCs/>
                <w:szCs w:val="21"/>
                <w:u w:val="single"/>
              </w:rPr>
              <w:t>0</w:t>
            </w:r>
          </w:p>
        </w:tc>
        <w:tc>
          <w:tcPr>
            <w:tcW w:w="1546" w:type="dxa"/>
            <w:vAlign w:val="center"/>
          </w:tcPr>
          <w:p>
            <w:pPr>
              <w:ind w:left="-50" w:right="-50"/>
              <w:jc w:val="center"/>
              <w:rPr>
                <w:b/>
                <w:bCs/>
                <w:szCs w:val="21"/>
                <w:u w:val="single"/>
              </w:rPr>
            </w:pPr>
            <w:r>
              <w:rPr>
                <w:b/>
                <w:bCs/>
                <w:szCs w:val="21"/>
                <w:u w:val="single"/>
              </w:rPr>
              <w:t>3.0</w:t>
            </w:r>
          </w:p>
        </w:tc>
      </w:tr>
    </w:tbl>
    <w:p>
      <w:pPr>
        <w:adjustRightInd w:val="0"/>
        <w:snapToGrid w:val="0"/>
        <w:spacing w:beforeLines="50" w:afterLines="50"/>
        <w:ind w:firstLine="437"/>
        <w:jc w:val="center"/>
        <w:rPr>
          <w:b/>
          <w:bCs/>
          <w:szCs w:val="21"/>
          <w:u w:val="single"/>
        </w:rPr>
      </w:pPr>
      <w:r>
        <w:rPr>
          <w:b/>
          <w:bCs/>
          <w:szCs w:val="21"/>
          <w:u w:val="single"/>
        </w:rPr>
        <w:t>表4-22  非正常状况下本项目场址下游地下水氨氮预测结果一览表</w:t>
      </w:r>
    </w:p>
    <w:tbl>
      <w:tblPr>
        <w:tblStyle w:val="44"/>
        <w:tblW w:w="894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3"/>
        <w:gridCol w:w="1555"/>
        <w:gridCol w:w="1202"/>
        <w:gridCol w:w="1202"/>
        <w:gridCol w:w="1202"/>
        <w:gridCol w:w="1202"/>
        <w:gridCol w:w="15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79" w:hRule="atLeast"/>
          <w:jc w:val="center"/>
        </w:trPr>
        <w:tc>
          <w:tcPr>
            <w:tcW w:w="1043" w:type="dxa"/>
            <w:vAlign w:val="center"/>
          </w:tcPr>
          <w:p>
            <w:pPr>
              <w:ind w:left="-105" w:leftChars="-50" w:right="-105" w:rightChars="-50"/>
              <w:jc w:val="center"/>
              <w:rPr>
                <w:b/>
                <w:bCs/>
                <w:szCs w:val="21"/>
                <w:u w:val="single"/>
              </w:rPr>
            </w:pPr>
            <w:r>
              <w:rPr>
                <w:b/>
                <w:bCs/>
                <w:szCs w:val="21"/>
                <w:u w:val="single"/>
              </w:rPr>
              <w:t>名称</w:t>
            </w:r>
          </w:p>
        </w:tc>
        <w:tc>
          <w:tcPr>
            <w:tcW w:w="1555" w:type="dxa"/>
            <w:vAlign w:val="center"/>
          </w:tcPr>
          <w:p>
            <w:pPr>
              <w:ind w:left="-50" w:right="-50"/>
              <w:jc w:val="center"/>
              <w:rPr>
                <w:b/>
                <w:bCs/>
                <w:szCs w:val="21"/>
                <w:u w:val="single"/>
              </w:rPr>
            </w:pPr>
            <w:r>
              <w:rPr>
                <w:b/>
                <w:bCs/>
                <w:szCs w:val="21"/>
                <w:u w:val="single"/>
              </w:rPr>
              <w:t>最大预测值（mg/L）</w:t>
            </w:r>
          </w:p>
        </w:tc>
        <w:tc>
          <w:tcPr>
            <w:tcW w:w="1202" w:type="dxa"/>
            <w:vAlign w:val="center"/>
          </w:tcPr>
          <w:p>
            <w:pPr>
              <w:ind w:left="-50" w:right="-50"/>
              <w:jc w:val="center"/>
              <w:rPr>
                <w:b/>
                <w:bCs/>
                <w:szCs w:val="21"/>
                <w:u w:val="single"/>
              </w:rPr>
            </w:pPr>
            <w:r>
              <w:rPr>
                <w:b/>
                <w:bCs/>
                <w:szCs w:val="21"/>
                <w:u w:val="single"/>
              </w:rPr>
              <w:t>最大预测值出现距离（m）</w:t>
            </w:r>
          </w:p>
        </w:tc>
        <w:tc>
          <w:tcPr>
            <w:tcW w:w="1202" w:type="dxa"/>
            <w:vAlign w:val="center"/>
          </w:tcPr>
          <w:p>
            <w:pPr>
              <w:ind w:left="-50" w:right="-50"/>
              <w:jc w:val="center"/>
              <w:rPr>
                <w:b/>
                <w:bCs/>
                <w:szCs w:val="21"/>
                <w:u w:val="single"/>
              </w:rPr>
            </w:pPr>
            <w:r>
              <w:rPr>
                <w:b/>
                <w:bCs/>
                <w:szCs w:val="21"/>
                <w:u w:val="single"/>
              </w:rPr>
              <w:t>最远影响距离（m）</w:t>
            </w:r>
          </w:p>
        </w:tc>
        <w:tc>
          <w:tcPr>
            <w:tcW w:w="1202" w:type="dxa"/>
            <w:vAlign w:val="center"/>
          </w:tcPr>
          <w:p>
            <w:pPr>
              <w:ind w:left="-50" w:right="-50"/>
              <w:jc w:val="center"/>
              <w:rPr>
                <w:b/>
                <w:bCs/>
                <w:szCs w:val="21"/>
                <w:u w:val="single"/>
              </w:rPr>
            </w:pPr>
            <w:r>
              <w:rPr>
                <w:b/>
                <w:bCs/>
                <w:szCs w:val="21"/>
                <w:u w:val="single"/>
              </w:rPr>
              <w:t>开始超标距离（m）</w:t>
            </w:r>
          </w:p>
        </w:tc>
        <w:tc>
          <w:tcPr>
            <w:tcW w:w="1202" w:type="dxa"/>
            <w:vAlign w:val="center"/>
          </w:tcPr>
          <w:p>
            <w:pPr>
              <w:ind w:left="-50" w:right="-50"/>
              <w:jc w:val="center"/>
              <w:rPr>
                <w:b/>
                <w:bCs/>
                <w:szCs w:val="21"/>
                <w:u w:val="single"/>
              </w:rPr>
            </w:pPr>
            <w:r>
              <w:rPr>
                <w:b/>
                <w:bCs/>
                <w:szCs w:val="21"/>
                <w:u w:val="single"/>
              </w:rPr>
              <w:t>开始达标距离（m）</w:t>
            </w:r>
          </w:p>
        </w:tc>
        <w:tc>
          <w:tcPr>
            <w:tcW w:w="1542" w:type="dxa"/>
            <w:vAlign w:val="center"/>
          </w:tcPr>
          <w:p>
            <w:pPr>
              <w:ind w:left="-50" w:right="-50"/>
              <w:jc w:val="center"/>
              <w:rPr>
                <w:b/>
                <w:bCs/>
                <w:szCs w:val="21"/>
                <w:u w:val="single"/>
              </w:rPr>
            </w:pPr>
            <w:r>
              <w:rPr>
                <w:b/>
                <w:bCs/>
                <w:szCs w:val="21"/>
                <w:u w:val="single"/>
              </w:rPr>
              <w:t>标准值（mg/L）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43" w:type="dxa"/>
            <w:vAlign w:val="center"/>
          </w:tcPr>
          <w:p>
            <w:pPr>
              <w:ind w:left="-50" w:right="-50"/>
              <w:jc w:val="center"/>
              <w:rPr>
                <w:b/>
                <w:bCs/>
                <w:szCs w:val="21"/>
                <w:u w:val="single"/>
              </w:rPr>
            </w:pPr>
            <w:r>
              <w:rPr>
                <w:b/>
                <w:bCs/>
                <w:szCs w:val="21"/>
                <w:u w:val="single"/>
              </w:rPr>
              <w:t>1d</w:t>
            </w:r>
          </w:p>
        </w:tc>
        <w:tc>
          <w:tcPr>
            <w:tcW w:w="1555" w:type="dxa"/>
            <w:vAlign w:val="center"/>
          </w:tcPr>
          <w:p>
            <w:pPr>
              <w:ind w:left="-50" w:right="-50"/>
              <w:jc w:val="center"/>
              <w:rPr>
                <w:b/>
                <w:bCs/>
                <w:szCs w:val="21"/>
                <w:u w:val="single"/>
              </w:rPr>
            </w:pPr>
            <w:r>
              <w:rPr>
                <w:b/>
                <w:bCs/>
                <w:szCs w:val="21"/>
                <w:u w:val="single"/>
              </w:rPr>
              <w:t>14.03</w:t>
            </w:r>
          </w:p>
        </w:tc>
        <w:tc>
          <w:tcPr>
            <w:tcW w:w="1202" w:type="dxa"/>
            <w:vAlign w:val="center"/>
          </w:tcPr>
          <w:p>
            <w:pPr>
              <w:ind w:left="-50" w:right="-50"/>
              <w:jc w:val="center"/>
              <w:rPr>
                <w:b/>
                <w:bCs/>
                <w:szCs w:val="21"/>
                <w:u w:val="single"/>
              </w:rPr>
            </w:pPr>
            <w:r>
              <w:rPr>
                <w:b/>
                <w:bCs/>
                <w:szCs w:val="21"/>
                <w:u w:val="single"/>
              </w:rPr>
              <w:t>0</w:t>
            </w:r>
          </w:p>
        </w:tc>
        <w:tc>
          <w:tcPr>
            <w:tcW w:w="1202" w:type="dxa"/>
            <w:vAlign w:val="center"/>
          </w:tcPr>
          <w:p>
            <w:pPr>
              <w:ind w:left="-50" w:right="-50"/>
              <w:jc w:val="center"/>
              <w:rPr>
                <w:b/>
                <w:bCs/>
                <w:szCs w:val="21"/>
                <w:u w:val="single"/>
              </w:rPr>
            </w:pPr>
            <w:r>
              <w:rPr>
                <w:b/>
                <w:bCs/>
                <w:szCs w:val="21"/>
                <w:u w:val="single"/>
              </w:rPr>
              <w:t>26</w:t>
            </w:r>
          </w:p>
        </w:tc>
        <w:tc>
          <w:tcPr>
            <w:tcW w:w="1202" w:type="dxa"/>
            <w:vAlign w:val="center"/>
          </w:tcPr>
          <w:p>
            <w:pPr>
              <w:ind w:left="-50" w:right="-50"/>
              <w:jc w:val="center"/>
              <w:rPr>
                <w:b/>
                <w:bCs/>
                <w:szCs w:val="21"/>
                <w:u w:val="single"/>
              </w:rPr>
            </w:pPr>
            <w:r>
              <w:rPr>
                <w:b/>
                <w:bCs/>
                <w:szCs w:val="21"/>
                <w:u w:val="single"/>
              </w:rPr>
              <w:t>0</w:t>
            </w:r>
          </w:p>
        </w:tc>
        <w:tc>
          <w:tcPr>
            <w:tcW w:w="1202" w:type="dxa"/>
            <w:vAlign w:val="center"/>
          </w:tcPr>
          <w:p>
            <w:pPr>
              <w:ind w:left="-50" w:right="-50"/>
              <w:jc w:val="center"/>
              <w:rPr>
                <w:b/>
                <w:bCs/>
                <w:szCs w:val="21"/>
                <w:u w:val="single"/>
              </w:rPr>
            </w:pPr>
            <w:r>
              <w:rPr>
                <w:b/>
                <w:bCs/>
                <w:szCs w:val="21"/>
                <w:u w:val="single"/>
              </w:rPr>
              <w:t>6</w:t>
            </w:r>
          </w:p>
        </w:tc>
        <w:tc>
          <w:tcPr>
            <w:tcW w:w="1542" w:type="dxa"/>
            <w:vAlign w:val="center"/>
          </w:tcPr>
          <w:p>
            <w:pPr>
              <w:ind w:left="-50" w:right="-50"/>
              <w:jc w:val="center"/>
              <w:rPr>
                <w:b/>
                <w:bCs/>
                <w:szCs w:val="21"/>
                <w:u w:val="single"/>
              </w:rPr>
            </w:pPr>
            <w:r>
              <w:rPr>
                <w:b/>
                <w:bCs/>
                <w:szCs w:val="21"/>
                <w:u w:val="single"/>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55" w:hRule="atLeast"/>
          <w:jc w:val="center"/>
        </w:trPr>
        <w:tc>
          <w:tcPr>
            <w:tcW w:w="1043" w:type="dxa"/>
            <w:vAlign w:val="center"/>
          </w:tcPr>
          <w:p>
            <w:pPr>
              <w:ind w:left="-50" w:right="-50"/>
              <w:jc w:val="center"/>
              <w:rPr>
                <w:b/>
                <w:bCs/>
                <w:szCs w:val="21"/>
                <w:u w:val="single"/>
              </w:rPr>
            </w:pPr>
            <w:r>
              <w:rPr>
                <w:b/>
                <w:bCs/>
                <w:szCs w:val="21"/>
                <w:u w:val="single"/>
              </w:rPr>
              <w:t>100d</w:t>
            </w:r>
          </w:p>
        </w:tc>
        <w:tc>
          <w:tcPr>
            <w:tcW w:w="1555" w:type="dxa"/>
            <w:vAlign w:val="center"/>
          </w:tcPr>
          <w:p>
            <w:pPr>
              <w:ind w:left="-50" w:right="-50"/>
              <w:jc w:val="center"/>
              <w:rPr>
                <w:b/>
                <w:bCs/>
                <w:szCs w:val="21"/>
                <w:u w:val="single"/>
              </w:rPr>
            </w:pPr>
            <w:r>
              <w:rPr>
                <w:b/>
                <w:bCs/>
                <w:szCs w:val="21"/>
                <w:u w:val="single"/>
              </w:rPr>
              <w:t>1.403</w:t>
            </w:r>
          </w:p>
        </w:tc>
        <w:tc>
          <w:tcPr>
            <w:tcW w:w="1202" w:type="dxa"/>
            <w:vAlign w:val="center"/>
          </w:tcPr>
          <w:p>
            <w:pPr>
              <w:ind w:left="-50" w:right="-50"/>
              <w:jc w:val="center"/>
              <w:rPr>
                <w:b/>
                <w:bCs/>
                <w:szCs w:val="21"/>
                <w:u w:val="single"/>
              </w:rPr>
            </w:pPr>
            <w:r>
              <w:rPr>
                <w:b/>
                <w:bCs/>
                <w:szCs w:val="21"/>
                <w:u w:val="single"/>
              </w:rPr>
              <w:t>1</w:t>
            </w:r>
          </w:p>
        </w:tc>
        <w:tc>
          <w:tcPr>
            <w:tcW w:w="1202" w:type="dxa"/>
            <w:vAlign w:val="center"/>
          </w:tcPr>
          <w:p>
            <w:pPr>
              <w:ind w:left="-50" w:right="-50"/>
              <w:jc w:val="center"/>
              <w:rPr>
                <w:b/>
                <w:bCs/>
                <w:szCs w:val="21"/>
                <w:u w:val="single"/>
              </w:rPr>
            </w:pPr>
            <w:r>
              <w:rPr>
                <w:b/>
                <w:bCs/>
                <w:szCs w:val="21"/>
                <w:u w:val="single"/>
              </w:rPr>
              <w:t>268</w:t>
            </w:r>
          </w:p>
        </w:tc>
        <w:tc>
          <w:tcPr>
            <w:tcW w:w="1202" w:type="dxa"/>
            <w:vAlign w:val="center"/>
          </w:tcPr>
          <w:p>
            <w:pPr>
              <w:ind w:left="-50" w:right="-50"/>
              <w:jc w:val="center"/>
              <w:rPr>
                <w:b/>
                <w:bCs/>
                <w:szCs w:val="21"/>
                <w:u w:val="single"/>
              </w:rPr>
            </w:pPr>
            <w:r>
              <w:rPr>
                <w:b/>
                <w:bCs/>
                <w:szCs w:val="21"/>
                <w:u w:val="single"/>
              </w:rPr>
              <w:t>0</w:t>
            </w:r>
          </w:p>
        </w:tc>
        <w:tc>
          <w:tcPr>
            <w:tcW w:w="1202" w:type="dxa"/>
            <w:vAlign w:val="center"/>
          </w:tcPr>
          <w:p>
            <w:pPr>
              <w:ind w:left="-50" w:right="-50"/>
              <w:jc w:val="center"/>
              <w:rPr>
                <w:b/>
                <w:bCs/>
                <w:szCs w:val="21"/>
                <w:u w:val="single"/>
              </w:rPr>
            </w:pPr>
            <w:r>
              <w:rPr>
                <w:b/>
                <w:bCs/>
                <w:szCs w:val="21"/>
                <w:u w:val="single"/>
              </w:rPr>
              <w:t>36</w:t>
            </w:r>
          </w:p>
        </w:tc>
        <w:tc>
          <w:tcPr>
            <w:tcW w:w="1542" w:type="dxa"/>
            <w:vAlign w:val="center"/>
          </w:tcPr>
          <w:p>
            <w:pPr>
              <w:ind w:left="-50" w:right="-50"/>
              <w:jc w:val="center"/>
              <w:rPr>
                <w:b/>
                <w:bCs/>
                <w:szCs w:val="21"/>
                <w:u w:val="single"/>
              </w:rPr>
            </w:pPr>
            <w:r>
              <w:rPr>
                <w:b/>
                <w:bCs/>
                <w:szCs w:val="21"/>
                <w:u w:val="single"/>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9" w:hRule="atLeast"/>
          <w:jc w:val="center"/>
        </w:trPr>
        <w:tc>
          <w:tcPr>
            <w:tcW w:w="1043" w:type="dxa"/>
            <w:vAlign w:val="center"/>
          </w:tcPr>
          <w:p>
            <w:pPr>
              <w:ind w:left="-50" w:right="-50"/>
              <w:jc w:val="center"/>
              <w:rPr>
                <w:b/>
                <w:bCs/>
                <w:szCs w:val="21"/>
                <w:u w:val="single"/>
              </w:rPr>
            </w:pPr>
            <w:r>
              <w:rPr>
                <w:b/>
                <w:bCs/>
                <w:szCs w:val="21"/>
                <w:u w:val="single"/>
              </w:rPr>
              <w:t>1000d</w:t>
            </w:r>
          </w:p>
        </w:tc>
        <w:tc>
          <w:tcPr>
            <w:tcW w:w="1555" w:type="dxa"/>
            <w:vAlign w:val="center"/>
          </w:tcPr>
          <w:p>
            <w:pPr>
              <w:ind w:left="-50" w:right="-50"/>
              <w:jc w:val="center"/>
              <w:rPr>
                <w:b/>
                <w:bCs/>
                <w:szCs w:val="21"/>
                <w:u w:val="single"/>
              </w:rPr>
            </w:pPr>
            <w:r>
              <w:rPr>
                <w:b/>
                <w:bCs/>
                <w:szCs w:val="21"/>
                <w:u w:val="single"/>
              </w:rPr>
              <w:t xml:space="preserve">  0.44</w:t>
            </w:r>
          </w:p>
        </w:tc>
        <w:tc>
          <w:tcPr>
            <w:tcW w:w="1202" w:type="dxa"/>
            <w:vAlign w:val="center"/>
          </w:tcPr>
          <w:p>
            <w:pPr>
              <w:ind w:left="-50" w:right="-50"/>
              <w:jc w:val="center"/>
              <w:rPr>
                <w:b/>
                <w:bCs/>
                <w:szCs w:val="21"/>
                <w:u w:val="single"/>
              </w:rPr>
            </w:pPr>
            <w:r>
              <w:rPr>
                <w:b/>
                <w:bCs/>
                <w:szCs w:val="21"/>
                <w:u w:val="single"/>
              </w:rPr>
              <w:t>14</w:t>
            </w:r>
          </w:p>
        </w:tc>
        <w:tc>
          <w:tcPr>
            <w:tcW w:w="1202" w:type="dxa"/>
            <w:vAlign w:val="center"/>
          </w:tcPr>
          <w:p>
            <w:pPr>
              <w:ind w:left="-50" w:right="-50"/>
              <w:jc w:val="center"/>
              <w:rPr>
                <w:b/>
                <w:bCs/>
                <w:szCs w:val="21"/>
                <w:u w:val="single"/>
              </w:rPr>
            </w:pPr>
            <w:r>
              <w:rPr>
                <w:b/>
                <w:bCs/>
                <w:szCs w:val="21"/>
                <w:u w:val="single"/>
              </w:rPr>
              <w:t>853</w:t>
            </w:r>
          </w:p>
        </w:tc>
        <w:tc>
          <w:tcPr>
            <w:tcW w:w="1202" w:type="dxa"/>
            <w:vAlign w:val="center"/>
          </w:tcPr>
          <w:p>
            <w:pPr>
              <w:ind w:left="-50" w:right="-50"/>
              <w:jc w:val="center"/>
              <w:rPr>
                <w:b/>
                <w:bCs/>
                <w:szCs w:val="21"/>
                <w:u w:val="single"/>
              </w:rPr>
            </w:pPr>
            <w:r>
              <w:rPr>
                <w:b/>
                <w:bCs/>
                <w:szCs w:val="21"/>
                <w:u w:val="single"/>
              </w:rPr>
              <w:t>0</w:t>
            </w:r>
          </w:p>
        </w:tc>
        <w:tc>
          <w:tcPr>
            <w:tcW w:w="1202" w:type="dxa"/>
            <w:vAlign w:val="center"/>
          </w:tcPr>
          <w:p>
            <w:pPr>
              <w:ind w:left="-50" w:right="-50"/>
              <w:jc w:val="center"/>
              <w:rPr>
                <w:b/>
                <w:bCs/>
                <w:szCs w:val="21"/>
                <w:u w:val="single"/>
              </w:rPr>
            </w:pPr>
            <w:r>
              <w:rPr>
                <w:b/>
                <w:bCs/>
                <w:szCs w:val="21"/>
                <w:u w:val="single"/>
              </w:rPr>
              <w:t>77</w:t>
            </w:r>
          </w:p>
        </w:tc>
        <w:tc>
          <w:tcPr>
            <w:tcW w:w="1542" w:type="dxa"/>
            <w:vAlign w:val="center"/>
          </w:tcPr>
          <w:p>
            <w:pPr>
              <w:ind w:left="-50" w:right="-50"/>
              <w:jc w:val="center"/>
              <w:rPr>
                <w:b/>
                <w:bCs/>
                <w:szCs w:val="21"/>
                <w:u w:val="single"/>
              </w:rPr>
            </w:pPr>
            <w:r>
              <w:rPr>
                <w:b/>
                <w:bCs/>
                <w:szCs w:val="21"/>
                <w:u w:val="single"/>
              </w:rPr>
              <w:t>0.5</w:t>
            </w:r>
          </w:p>
        </w:tc>
      </w:tr>
    </w:tbl>
    <w:p>
      <w:pPr>
        <w:adjustRightInd w:val="0"/>
        <w:snapToGrid w:val="0"/>
        <w:spacing w:beforeLines="50" w:afterLines="50"/>
        <w:ind w:firstLine="437"/>
        <w:jc w:val="center"/>
        <w:rPr>
          <w:b/>
          <w:bCs/>
          <w:color w:val="000000" w:themeColor="text1"/>
          <w:szCs w:val="21"/>
          <w:u w:val="single"/>
        </w:rPr>
      </w:pPr>
      <w:r>
        <w:rPr>
          <w:b/>
          <w:bCs/>
          <w:color w:val="000000" w:themeColor="text1"/>
          <w:szCs w:val="21"/>
          <w:u w:val="single"/>
        </w:rPr>
        <w:t>表4-23    非正常状况下敏感点及场界地下水CODMn预测结果一览表</w:t>
      </w:r>
    </w:p>
    <w:tbl>
      <w:tblPr>
        <w:tblStyle w:val="44"/>
        <w:tblW w:w="894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9"/>
        <w:gridCol w:w="793"/>
        <w:gridCol w:w="866"/>
        <w:gridCol w:w="1000"/>
        <w:gridCol w:w="1045"/>
        <w:gridCol w:w="973"/>
        <w:gridCol w:w="1118"/>
        <w:gridCol w:w="777"/>
        <w:gridCol w:w="689"/>
        <w:gridCol w:w="11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569" w:type="dxa"/>
            <w:vAlign w:val="center"/>
          </w:tcPr>
          <w:p>
            <w:pPr>
              <w:ind w:left="-105" w:leftChars="-50" w:right="-105" w:rightChars="-50"/>
              <w:jc w:val="center"/>
              <w:rPr>
                <w:b/>
                <w:bCs/>
                <w:color w:val="000000" w:themeColor="text1"/>
                <w:szCs w:val="21"/>
                <w:u w:val="single"/>
              </w:rPr>
            </w:pPr>
            <w:r>
              <w:rPr>
                <w:b/>
                <w:bCs/>
                <w:color w:val="000000" w:themeColor="text1"/>
                <w:szCs w:val="21"/>
                <w:u w:val="single"/>
              </w:rPr>
              <w:t>名称</w:t>
            </w:r>
          </w:p>
        </w:tc>
        <w:tc>
          <w:tcPr>
            <w:tcW w:w="793" w:type="dxa"/>
            <w:vAlign w:val="center"/>
          </w:tcPr>
          <w:p>
            <w:pPr>
              <w:ind w:left="-105" w:leftChars="-50" w:right="-105" w:rightChars="-50"/>
              <w:jc w:val="center"/>
              <w:rPr>
                <w:b/>
                <w:bCs/>
                <w:color w:val="000000" w:themeColor="text1"/>
                <w:szCs w:val="21"/>
                <w:u w:val="single"/>
              </w:rPr>
            </w:pPr>
            <w:r>
              <w:rPr>
                <w:b/>
                <w:bCs/>
                <w:color w:val="000000" w:themeColor="text1"/>
                <w:szCs w:val="21"/>
                <w:u w:val="single"/>
              </w:rPr>
              <w:t>敏感点距事故源距离（m）</w:t>
            </w:r>
          </w:p>
        </w:tc>
        <w:tc>
          <w:tcPr>
            <w:tcW w:w="866" w:type="dxa"/>
            <w:vAlign w:val="center"/>
          </w:tcPr>
          <w:p>
            <w:pPr>
              <w:ind w:left="-50" w:right="-50"/>
              <w:jc w:val="center"/>
              <w:rPr>
                <w:b/>
                <w:bCs/>
                <w:color w:val="000000" w:themeColor="text1"/>
                <w:szCs w:val="21"/>
                <w:u w:val="single"/>
              </w:rPr>
            </w:pPr>
            <w:r>
              <w:rPr>
                <w:b/>
                <w:bCs/>
                <w:color w:val="000000" w:themeColor="text1"/>
                <w:szCs w:val="21"/>
                <w:u w:val="single"/>
              </w:rPr>
              <w:t>污染物到达敏感点时间（d）</w:t>
            </w:r>
          </w:p>
        </w:tc>
        <w:tc>
          <w:tcPr>
            <w:tcW w:w="1000" w:type="dxa"/>
            <w:vAlign w:val="center"/>
          </w:tcPr>
          <w:p>
            <w:pPr>
              <w:ind w:left="-105" w:leftChars="-50" w:right="-105" w:rightChars="-50"/>
              <w:jc w:val="center"/>
              <w:rPr>
                <w:b/>
                <w:bCs/>
                <w:color w:val="000000" w:themeColor="text1"/>
                <w:szCs w:val="21"/>
                <w:u w:val="single"/>
              </w:rPr>
            </w:pPr>
            <w:r>
              <w:rPr>
                <w:b/>
                <w:bCs/>
                <w:color w:val="000000" w:themeColor="text1"/>
                <w:szCs w:val="21"/>
                <w:u w:val="single"/>
              </w:rPr>
              <w:t>最大贡献值（mg/L）</w:t>
            </w:r>
          </w:p>
        </w:tc>
        <w:tc>
          <w:tcPr>
            <w:tcW w:w="1045" w:type="dxa"/>
            <w:vAlign w:val="center"/>
          </w:tcPr>
          <w:p>
            <w:pPr>
              <w:ind w:left="-50" w:right="-50"/>
              <w:jc w:val="center"/>
              <w:rPr>
                <w:b/>
                <w:bCs/>
                <w:color w:val="000000" w:themeColor="text1"/>
                <w:szCs w:val="21"/>
                <w:u w:val="single"/>
              </w:rPr>
            </w:pPr>
            <w:r>
              <w:rPr>
                <w:b/>
                <w:bCs/>
                <w:color w:val="000000" w:themeColor="text1"/>
                <w:szCs w:val="21"/>
                <w:u w:val="single"/>
              </w:rPr>
              <w:t>最大贡献值出现时间（d）</w:t>
            </w:r>
          </w:p>
        </w:tc>
        <w:tc>
          <w:tcPr>
            <w:tcW w:w="973" w:type="dxa"/>
            <w:vAlign w:val="center"/>
          </w:tcPr>
          <w:p>
            <w:pPr>
              <w:ind w:left="-50" w:right="-50"/>
              <w:jc w:val="center"/>
              <w:rPr>
                <w:b/>
                <w:bCs/>
                <w:color w:val="000000" w:themeColor="text1"/>
                <w:szCs w:val="21"/>
                <w:u w:val="single"/>
              </w:rPr>
            </w:pPr>
            <w:r>
              <w:rPr>
                <w:b/>
                <w:bCs/>
                <w:color w:val="000000" w:themeColor="text1"/>
                <w:szCs w:val="21"/>
                <w:u w:val="single"/>
              </w:rPr>
              <w:t>背景值（mg/L）</w:t>
            </w:r>
          </w:p>
        </w:tc>
        <w:tc>
          <w:tcPr>
            <w:tcW w:w="1118" w:type="dxa"/>
            <w:vAlign w:val="center"/>
          </w:tcPr>
          <w:p>
            <w:pPr>
              <w:ind w:left="-50" w:right="-50"/>
              <w:jc w:val="center"/>
              <w:rPr>
                <w:b/>
                <w:bCs/>
                <w:color w:val="000000" w:themeColor="text1"/>
                <w:szCs w:val="21"/>
                <w:u w:val="single"/>
              </w:rPr>
            </w:pPr>
            <w:r>
              <w:rPr>
                <w:b/>
                <w:bCs/>
                <w:color w:val="000000" w:themeColor="text1"/>
                <w:szCs w:val="21"/>
                <w:u w:val="single"/>
              </w:rPr>
              <w:t>最大预测值（mg/L）</w:t>
            </w:r>
          </w:p>
        </w:tc>
        <w:tc>
          <w:tcPr>
            <w:tcW w:w="777" w:type="dxa"/>
            <w:vAlign w:val="center"/>
          </w:tcPr>
          <w:p>
            <w:pPr>
              <w:ind w:left="-50" w:right="-50"/>
              <w:jc w:val="center"/>
              <w:rPr>
                <w:b/>
                <w:bCs/>
                <w:color w:val="000000" w:themeColor="text1"/>
                <w:szCs w:val="21"/>
                <w:u w:val="single"/>
              </w:rPr>
            </w:pPr>
            <w:r>
              <w:rPr>
                <w:b/>
                <w:bCs/>
                <w:color w:val="000000" w:themeColor="text1"/>
                <w:szCs w:val="21"/>
                <w:u w:val="single"/>
              </w:rPr>
              <w:t>超标时间（d）</w:t>
            </w:r>
          </w:p>
        </w:tc>
        <w:tc>
          <w:tcPr>
            <w:tcW w:w="689" w:type="dxa"/>
            <w:vAlign w:val="center"/>
          </w:tcPr>
          <w:p>
            <w:pPr>
              <w:ind w:left="-50" w:right="-50"/>
              <w:jc w:val="center"/>
              <w:rPr>
                <w:b/>
                <w:bCs/>
                <w:color w:val="000000" w:themeColor="text1"/>
                <w:szCs w:val="21"/>
                <w:u w:val="single"/>
              </w:rPr>
            </w:pPr>
            <w:r>
              <w:rPr>
                <w:b/>
                <w:bCs/>
                <w:color w:val="000000" w:themeColor="text1"/>
                <w:szCs w:val="21"/>
                <w:u w:val="single"/>
              </w:rPr>
              <w:t>达标时间（d）</w:t>
            </w:r>
          </w:p>
        </w:tc>
        <w:tc>
          <w:tcPr>
            <w:tcW w:w="1118" w:type="dxa"/>
            <w:vAlign w:val="center"/>
          </w:tcPr>
          <w:p>
            <w:pPr>
              <w:ind w:left="-50" w:right="-50"/>
              <w:jc w:val="center"/>
              <w:rPr>
                <w:b/>
                <w:bCs/>
                <w:color w:val="000000" w:themeColor="text1"/>
                <w:szCs w:val="21"/>
                <w:u w:val="single"/>
              </w:rPr>
            </w:pPr>
            <w:r>
              <w:rPr>
                <w:b/>
                <w:bCs/>
                <w:color w:val="000000" w:themeColor="text1"/>
                <w:szCs w:val="21"/>
                <w:u w:val="single"/>
              </w:rPr>
              <w:t>标准值（mg/L）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69" w:type="dxa"/>
            <w:vAlign w:val="center"/>
          </w:tcPr>
          <w:p>
            <w:pPr>
              <w:ind w:left="-50" w:right="-50"/>
              <w:jc w:val="center"/>
              <w:rPr>
                <w:b/>
                <w:bCs/>
                <w:color w:val="000000" w:themeColor="text1"/>
                <w:szCs w:val="21"/>
                <w:u w:val="single"/>
              </w:rPr>
            </w:pPr>
            <w:r>
              <w:rPr>
                <w:b/>
                <w:bCs/>
                <w:color w:val="000000" w:themeColor="text1"/>
                <w:szCs w:val="21"/>
                <w:u w:val="single"/>
              </w:rPr>
              <w:t>场界</w:t>
            </w:r>
          </w:p>
        </w:tc>
        <w:tc>
          <w:tcPr>
            <w:tcW w:w="793" w:type="dxa"/>
            <w:vAlign w:val="center"/>
          </w:tcPr>
          <w:p>
            <w:pPr>
              <w:ind w:left="-50" w:right="-50"/>
              <w:jc w:val="center"/>
              <w:rPr>
                <w:b/>
                <w:bCs/>
                <w:color w:val="000000" w:themeColor="text1"/>
                <w:szCs w:val="21"/>
                <w:u w:val="single"/>
              </w:rPr>
            </w:pPr>
            <w:r>
              <w:rPr>
                <w:b/>
                <w:bCs/>
                <w:color w:val="000000" w:themeColor="text1"/>
                <w:szCs w:val="21"/>
                <w:u w:val="single"/>
              </w:rPr>
              <w:t>20</w:t>
            </w:r>
          </w:p>
        </w:tc>
        <w:tc>
          <w:tcPr>
            <w:tcW w:w="866" w:type="dxa"/>
            <w:vAlign w:val="center"/>
          </w:tcPr>
          <w:p>
            <w:pPr>
              <w:ind w:left="-50" w:right="-50"/>
              <w:jc w:val="center"/>
              <w:rPr>
                <w:b/>
                <w:bCs/>
                <w:color w:val="000000" w:themeColor="text1"/>
                <w:szCs w:val="21"/>
                <w:u w:val="single"/>
              </w:rPr>
            </w:pPr>
            <w:r>
              <w:rPr>
                <w:b/>
                <w:bCs/>
                <w:color w:val="000000" w:themeColor="text1"/>
                <w:szCs w:val="21"/>
                <w:u w:val="single"/>
              </w:rPr>
              <w:t>1</w:t>
            </w:r>
          </w:p>
        </w:tc>
        <w:tc>
          <w:tcPr>
            <w:tcW w:w="1000" w:type="dxa"/>
            <w:vAlign w:val="center"/>
          </w:tcPr>
          <w:p>
            <w:pPr>
              <w:ind w:left="-50" w:right="-50"/>
              <w:jc w:val="center"/>
              <w:rPr>
                <w:b/>
                <w:bCs/>
                <w:color w:val="000000" w:themeColor="text1"/>
                <w:szCs w:val="21"/>
                <w:u w:val="single"/>
              </w:rPr>
            </w:pPr>
            <w:r>
              <w:rPr>
                <w:b/>
                <w:bCs/>
                <w:color w:val="000000" w:themeColor="text1"/>
                <w:szCs w:val="21"/>
                <w:u w:val="single"/>
              </w:rPr>
              <w:t>1.01</w:t>
            </w:r>
          </w:p>
        </w:tc>
        <w:tc>
          <w:tcPr>
            <w:tcW w:w="1045" w:type="dxa"/>
            <w:vAlign w:val="center"/>
          </w:tcPr>
          <w:p>
            <w:pPr>
              <w:ind w:left="-50" w:right="-50"/>
              <w:jc w:val="center"/>
              <w:rPr>
                <w:b/>
                <w:bCs/>
                <w:color w:val="000000" w:themeColor="text1"/>
                <w:szCs w:val="21"/>
                <w:u w:val="single"/>
              </w:rPr>
            </w:pPr>
            <w:r>
              <w:rPr>
                <w:b/>
                <w:bCs/>
                <w:color w:val="000000" w:themeColor="text1"/>
                <w:szCs w:val="21"/>
                <w:u w:val="single"/>
              </w:rPr>
              <w:t>116</w:t>
            </w:r>
          </w:p>
        </w:tc>
        <w:tc>
          <w:tcPr>
            <w:tcW w:w="973" w:type="dxa"/>
            <w:vAlign w:val="center"/>
          </w:tcPr>
          <w:p>
            <w:pPr>
              <w:ind w:left="-50" w:right="-50"/>
              <w:jc w:val="center"/>
              <w:rPr>
                <w:b/>
                <w:bCs/>
                <w:color w:val="000000" w:themeColor="text1"/>
                <w:szCs w:val="21"/>
                <w:u w:val="single"/>
              </w:rPr>
            </w:pPr>
            <w:r>
              <w:rPr>
                <w:b/>
                <w:bCs/>
                <w:color w:val="000000" w:themeColor="text1"/>
                <w:szCs w:val="21"/>
                <w:u w:val="single"/>
              </w:rPr>
              <w:t>/</w:t>
            </w:r>
          </w:p>
        </w:tc>
        <w:tc>
          <w:tcPr>
            <w:tcW w:w="1118" w:type="dxa"/>
            <w:vAlign w:val="center"/>
          </w:tcPr>
          <w:p>
            <w:pPr>
              <w:jc w:val="center"/>
              <w:rPr>
                <w:b/>
                <w:bCs/>
                <w:color w:val="000000" w:themeColor="text1"/>
                <w:szCs w:val="21"/>
                <w:u w:val="single"/>
              </w:rPr>
            </w:pPr>
            <w:r>
              <w:rPr>
                <w:b/>
                <w:bCs/>
                <w:color w:val="000000" w:themeColor="text1"/>
                <w:szCs w:val="21"/>
                <w:u w:val="single"/>
              </w:rPr>
              <w:t>1.4099</w:t>
            </w:r>
          </w:p>
        </w:tc>
        <w:tc>
          <w:tcPr>
            <w:tcW w:w="777" w:type="dxa"/>
            <w:vAlign w:val="center"/>
          </w:tcPr>
          <w:p>
            <w:pPr>
              <w:ind w:left="-50" w:right="-50"/>
              <w:jc w:val="center"/>
              <w:rPr>
                <w:b/>
                <w:bCs/>
                <w:color w:val="000000" w:themeColor="text1"/>
                <w:szCs w:val="21"/>
                <w:u w:val="single"/>
              </w:rPr>
            </w:pPr>
            <w:r>
              <w:rPr>
                <w:b/>
                <w:bCs/>
                <w:color w:val="000000" w:themeColor="text1"/>
                <w:szCs w:val="21"/>
                <w:u w:val="single"/>
              </w:rPr>
              <w:t>0</w:t>
            </w:r>
          </w:p>
        </w:tc>
        <w:tc>
          <w:tcPr>
            <w:tcW w:w="689" w:type="dxa"/>
            <w:vAlign w:val="center"/>
          </w:tcPr>
          <w:p>
            <w:pPr>
              <w:ind w:left="-50" w:right="-50"/>
              <w:jc w:val="center"/>
              <w:rPr>
                <w:b/>
                <w:bCs/>
                <w:color w:val="000000" w:themeColor="text1"/>
                <w:szCs w:val="21"/>
                <w:u w:val="single"/>
              </w:rPr>
            </w:pPr>
            <w:r>
              <w:rPr>
                <w:b/>
                <w:bCs/>
                <w:color w:val="000000" w:themeColor="text1"/>
                <w:szCs w:val="21"/>
                <w:u w:val="single"/>
              </w:rPr>
              <w:t>9999</w:t>
            </w:r>
          </w:p>
        </w:tc>
        <w:tc>
          <w:tcPr>
            <w:tcW w:w="1118" w:type="dxa"/>
            <w:vAlign w:val="center"/>
          </w:tcPr>
          <w:p>
            <w:pPr>
              <w:ind w:left="-50" w:right="-50"/>
              <w:jc w:val="center"/>
              <w:rPr>
                <w:b/>
                <w:bCs/>
                <w:color w:val="000000" w:themeColor="text1"/>
                <w:szCs w:val="21"/>
                <w:u w:val="single"/>
              </w:rPr>
            </w:pPr>
            <w:r>
              <w:rPr>
                <w:b/>
                <w:bCs/>
                <w:color w:val="000000" w:themeColor="text1"/>
                <w:szCs w:val="21"/>
                <w:u w:val="single"/>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69" w:type="dxa"/>
            <w:vAlign w:val="center"/>
          </w:tcPr>
          <w:p>
            <w:pPr>
              <w:ind w:left="-50" w:right="-50"/>
              <w:jc w:val="center"/>
              <w:rPr>
                <w:b/>
                <w:bCs/>
                <w:color w:val="000000" w:themeColor="text1"/>
                <w:szCs w:val="21"/>
                <w:u w:val="single"/>
              </w:rPr>
            </w:pPr>
            <w:r>
              <w:rPr>
                <w:b/>
                <w:bCs/>
                <w:color w:val="000000" w:themeColor="text1"/>
                <w:szCs w:val="21"/>
                <w:u w:val="single"/>
              </w:rPr>
              <w:t>庄头</w:t>
            </w:r>
          </w:p>
        </w:tc>
        <w:tc>
          <w:tcPr>
            <w:tcW w:w="793" w:type="dxa"/>
            <w:vAlign w:val="center"/>
          </w:tcPr>
          <w:p>
            <w:pPr>
              <w:ind w:left="-50" w:right="-50"/>
              <w:jc w:val="center"/>
              <w:rPr>
                <w:b/>
                <w:bCs/>
                <w:color w:val="000000" w:themeColor="text1"/>
                <w:szCs w:val="21"/>
                <w:u w:val="single"/>
              </w:rPr>
            </w:pPr>
            <w:r>
              <w:rPr>
                <w:b/>
                <w:bCs/>
                <w:color w:val="000000" w:themeColor="text1"/>
                <w:szCs w:val="21"/>
                <w:u w:val="single"/>
              </w:rPr>
              <w:t>2980</w:t>
            </w:r>
          </w:p>
        </w:tc>
        <w:tc>
          <w:tcPr>
            <w:tcW w:w="866" w:type="dxa"/>
            <w:vAlign w:val="center"/>
          </w:tcPr>
          <w:p>
            <w:pPr>
              <w:jc w:val="center"/>
              <w:rPr>
                <w:b/>
                <w:bCs/>
                <w:color w:val="000000" w:themeColor="text1"/>
                <w:szCs w:val="21"/>
                <w:u w:val="single"/>
              </w:rPr>
            </w:pPr>
            <w:r>
              <w:rPr>
                <w:b/>
                <w:bCs/>
                <w:color w:val="000000" w:themeColor="text1"/>
                <w:szCs w:val="21"/>
                <w:u w:val="single"/>
              </w:rPr>
              <w:t>/</w:t>
            </w:r>
          </w:p>
        </w:tc>
        <w:tc>
          <w:tcPr>
            <w:tcW w:w="1000" w:type="dxa"/>
            <w:vAlign w:val="center"/>
          </w:tcPr>
          <w:p>
            <w:pPr>
              <w:jc w:val="center"/>
              <w:rPr>
                <w:b/>
                <w:bCs/>
                <w:color w:val="000000" w:themeColor="text1"/>
                <w:szCs w:val="21"/>
                <w:u w:val="single"/>
              </w:rPr>
            </w:pPr>
            <w:r>
              <w:rPr>
                <w:b/>
                <w:bCs/>
                <w:color w:val="000000" w:themeColor="text1"/>
                <w:szCs w:val="21"/>
                <w:u w:val="single"/>
              </w:rPr>
              <w:t>/</w:t>
            </w:r>
          </w:p>
        </w:tc>
        <w:tc>
          <w:tcPr>
            <w:tcW w:w="1045" w:type="dxa"/>
            <w:vAlign w:val="center"/>
          </w:tcPr>
          <w:p>
            <w:pPr>
              <w:jc w:val="center"/>
              <w:rPr>
                <w:b/>
                <w:bCs/>
                <w:color w:val="000000" w:themeColor="text1"/>
                <w:szCs w:val="21"/>
                <w:u w:val="single"/>
              </w:rPr>
            </w:pPr>
            <w:r>
              <w:rPr>
                <w:b/>
                <w:bCs/>
                <w:color w:val="000000" w:themeColor="text1"/>
                <w:szCs w:val="21"/>
                <w:u w:val="single"/>
              </w:rPr>
              <w:t>/</w:t>
            </w:r>
          </w:p>
        </w:tc>
        <w:tc>
          <w:tcPr>
            <w:tcW w:w="973" w:type="dxa"/>
            <w:vAlign w:val="center"/>
          </w:tcPr>
          <w:p>
            <w:pPr>
              <w:ind w:left="-50" w:right="-50"/>
              <w:jc w:val="center"/>
              <w:rPr>
                <w:b/>
                <w:bCs/>
                <w:color w:val="000000" w:themeColor="text1"/>
                <w:szCs w:val="21"/>
                <w:u w:val="single"/>
              </w:rPr>
            </w:pPr>
            <w:r>
              <w:rPr>
                <w:b/>
                <w:bCs/>
                <w:color w:val="000000" w:themeColor="text1"/>
                <w:szCs w:val="21"/>
                <w:u w:val="single"/>
              </w:rPr>
              <w:t>0.8</w:t>
            </w:r>
          </w:p>
        </w:tc>
        <w:tc>
          <w:tcPr>
            <w:tcW w:w="1118" w:type="dxa"/>
            <w:vAlign w:val="center"/>
          </w:tcPr>
          <w:p>
            <w:pPr>
              <w:jc w:val="center"/>
              <w:rPr>
                <w:b/>
                <w:bCs/>
                <w:color w:val="000000" w:themeColor="text1"/>
                <w:szCs w:val="21"/>
                <w:u w:val="single"/>
              </w:rPr>
            </w:pPr>
            <w:r>
              <w:rPr>
                <w:b/>
                <w:bCs/>
                <w:color w:val="000000" w:themeColor="text1"/>
                <w:szCs w:val="21"/>
                <w:u w:val="single"/>
              </w:rPr>
              <w:t>0.8</w:t>
            </w:r>
          </w:p>
        </w:tc>
        <w:tc>
          <w:tcPr>
            <w:tcW w:w="777" w:type="dxa"/>
            <w:vAlign w:val="center"/>
          </w:tcPr>
          <w:p>
            <w:pPr>
              <w:jc w:val="center"/>
              <w:rPr>
                <w:b/>
                <w:bCs/>
                <w:color w:val="000000" w:themeColor="text1"/>
                <w:szCs w:val="21"/>
                <w:u w:val="single"/>
              </w:rPr>
            </w:pPr>
            <w:r>
              <w:rPr>
                <w:b/>
                <w:bCs/>
                <w:color w:val="000000" w:themeColor="text1"/>
                <w:szCs w:val="21"/>
                <w:u w:val="single"/>
              </w:rPr>
              <w:t>/</w:t>
            </w:r>
          </w:p>
        </w:tc>
        <w:tc>
          <w:tcPr>
            <w:tcW w:w="689" w:type="dxa"/>
            <w:vAlign w:val="center"/>
          </w:tcPr>
          <w:p>
            <w:pPr>
              <w:jc w:val="center"/>
              <w:rPr>
                <w:b/>
                <w:bCs/>
                <w:color w:val="000000" w:themeColor="text1"/>
                <w:szCs w:val="21"/>
                <w:u w:val="single"/>
              </w:rPr>
            </w:pPr>
            <w:r>
              <w:rPr>
                <w:b/>
                <w:bCs/>
                <w:color w:val="000000" w:themeColor="text1"/>
                <w:szCs w:val="21"/>
                <w:u w:val="single"/>
              </w:rPr>
              <w:t>/</w:t>
            </w:r>
          </w:p>
        </w:tc>
        <w:tc>
          <w:tcPr>
            <w:tcW w:w="1118" w:type="dxa"/>
            <w:vAlign w:val="center"/>
          </w:tcPr>
          <w:p>
            <w:pPr>
              <w:ind w:left="-50" w:right="-50"/>
              <w:jc w:val="center"/>
              <w:rPr>
                <w:b/>
                <w:bCs/>
                <w:color w:val="000000" w:themeColor="text1"/>
                <w:szCs w:val="21"/>
                <w:u w:val="single"/>
              </w:rPr>
            </w:pPr>
            <w:r>
              <w:rPr>
                <w:b/>
                <w:bCs/>
                <w:color w:val="000000" w:themeColor="text1"/>
                <w:szCs w:val="21"/>
                <w:u w:val="single"/>
              </w:rPr>
              <w:t>3.0</w:t>
            </w:r>
          </w:p>
        </w:tc>
      </w:tr>
    </w:tbl>
    <w:p>
      <w:pPr>
        <w:adjustRightInd w:val="0"/>
        <w:snapToGrid w:val="0"/>
        <w:spacing w:beforeLines="50" w:afterLines="50"/>
        <w:ind w:firstLine="437"/>
        <w:jc w:val="center"/>
        <w:rPr>
          <w:b/>
          <w:bCs/>
          <w:color w:val="000000" w:themeColor="text1"/>
          <w:szCs w:val="21"/>
          <w:u w:val="single"/>
        </w:rPr>
      </w:pPr>
      <w:r>
        <w:rPr>
          <w:b/>
          <w:bCs/>
          <w:color w:val="000000" w:themeColor="text1"/>
          <w:szCs w:val="21"/>
          <w:u w:val="single"/>
        </w:rPr>
        <w:t>表4-24    非正常状况下敏感点及场界地下水氨氮预测结果一览表</w:t>
      </w:r>
    </w:p>
    <w:tbl>
      <w:tblPr>
        <w:tblStyle w:val="44"/>
        <w:tblW w:w="894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7"/>
        <w:gridCol w:w="881"/>
        <w:gridCol w:w="1131"/>
        <w:gridCol w:w="1044"/>
        <w:gridCol w:w="911"/>
        <w:gridCol w:w="1057"/>
        <w:gridCol w:w="1001"/>
        <w:gridCol w:w="706"/>
        <w:gridCol w:w="689"/>
        <w:gridCol w:w="9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567" w:type="dxa"/>
            <w:vAlign w:val="center"/>
          </w:tcPr>
          <w:p>
            <w:pPr>
              <w:ind w:left="-105" w:leftChars="-50" w:right="-105" w:rightChars="-50"/>
              <w:jc w:val="center"/>
              <w:rPr>
                <w:b/>
                <w:bCs/>
                <w:color w:val="000000" w:themeColor="text1"/>
                <w:szCs w:val="21"/>
                <w:u w:val="single"/>
              </w:rPr>
            </w:pPr>
            <w:r>
              <w:rPr>
                <w:b/>
                <w:bCs/>
                <w:color w:val="000000" w:themeColor="text1"/>
                <w:szCs w:val="21"/>
                <w:u w:val="single"/>
              </w:rPr>
              <w:t>名称</w:t>
            </w:r>
          </w:p>
        </w:tc>
        <w:tc>
          <w:tcPr>
            <w:tcW w:w="881" w:type="dxa"/>
            <w:vAlign w:val="center"/>
          </w:tcPr>
          <w:p>
            <w:pPr>
              <w:ind w:left="-105" w:leftChars="-50" w:right="-105" w:rightChars="-50"/>
              <w:jc w:val="center"/>
              <w:rPr>
                <w:b/>
                <w:bCs/>
                <w:color w:val="000000" w:themeColor="text1"/>
                <w:szCs w:val="21"/>
                <w:u w:val="single"/>
              </w:rPr>
            </w:pPr>
            <w:r>
              <w:rPr>
                <w:b/>
                <w:bCs/>
                <w:color w:val="000000" w:themeColor="text1"/>
                <w:szCs w:val="21"/>
                <w:u w:val="single"/>
              </w:rPr>
              <w:t>敏感点距事故源距离（m）</w:t>
            </w:r>
          </w:p>
        </w:tc>
        <w:tc>
          <w:tcPr>
            <w:tcW w:w="1131" w:type="dxa"/>
            <w:vAlign w:val="center"/>
          </w:tcPr>
          <w:p>
            <w:pPr>
              <w:ind w:left="-50" w:right="-50"/>
              <w:jc w:val="center"/>
              <w:rPr>
                <w:b/>
                <w:bCs/>
                <w:color w:val="000000" w:themeColor="text1"/>
                <w:szCs w:val="21"/>
                <w:u w:val="single"/>
              </w:rPr>
            </w:pPr>
            <w:r>
              <w:rPr>
                <w:b/>
                <w:bCs/>
                <w:color w:val="000000" w:themeColor="text1"/>
                <w:szCs w:val="21"/>
                <w:u w:val="single"/>
              </w:rPr>
              <w:t>污染物到达敏感点时间（d）</w:t>
            </w:r>
          </w:p>
        </w:tc>
        <w:tc>
          <w:tcPr>
            <w:tcW w:w="1044" w:type="dxa"/>
            <w:vAlign w:val="center"/>
          </w:tcPr>
          <w:p>
            <w:pPr>
              <w:ind w:left="-105" w:leftChars="-50" w:right="-105" w:rightChars="-50"/>
              <w:jc w:val="center"/>
              <w:rPr>
                <w:b/>
                <w:bCs/>
                <w:color w:val="000000" w:themeColor="text1"/>
                <w:szCs w:val="21"/>
                <w:u w:val="single"/>
              </w:rPr>
            </w:pPr>
            <w:r>
              <w:rPr>
                <w:b/>
                <w:bCs/>
                <w:color w:val="000000" w:themeColor="text1"/>
                <w:szCs w:val="21"/>
                <w:u w:val="single"/>
              </w:rPr>
              <w:t>最大贡献值（mg/L）</w:t>
            </w:r>
          </w:p>
        </w:tc>
        <w:tc>
          <w:tcPr>
            <w:tcW w:w="911" w:type="dxa"/>
            <w:vAlign w:val="center"/>
          </w:tcPr>
          <w:p>
            <w:pPr>
              <w:ind w:left="-50" w:right="-50"/>
              <w:jc w:val="center"/>
              <w:rPr>
                <w:b/>
                <w:bCs/>
                <w:color w:val="000000" w:themeColor="text1"/>
                <w:szCs w:val="21"/>
                <w:u w:val="single"/>
              </w:rPr>
            </w:pPr>
            <w:r>
              <w:rPr>
                <w:b/>
                <w:bCs/>
                <w:color w:val="000000" w:themeColor="text1"/>
                <w:szCs w:val="21"/>
                <w:u w:val="single"/>
              </w:rPr>
              <w:t>最大贡献值出现时间（d）</w:t>
            </w:r>
          </w:p>
        </w:tc>
        <w:tc>
          <w:tcPr>
            <w:tcW w:w="1057" w:type="dxa"/>
            <w:vAlign w:val="center"/>
          </w:tcPr>
          <w:p>
            <w:pPr>
              <w:ind w:left="-50" w:right="-50"/>
              <w:jc w:val="center"/>
              <w:rPr>
                <w:b/>
                <w:bCs/>
                <w:color w:val="000000" w:themeColor="text1"/>
                <w:szCs w:val="21"/>
                <w:u w:val="single"/>
              </w:rPr>
            </w:pPr>
            <w:r>
              <w:rPr>
                <w:b/>
                <w:bCs/>
                <w:color w:val="000000" w:themeColor="text1"/>
                <w:szCs w:val="21"/>
                <w:u w:val="single"/>
              </w:rPr>
              <w:t>背景值（mg/L）</w:t>
            </w:r>
          </w:p>
        </w:tc>
        <w:tc>
          <w:tcPr>
            <w:tcW w:w="1001" w:type="dxa"/>
            <w:vAlign w:val="center"/>
          </w:tcPr>
          <w:p>
            <w:pPr>
              <w:ind w:left="-50" w:right="-50"/>
              <w:jc w:val="center"/>
              <w:rPr>
                <w:b/>
                <w:bCs/>
                <w:color w:val="000000" w:themeColor="text1"/>
                <w:szCs w:val="21"/>
                <w:u w:val="single"/>
              </w:rPr>
            </w:pPr>
            <w:r>
              <w:rPr>
                <w:b/>
                <w:bCs/>
                <w:color w:val="000000" w:themeColor="text1"/>
                <w:szCs w:val="21"/>
                <w:u w:val="single"/>
              </w:rPr>
              <w:t>最大预测值（mg/L）</w:t>
            </w:r>
          </w:p>
        </w:tc>
        <w:tc>
          <w:tcPr>
            <w:tcW w:w="706" w:type="dxa"/>
            <w:vAlign w:val="center"/>
          </w:tcPr>
          <w:p>
            <w:pPr>
              <w:ind w:left="-50" w:right="-50"/>
              <w:jc w:val="center"/>
              <w:rPr>
                <w:b/>
                <w:bCs/>
                <w:color w:val="000000" w:themeColor="text1"/>
                <w:szCs w:val="21"/>
                <w:u w:val="single"/>
              </w:rPr>
            </w:pPr>
            <w:r>
              <w:rPr>
                <w:b/>
                <w:bCs/>
                <w:color w:val="000000" w:themeColor="text1"/>
                <w:szCs w:val="21"/>
                <w:u w:val="single"/>
              </w:rPr>
              <w:t>超标时间（d）</w:t>
            </w:r>
          </w:p>
        </w:tc>
        <w:tc>
          <w:tcPr>
            <w:tcW w:w="689" w:type="dxa"/>
            <w:vAlign w:val="center"/>
          </w:tcPr>
          <w:p>
            <w:pPr>
              <w:ind w:left="-50" w:right="-50"/>
              <w:jc w:val="center"/>
              <w:rPr>
                <w:b/>
                <w:bCs/>
                <w:color w:val="000000" w:themeColor="text1"/>
                <w:szCs w:val="21"/>
                <w:u w:val="single"/>
              </w:rPr>
            </w:pPr>
            <w:r>
              <w:rPr>
                <w:b/>
                <w:bCs/>
                <w:color w:val="000000" w:themeColor="text1"/>
                <w:szCs w:val="21"/>
                <w:u w:val="single"/>
              </w:rPr>
              <w:t>达标时间（d）</w:t>
            </w:r>
          </w:p>
        </w:tc>
        <w:tc>
          <w:tcPr>
            <w:tcW w:w="961" w:type="dxa"/>
            <w:vAlign w:val="center"/>
          </w:tcPr>
          <w:p>
            <w:pPr>
              <w:ind w:left="-50" w:right="-50"/>
              <w:jc w:val="center"/>
              <w:rPr>
                <w:b/>
                <w:bCs/>
                <w:color w:val="000000" w:themeColor="text1"/>
                <w:szCs w:val="21"/>
                <w:u w:val="single"/>
              </w:rPr>
            </w:pPr>
            <w:r>
              <w:rPr>
                <w:b/>
                <w:bCs/>
                <w:color w:val="000000" w:themeColor="text1"/>
                <w:szCs w:val="21"/>
                <w:u w:val="single"/>
              </w:rPr>
              <w:t>标准值（mg/L）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67" w:type="dxa"/>
            <w:vAlign w:val="center"/>
          </w:tcPr>
          <w:p>
            <w:pPr>
              <w:ind w:left="-50" w:right="-50"/>
              <w:jc w:val="center"/>
              <w:rPr>
                <w:b/>
                <w:bCs/>
                <w:color w:val="000000" w:themeColor="text1"/>
                <w:szCs w:val="21"/>
                <w:u w:val="single"/>
              </w:rPr>
            </w:pPr>
            <w:r>
              <w:rPr>
                <w:b/>
                <w:bCs/>
                <w:color w:val="000000" w:themeColor="text1"/>
                <w:szCs w:val="21"/>
                <w:u w:val="single"/>
              </w:rPr>
              <w:t>场界</w:t>
            </w:r>
          </w:p>
        </w:tc>
        <w:tc>
          <w:tcPr>
            <w:tcW w:w="881" w:type="dxa"/>
            <w:vAlign w:val="center"/>
          </w:tcPr>
          <w:p>
            <w:pPr>
              <w:ind w:left="-50" w:right="-50"/>
              <w:jc w:val="center"/>
              <w:rPr>
                <w:b/>
                <w:bCs/>
                <w:color w:val="000000" w:themeColor="text1"/>
                <w:szCs w:val="21"/>
                <w:u w:val="single"/>
              </w:rPr>
            </w:pPr>
            <w:r>
              <w:rPr>
                <w:b/>
                <w:bCs/>
                <w:color w:val="000000" w:themeColor="text1"/>
                <w:szCs w:val="21"/>
                <w:u w:val="single"/>
              </w:rPr>
              <w:t>20</w:t>
            </w:r>
          </w:p>
        </w:tc>
        <w:tc>
          <w:tcPr>
            <w:tcW w:w="1131" w:type="dxa"/>
            <w:vAlign w:val="center"/>
          </w:tcPr>
          <w:p>
            <w:pPr>
              <w:ind w:left="-50" w:right="-50"/>
              <w:jc w:val="center"/>
              <w:rPr>
                <w:b/>
                <w:bCs/>
                <w:color w:val="000000" w:themeColor="text1"/>
                <w:szCs w:val="21"/>
                <w:u w:val="single"/>
              </w:rPr>
            </w:pPr>
            <w:r>
              <w:rPr>
                <w:b/>
                <w:bCs/>
                <w:color w:val="000000" w:themeColor="text1"/>
                <w:szCs w:val="21"/>
                <w:u w:val="single"/>
              </w:rPr>
              <w:t>1</w:t>
            </w:r>
          </w:p>
        </w:tc>
        <w:tc>
          <w:tcPr>
            <w:tcW w:w="1044" w:type="dxa"/>
            <w:vAlign w:val="center"/>
          </w:tcPr>
          <w:p>
            <w:pPr>
              <w:ind w:left="-50" w:right="-50"/>
              <w:jc w:val="center"/>
              <w:rPr>
                <w:b/>
                <w:bCs/>
                <w:color w:val="000000" w:themeColor="text1"/>
                <w:szCs w:val="21"/>
                <w:u w:val="single"/>
              </w:rPr>
            </w:pPr>
            <w:r>
              <w:rPr>
                <w:b/>
                <w:bCs/>
                <w:color w:val="000000" w:themeColor="text1"/>
                <w:szCs w:val="21"/>
                <w:u w:val="single"/>
              </w:rPr>
              <w:t>0.848</w:t>
            </w:r>
          </w:p>
        </w:tc>
        <w:tc>
          <w:tcPr>
            <w:tcW w:w="911" w:type="dxa"/>
            <w:vAlign w:val="center"/>
          </w:tcPr>
          <w:p>
            <w:pPr>
              <w:ind w:left="-50" w:right="-50"/>
              <w:jc w:val="center"/>
              <w:rPr>
                <w:b/>
                <w:bCs/>
                <w:color w:val="000000" w:themeColor="text1"/>
                <w:szCs w:val="21"/>
                <w:u w:val="single"/>
              </w:rPr>
            </w:pPr>
            <w:r>
              <w:rPr>
                <w:b/>
                <w:bCs/>
                <w:color w:val="000000" w:themeColor="text1"/>
                <w:szCs w:val="21"/>
                <w:u w:val="single"/>
              </w:rPr>
              <w:t>116</w:t>
            </w:r>
          </w:p>
        </w:tc>
        <w:tc>
          <w:tcPr>
            <w:tcW w:w="1057" w:type="dxa"/>
            <w:vAlign w:val="center"/>
          </w:tcPr>
          <w:p>
            <w:pPr>
              <w:ind w:left="-50" w:right="-50"/>
              <w:jc w:val="center"/>
              <w:rPr>
                <w:b/>
                <w:bCs/>
                <w:color w:val="000000" w:themeColor="text1"/>
                <w:szCs w:val="21"/>
                <w:u w:val="single"/>
              </w:rPr>
            </w:pPr>
            <w:r>
              <w:rPr>
                <w:b/>
                <w:bCs/>
                <w:color w:val="000000" w:themeColor="text1"/>
                <w:szCs w:val="21"/>
                <w:u w:val="single"/>
              </w:rPr>
              <w:t>/</w:t>
            </w:r>
          </w:p>
        </w:tc>
        <w:tc>
          <w:tcPr>
            <w:tcW w:w="1001" w:type="dxa"/>
            <w:vAlign w:val="center"/>
          </w:tcPr>
          <w:p>
            <w:pPr>
              <w:jc w:val="center"/>
              <w:rPr>
                <w:b/>
                <w:bCs/>
                <w:color w:val="000000" w:themeColor="text1"/>
                <w:szCs w:val="21"/>
                <w:u w:val="single"/>
              </w:rPr>
            </w:pPr>
            <w:r>
              <w:rPr>
                <w:b/>
                <w:bCs/>
                <w:color w:val="000000" w:themeColor="text1"/>
                <w:szCs w:val="21"/>
                <w:u w:val="single"/>
              </w:rPr>
              <w:t>0.727</w:t>
            </w:r>
          </w:p>
        </w:tc>
        <w:tc>
          <w:tcPr>
            <w:tcW w:w="706" w:type="dxa"/>
            <w:vAlign w:val="center"/>
          </w:tcPr>
          <w:p>
            <w:pPr>
              <w:ind w:left="-50" w:right="-50"/>
              <w:jc w:val="center"/>
              <w:rPr>
                <w:b/>
                <w:bCs/>
                <w:color w:val="000000" w:themeColor="text1"/>
                <w:szCs w:val="21"/>
                <w:u w:val="single"/>
              </w:rPr>
            </w:pPr>
            <w:r>
              <w:rPr>
                <w:b/>
                <w:bCs/>
                <w:color w:val="000000" w:themeColor="text1"/>
                <w:szCs w:val="21"/>
                <w:u w:val="single"/>
              </w:rPr>
              <w:t>24</w:t>
            </w:r>
          </w:p>
        </w:tc>
        <w:tc>
          <w:tcPr>
            <w:tcW w:w="689" w:type="dxa"/>
            <w:vAlign w:val="center"/>
          </w:tcPr>
          <w:p>
            <w:pPr>
              <w:ind w:left="-50" w:right="-50"/>
              <w:jc w:val="center"/>
              <w:rPr>
                <w:b/>
                <w:bCs/>
                <w:color w:val="000000" w:themeColor="text1"/>
                <w:szCs w:val="21"/>
                <w:u w:val="single"/>
              </w:rPr>
            </w:pPr>
            <w:r>
              <w:rPr>
                <w:b/>
                <w:bCs/>
                <w:color w:val="000000" w:themeColor="text1"/>
                <w:szCs w:val="21"/>
                <w:u w:val="single"/>
              </w:rPr>
              <w:t>9999</w:t>
            </w:r>
          </w:p>
        </w:tc>
        <w:tc>
          <w:tcPr>
            <w:tcW w:w="961" w:type="dxa"/>
            <w:vAlign w:val="center"/>
          </w:tcPr>
          <w:p>
            <w:pPr>
              <w:ind w:left="-50" w:right="-50"/>
              <w:jc w:val="center"/>
              <w:rPr>
                <w:b/>
                <w:bCs/>
                <w:color w:val="000000" w:themeColor="text1"/>
                <w:szCs w:val="21"/>
                <w:u w:val="single"/>
              </w:rPr>
            </w:pPr>
            <w:r>
              <w:rPr>
                <w:b/>
                <w:bCs/>
                <w:color w:val="000000" w:themeColor="text1"/>
                <w:szCs w:val="21"/>
                <w:u w:val="single"/>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67" w:type="dxa"/>
            <w:vAlign w:val="center"/>
          </w:tcPr>
          <w:p>
            <w:pPr>
              <w:ind w:left="-50" w:right="-50"/>
              <w:jc w:val="center"/>
              <w:rPr>
                <w:b/>
                <w:bCs/>
                <w:color w:val="000000" w:themeColor="text1"/>
                <w:szCs w:val="21"/>
                <w:u w:val="single"/>
              </w:rPr>
            </w:pPr>
            <w:r>
              <w:rPr>
                <w:b/>
                <w:bCs/>
                <w:color w:val="000000" w:themeColor="text1"/>
                <w:szCs w:val="21"/>
                <w:u w:val="single"/>
              </w:rPr>
              <w:t>庄头</w:t>
            </w:r>
          </w:p>
        </w:tc>
        <w:tc>
          <w:tcPr>
            <w:tcW w:w="881" w:type="dxa"/>
            <w:vAlign w:val="center"/>
          </w:tcPr>
          <w:p>
            <w:pPr>
              <w:ind w:left="-50" w:right="-50"/>
              <w:jc w:val="center"/>
              <w:rPr>
                <w:b/>
                <w:bCs/>
                <w:color w:val="000000" w:themeColor="text1"/>
                <w:szCs w:val="21"/>
                <w:u w:val="single"/>
              </w:rPr>
            </w:pPr>
            <w:r>
              <w:rPr>
                <w:b/>
                <w:bCs/>
                <w:color w:val="000000" w:themeColor="text1"/>
                <w:szCs w:val="21"/>
                <w:u w:val="single"/>
              </w:rPr>
              <w:t>780</w:t>
            </w:r>
          </w:p>
        </w:tc>
        <w:tc>
          <w:tcPr>
            <w:tcW w:w="1131" w:type="dxa"/>
            <w:vAlign w:val="center"/>
          </w:tcPr>
          <w:p>
            <w:pPr>
              <w:jc w:val="center"/>
              <w:rPr>
                <w:b/>
                <w:bCs/>
                <w:color w:val="000000" w:themeColor="text1"/>
                <w:szCs w:val="21"/>
                <w:u w:val="single"/>
              </w:rPr>
            </w:pPr>
            <w:r>
              <w:rPr>
                <w:b/>
                <w:bCs/>
                <w:color w:val="000000" w:themeColor="text1"/>
                <w:szCs w:val="21"/>
                <w:u w:val="single"/>
              </w:rPr>
              <w:t>/</w:t>
            </w:r>
          </w:p>
        </w:tc>
        <w:tc>
          <w:tcPr>
            <w:tcW w:w="1044" w:type="dxa"/>
            <w:vAlign w:val="center"/>
          </w:tcPr>
          <w:p>
            <w:pPr>
              <w:jc w:val="center"/>
              <w:rPr>
                <w:b/>
                <w:bCs/>
                <w:color w:val="000000" w:themeColor="text1"/>
                <w:szCs w:val="21"/>
                <w:u w:val="single"/>
              </w:rPr>
            </w:pPr>
            <w:r>
              <w:rPr>
                <w:b/>
                <w:bCs/>
                <w:color w:val="000000" w:themeColor="text1"/>
                <w:szCs w:val="21"/>
                <w:u w:val="single"/>
              </w:rPr>
              <w:t>/</w:t>
            </w:r>
          </w:p>
        </w:tc>
        <w:tc>
          <w:tcPr>
            <w:tcW w:w="911" w:type="dxa"/>
            <w:vAlign w:val="center"/>
          </w:tcPr>
          <w:p>
            <w:pPr>
              <w:jc w:val="center"/>
              <w:rPr>
                <w:b/>
                <w:bCs/>
                <w:color w:val="000000" w:themeColor="text1"/>
                <w:szCs w:val="21"/>
                <w:u w:val="single"/>
              </w:rPr>
            </w:pPr>
            <w:r>
              <w:rPr>
                <w:b/>
                <w:bCs/>
                <w:color w:val="000000" w:themeColor="text1"/>
                <w:szCs w:val="21"/>
                <w:u w:val="single"/>
              </w:rPr>
              <w:t>/</w:t>
            </w:r>
          </w:p>
        </w:tc>
        <w:tc>
          <w:tcPr>
            <w:tcW w:w="1057" w:type="dxa"/>
            <w:vAlign w:val="center"/>
          </w:tcPr>
          <w:p>
            <w:pPr>
              <w:ind w:left="-50" w:right="-50"/>
              <w:jc w:val="center"/>
              <w:rPr>
                <w:b/>
                <w:bCs/>
                <w:color w:val="000000" w:themeColor="text1"/>
                <w:szCs w:val="21"/>
                <w:u w:val="single"/>
              </w:rPr>
            </w:pPr>
            <w:r>
              <w:rPr>
                <w:b/>
                <w:bCs/>
                <w:color w:val="000000" w:themeColor="text1"/>
                <w:szCs w:val="21"/>
                <w:u w:val="single"/>
              </w:rPr>
              <w:t>0.61</w:t>
            </w:r>
          </w:p>
        </w:tc>
        <w:tc>
          <w:tcPr>
            <w:tcW w:w="1001" w:type="dxa"/>
            <w:vAlign w:val="center"/>
          </w:tcPr>
          <w:p>
            <w:pPr>
              <w:jc w:val="center"/>
              <w:rPr>
                <w:b/>
                <w:bCs/>
                <w:color w:val="000000" w:themeColor="text1"/>
                <w:szCs w:val="21"/>
                <w:u w:val="single"/>
              </w:rPr>
            </w:pPr>
            <w:r>
              <w:rPr>
                <w:b/>
                <w:bCs/>
                <w:color w:val="000000" w:themeColor="text1"/>
                <w:szCs w:val="21"/>
                <w:u w:val="single"/>
              </w:rPr>
              <w:t>0.61</w:t>
            </w:r>
          </w:p>
        </w:tc>
        <w:tc>
          <w:tcPr>
            <w:tcW w:w="706" w:type="dxa"/>
            <w:vAlign w:val="center"/>
          </w:tcPr>
          <w:p>
            <w:pPr>
              <w:jc w:val="center"/>
              <w:rPr>
                <w:b/>
                <w:bCs/>
                <w:color w:val="000000" w:themeColor="text1"/>
                <w:szCs w:val="21"/>
                <w:u w:val="single"/>
              </w:rPr>
            </w:pPr>
            <w:r>
              <w:rPr>
                <w:b/>
                <w:bCs/>
                <w:color w:val="000000" w:themeColor="text1"/>
                <w:szCs w:val="21"/>
                <w:u w:val="single"/>
              </w:rPr>
              <w:t>/</w:t>
            </w:r>
          </w:p>
        </w:tc>
        <w:tc>
          <w:tcPr>
            <w:tcW w:w="689" w:type="dxa"/>
            <w:vAlign w:val="center"/>
          </w:tcPr>
          <w:p>
            <w:pPr>
              <w:jc w:val="center"/>
              <w:rPr>
                <w:b/>
                <w:bCs/>
                <w:color w:val="000000" w:themeColor="text1"/>
                <w:szCs w:val="21"/>
                <w:u w:val="single"/>
              </w:rPr>
            </w:pPr>
            <w:r>
              <w:rPr>
                <w:b/>
                <w:bCs/>
                <w:color w:val="000000" w:themeColor="text1"/>
                <w:szCs w:val="21"/>
                <w:u w:val="single"/>
              </w:rPr>
              <w:t>/</w:t>
            </w:r>
          </w:p>
        </w:tc>
        <w:tc>
          <w:tcPr>
            <w:tcW w:w="961" w:type="dxa"/>
            <w:vAlign w:val="center"/>
          </w:tcPr>
          <w:p>
            <w:pPr>
              <w:ind w:left="-50" w:right="-50"/>
              <w:jc w:val="center"/>
              <w:rPr>
                <w:b/>
                <w:bCs/>
                <w:color w:val="000000" w:themeColor="text1"/>
                <w:szCs w:val="21"/>
                <w:u w:val="single"/>
              </w:rPr>
            </w:pPr>
            <w:r>
              <w:rPr>
                <w:b/>
                <w:bCs/>
                <w:color w:val="000000" w:themeColor="text1"/>
                <w:szCs w:val="21"/>
                <w:u w:val="single"/>
              </w:rPr>
              <w:t>0.5</w:t>
            </w:r>
          </w:p>
        </w:tc>
      </w:tr>
    </w:tbl>
    <w:p>
      <w:pPr>
        <w:spacing w:line="500" w:lineRule="exact"/>
        <w:rPr>
          <w:b/>
          <w:bCs/>
          <w:sz w:val="24"/>
          <w:u w:val="single"/>
        </w:rPr>
      </w:pPr>
      <w:r>
        <w:rPr>
          <w:b/>
          <w:bCs/>
          <w:sz w:val="24"/>
          <w:u w:val="single"/>
        </w:rPr>
        <w:t>根据预测结果可知非正常状况下：</w:t>
      </w:r>
    </w:p>
    <w:p>
      <w:pPr>
        <w:spacing w:line="500" w:lineRule="exact"/>
        <w:ind w:firstLine="482" w:firstLineChars="200"/>
        <w:rPr>
          <w:b/>
          <w:bCs/>
          <w:sz w:val="24"/>
          <w:u w:val="single"/>
        </w:rPr>
      </w:pPr>
      <w:r>
        <w:rPr>
          <w:rFonts w:hint="eastAsia" w:ascii="宋体" w:hAnsi="宋体" w:cs="宋体"/>
          <w:b/>
          <w:bCs/>
          <w:sz w:val="24"/>
          <w:u w:val="single"/>
        </w:rPr>
        <w:t>①</w:t>
      </w:r>
      <w:r>
        <w:rPr>
          <w:b/>
          <w:bCs/>
          <w:sz w:val="24"/>
          <w:u w:val="single"/>
        </w:rPr>
        <w:t>COD</w:t>
      </w:r>
      <w:r>
        <w:rPr>
          <w:b/>
          <w:bCs/>
          <w:sz w:val="24"/>
          <w:u w:val="single"/>
          <w:vertAlign w:val="subscript"/>
        </w:rPr>
        <w:t>Mn</w:t>
      </w:r>
      <w:r>
        <w:rPr>
          <w:b/>
          <w:bCs/>
          <w:sz w:val="24"/>
          <w:u w:val="single"/>
        </w:rPr>
        <w:t xml:space="preserve">第1天、第100天和第1000天最大预测值分别为16.71mg/L、1.67mg/L、0.53mg/L，其中第1天的最大预测值不能满足《地下水质量标准》（GB/T14848-2017）表1 </w:t>
      </w:r>
      <w:r>
        <w:rPr>
          <w:b/>
          <w:bCs/>
          <w:sz w:val="24"/>
          <w:u w:val="single"/>
        </w:rPr>
        <w:fldChar w:fldCharType="begin"/>
      </w:r>
      <w:r>
        <w:rPr>
          <w:b/>
          <w:bCs/>
          <w:sz w:val="24"/>
          <w:u w:val="single"/>
        </w:rPr>
        <w:instrText xml:space="preserve"> = 3 \* ROMAN </w:instrText>
      </w:r>
      <w:r>
        <w:rPr>
          <w:b/>
          <w:bCs/>
          <w:sz w:val="24"/>
          <w:u w:val="single"/>
        </w:rPr>
        <w:fldChar w:fldCharType="separate"/>
      </w:r>
      <w:r>
        <w:rPr>
          <w:b/>
          <w:bCs/>
          <w:sz w:val="24"/>
          <w:u w:val="single"/>
        </w:rPr>
        <w:t>III</w:t>
      </w:r>
      <w:r>
        <w:rPr>
          <w:b/>
          <w:bCs/>
          <w:sz w:val="24"/>
          <w:u w:val="single"/>
        </w:rPr>
        <w:fldChar w:fldCharType="end"/>
      </w:r>
      <w:r>
        <w:rPr>
          <w:b/>
          <w:bCs/>
          <w:sz w:val="24"/>
          <w:u w:val="single"/>
        </w:rPr>
        <w:t xml:space="preserve">类要求，第100天、第1000天的最大预测值均能满足《地下水质量标准》（GB/T14848-2017）表1 </w:t>
      </w:r>
      <w:r>
        <w:rPr>
          <w:b/>
          <w:bCs/>
          <w:sz w:val="24"/>
          <w:u w:val="single"/>
        </w:rPr>
        <w:fldChar w:fldCharType="begin"/>
      </w:r>
      <w:r>
        <w:rPr>
          <w:b/>
          <w:bCs/>
          <w:sz w:val="24"/>
          <w:u w:val="single"/>
        </w:rPr>
        <w:instrText xml:space="preserve"> = 3 \* ROMAN </w:instrText>
      </w:r>
      <w:r>
        <w:rPr>
          <w:b/>
          <w:bCs/>
          <w:sz w:val="24"/>
          <w:u w:val="single"/>
        </w:rPr>
        <w:fldChar w:fldCharType="separate"/>
      </w:r>
      <w:r>
        <w:rPr>
          <w:b/>
          <w:bCs/>
          <w:sz w:val="24"/>
          <w:u w:val="single"/>
        </w:rPr>
        <w:t>III</w:t>
      </w:r>
      <w:r>
        <w:rPr>
          <w:b/>
          <w:bCs/>
          <w:sz w:val="24"/>
          <w:u w:val="single"/>
        </w:rPr>
        <w:fldChar w:fldCharType="end"/>
      </w:r>
      <w:r>
        <w:rPr>
          <w:b/>
          <w:bCs/>
          <w:sz w:val="24"/>
          <w:u w:val="single"/>
        </w:rPr>
        <w:t>类要求，第1天开始超标距离为0m、开始达标距离为4m，第100天、第1000天的预测值不超标。第1天、第100天和第1000天最远影响距离分别为27m、268m、854m。</w:t>
      </w:r>
    </w:p>
    <w:p>
      <w:pPr>
        <w:spacing w:line="500" w:lineRule="exact"/>
        <w:ind w:firstLine="482" w:firstLineChars="200"/>
        <w:rPr>
          <w:b/>
          <w:bCs/>
          <w:sz w:val="24"/>
          <w:u w:val="single"/>
        </w:rPr>
      </w:pPr>
      <w:r>
        <w:rPr>
          <w:rFonts w:hint="eastAsia" w:ascii="宋体" w:hAnsi="宋体" w:cs="宋体"/>
          <w:b/>
          <w:bCs/>
          <w:sz w:val="24"/>
          <w:u w:val="single"/>
        </w:rPr>
        <w:t>②</w:t>
      </w:r>
      <w:r>
        <w:rPr>
          <w:b/>
          <w:bCs/>
          <w:sz w:val="24"/>
          <w:u w:val="single"/>
        </w:rPr>
        <w:t xml:space="preserve">氨氮第1天、第100天和第1000天最大预测值分别为14.03mg/L、1.403mg/L、0.44mg/L，第1天、第100天和第1000天最大预测值均不能满足《地下水质量标准》（GB/T14848-2017）表1 </w:t>
      </w:r>
      <w:r>
        <w:rPr>
          <w:b/>
          <w:bCs/>
          <w:sz w:val="24"/>
          <w:u w:val="single"/>
        </w:rPr>
        <w:fldChar w:fldCharType="begin"/>
      </w:r>
      <w:r>
        <w:rPr>
          <w:b/>
          <w:bCs/>
          <w:sz w:val="24"/>
          <w:u w:val="single"/>
        </w:rPr>
        <w:instrText xml:space="preserve"> = 3 \* ROMAN </w:instrText>
      </w:r>
      <w:r>
        <w:rPr>
          <w:b/>
          <w:bCs/>
          <w:sz w:val="24"/>
          <w:u w:val="single"/>
        </w:rPr>
        <w:fldChar w:fldCharType="separate"/>
      </w:r>
      <w:r>
        <w:rPr>
          <w:b/>
          <w:bCs/>
          <w:sz w:val="24"/>
          <w:u w:val="single"/>
        </w:rPr>
        <w:t>III</w:t>
      </w:r>
      <w:r>
        <w:rPr>
          <w:b/>
          <w:bCs/>
          <w:sz w:val="24"/>
          <w:u w:val="single"/>
        </w:rPr>
        <w:fldChar w:fldCharType="end"/>
      </w:r>
      <w:r>
        <w:rPr>
          <w:b/>
          <w:bCs/>
          <w:sz w:val="24"/>
          <w:u w:val="single"/>
        </w:rPr>
        <w:t>类要求，第1天开始超标距离为0m、开始达标距离为6m，第100天开始超标距离为0m、开始达标距离为36m，第1000天开始超标距离为0m、开始达标距离为77m。第1天、第100天和第1000天最远影响距离分别为26m、268m、853m。</w:t>
      </w:r>
    </w:p>
    <w:p>
      <w:pPr>
        <w:spacing w:line="500" w:lineRule="exact"/>
        <w:ind w:firstLine="482" w:firstLineChars="200"/>
        <w:rPr>
          <w:b/>
          <w:bCs/>
          <w:sz w:val="24"/>
          <w:u w:val="single"/>
        </w:rPr>
      </w:pPr>
      <w:r>
        <w:rPr>
          <w:rFonts w:hint="eastAsia" w:ascii="宋体" w:hAnsi="宋体" w:cs="宋体"/>
          <w:b/>
          <w:bCs/>
          <w:sz w:val="24"/>
          <w:u w:val="single"/>
        </w:rPr>
        <w:t>③</w:t>
      </w:r>
      <w:r>
        <w:rPr>
          <w:b/>
          <w:bCs/>
          <w:sz w:val="24"/>
          <w:u w:val="single"/>
        </w:rPr>
        <w:t>场界处COD</w:t>
      </w:r>
      <w:r>
        <w:rPr>
          <w:b/>
          <w:bCs/>
          <w:sz w:val="24"/>
          <w:u w:val="single"/>
          <w:vertAlign w:val="subscript"/>
        </w:rPr>
        <w:t>Mn</w:t>
      </w:r>
      <w:r>
        <w:rPr>
          <w:b/>
          <w:bCs/>
          <w:sz w:val="24"/>
          <w:u w:val="single"/>
        </w:rPr>
        <w:t>的浓度随着时间的增加而增大，直至达到峰值后其浓度随时间的增大而减小。COD</w:t>
      </w:r>
      <w:r>
        <w:rPr>
          <w:b/>
          <w:bCs/>
          <w:sz w:val="24"/>
          <w:u w:val="single"/>
          <w:vertAlign w:val="subscript"/>
        </w:rPr>
        <w:t>Mn</w:t>
      </w:r>
      <w:r>
        <w:rPr>
          <w:b/>
          <w:bCs/>
          <w:sz w:val="24"/>
          <w:u w:val="single"/>
        </w:rPr>
        <w:t xml:space="preserve">泄漏后经1天可到达场界，对场界的最大预测值为1.4099mg/L能满足《地下水质量标准》（GB/T14848-2017）表1 </w:t>
      </w:r>
      <w:r>
        <w:rPr>
          <w:rFonts w:hint="eastAsia" w:ascii="宋体" w:hAnsi="宋体" w:cs="宋体"/>
          <w:b/>
          <w:bCs/>
          <w:sz w:val="24"/>
          <w:u w:val="single"/>
        </w:rPr>
        <w:t>Ⅲ</w:t>
      </w:r>
      <w:r>
        <w:rPr>
          <w:b/>
          <w:bCs/>
          <w:sz w:val="24"/>
          <w:u w:val="single"/>
        </w:rPr>
        <w:t>类要求。</w:t>
      </w:r>
    </w:p>
    <w:p>
      <w:pPr>
        <w:spacing w:line="500" w:lineRule="exact"/>
        <w:ind w:firstLine="482" w:firstLineChars="200"/>
        <w:rPr>
          <w:b/>
          <w:bCs/>
          <w:sz w:val="24"/>
          <w:u w:val="single"/>
        </w:rPr>
      </w:pPr>
      <w:r>
        <w:rPr>
          <w:rFonts w:hint="eastAsia" w:ascii="宋体" w:hAnsi="宋体" w:cs="宋体"/>
          <w:b/>
          <w:bCs/>
          <w:sz w:val="24"/>
          <w:u w:val="single"/>
        </w:rPr>
        <w:t>④</w:t>
      </w:r>
      <w:r>
        <w:rPr>
          <w:b/>
          <w:bCs/>
          <w:sz w:val="24"/>
          <w:u w:val="single"/>
        </w:rPr>
        <w:t xml:space="preserve">场界处氨氮的浓度随着时间的增加而增大，直至达到峰值后其浓度随时间的增大而减小。氨氮泄漏后经1天可到达场界，对场界的最大预测值为0.848mg/L，不能满足《地下水质量标准》（GB/T14848-2017）表1 </w:t>
      </w:r>
      <w:r>
        <w:rPr>
          <w:rFonts w:hint="eastAsia" w:ascii="宋体" w:hAnsi="宋体" w:cs="宋体"/>
          <w:b/>
          <w:bCs/>
          <w:sz w:val="24"/>
          <w:u w:val="single"/>
        </w:rPr>
        <w:t>Ⅲ</w:t>
      </w:r>
      <w:r>
        <w:rPr>
          <w:b/>
          <w:bCs/>
          <w:sz w:val="24"/>
          <w:u w:val="single"/>
        </w:rPr>
        <w:t>类要求。</w:t>
      </w:r>
    </w:p>
    <w:p>
      <w:pPr>
        <w:adjustRightInd w:val="0"/>
        <w:snapToGrid w:val="0"/>
        <w:spacing w:line="500" w:lineRule="exact"/>
        <w:ind w:firstLine="482" w:firstLineChars="200"/>
        <w:rPr>
          <w:b/>
          <w:bCs/>
          <w:sz w:val="24"/>
          <w:u w:val="single"/>
        </w:rPr>
      </w:pPr>
      <w:r>
        <w:rPr>
          <w:b/>
          <w:bCs/>
          <w:sz w:val="24"/>
          <w:u w:val="single"/>
        </w:rPr>
        <w:t>因此为避免非正常工况下沼液渗漏对场址下游地下水保护目标的影响，项目营运期间要加强对沼液储存池的维护管理，定期监测场址周围地下水水质状况，制定跟踪监测计划，将对地下水的污染风险降低到最小。</w:t>
      </w:r>
    </w:p>
    <w:p>
      <w:pPr>
        <w:adjustRightInd w:val="0"/>
        <w:snapToGrid w:val="0"/>
        <w:spacing w:line="500" w:lineRule="exact"/>
        <w:ind w:firstLine="482" w:firstLineChars="200"/>
        <w:rPr>
          <w:b/>
          <w:bCs/>
          <w:color w:val="000000"/>
          <w:sz w:val="24"/>
          <w:u w:val="single"/>
        </w:rPr>
      </w:pPr>
      <w:r>
        <w:rPr>
          <w:b/>
          <w:bCs/>
          <w:color w:val="000000"/>
          <w:sz w:val="24"/>
          <w:u w:val="single"/>
        </w:rPr>
        <w:t>（1）养殖区地下水污染途径及防治措施分析</w:t>
      </w:r>
    </w:p>
    <w:p>
      <w:pPr>
        <w:adjustRightInd w:val="0"/>
        <w:snapToGrid w:val="0"/>
        <w:spacing w:line="500" w:lineRule="exact"/>
        <w:ind w:firstLine="482" w:firstLineChars="200"/>
        <w:rPr>
          <w:b/>
          <w:bCs/>
          <w:color w:val="000000"/>
          <w:sz w:val="24"/>
          <w:u w:val="single"/>
        </w:rPr>
      </w:pPr>
      <w:r>
        <w:rPr>
          <w:b/>
          <w:bCs/>
          <w:color w:val="000000"/>
          <w:sz w:val="24"/>
          <w:u w:val="single"/>
        </w:rPr>
        <w:t>污染物从污染源进入地下水所经过路径称为地下水污染途径，地下水污染途径是多种多样的。本项目营运期环境影响因素主要为生活污水、养殖废水、猪粪。以上污染因素如不加以管理，污水处理池及储存池存在下渗污染地下水的隐患；猪粪乱堆乱放，以恶臭和地表径流的形式可能转入环境空气或地表水体，并通过下渗影响到地下水环境，评价针对污染途径采取相应措施处理，详见表4-25。</w:t>
      </w:r>
    </w:p>
    <w:p>
      <w:pPr>
        <w:adjustRightInd w:val="0"/>
        <w:snapToGrid w:val="0"/>
        <w:spacing w:beforeLines="50" w:afterLines="50"/>
        <w:ind w:firstLine="422" w:firstLineChars="200"/>
        <w:jc w:val="center"/>
        <w:rPr>
          <w:b/>
          <w:bCs/>
          <w:color w:val="000000"/>
          <w:szCs w:val="21"/>
          <w:u w:val="single"/>
        </w:rPr>
      </w:pPr>
      <w:r>
        <w:rPr>
          <w:b/>
          <w:bCs/>
          <w:color w:val="000000"/>
          <w:szCs w:val="21"/>
          <w:u w:val="single"/>
        </w:rPr>
        <w:t>表4-25   项目污染地下水途径及防治措施一览表</w:t>
      </w:r>
    </w:p>
    <w:tbl>
      <w:tblPr>
        <w:tblStyle w:val="44"/>
        <w:tblW w:w="91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045"/>
        <w:gridCol w:w="5386"/>
        <w:gridCol w:w="2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序号</w:t>
            </w:r>
          </w:p>
        </w:tc>
        <w:tc>
          <w:tcPr>
            <w:tcW w:w="1045"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项目</w:t>
            </w:r>
          </w:p>
        </w:tc>
        <w:tc>
          <w:tcPr>
            <w:tcW w:w="5386"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保护措施</w:t>
            </w:r>
          </w:p>
        </w:tc>
        <w:tc>
          <w:tcPr>
            <w:tcW w:w="2155"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达到效果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1</w:t>
            </w:r>
          </w:p>
        </w:tc>
        <w:tc>
          <w:tcPr>
            <w:tcW w:w="1045"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沼液储存池</w:t>
            </w:r>
          </w:p>
        </w:tc>
        <w:tc>
          <w:tcPr>
            <w:tcW w:w="5386"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沼液储存池为满足农闲期沼液产生量，容积不小于166天的废水产生量，并采用HDPE膜防渗处理措施，合理控制施肥频次和施肥量，尽量避开雨天施肥</w:t>
            </w:r>
          </w:p>
        </w:tc>
        <w:tc>
          <w:tcPr>
            <w:tcW w:w="2155" w:type="dxa"/>
            <w:vMerge w:val="restart"/>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各反应池及储存池均符合《规模化畜禽养殖场沼气工程设计规范》（NY/T1222）和《混凝土结构设计规范》（GB50010）的要求，具备“防渗、防雨、防溢”的三防措施；畜禽粪便的贮存相关要求，应具备防渗、防风、防雨的“三防”措施，雨污分流</w:t>
            </w:r>
          </w:p>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满足《畜禽养殖业污染防治技术规范》（HJ/T81-2001）要求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2</w:t>
            </w:r>
          </w:p>
        </w:tc>
        <w:tc>
          <w:tcPr>
            <w:tcW w:w="1045"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养殖区</w:t>
            </w:r>
          </w:p>
        </w:tc>
        <w:tc>
          <w:tcPr>
            <w:tcW w:w="5386"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养殖区猪舍底部采用混凝土防渗</w:t>
            </w:r>
          </w:p>
        </w:tc>
        <w:tc>
          <w:tcPr>
            <w:tcW w:w="2155" w:type="dxa"/>
            <w:vMerge w:val="continue"/>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3</w:t>
            </w:r>
          </w:p>
        </w:tc>
        <w:tc>
          <w:tcPr>
            <w:tcW w:w="1045"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污水处理系统</w:t>
            </w:r>
          </w:p>
        </w:tc>
        <w:tc>
          <w:tcPr>
            <w:tcW w:w="5386"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收集池应为砖混结构</w:t>
            </w:r>
          </w:p>
        </w:tc>
        <w:tc>
          <w:tcPr>
            <w:tcW w:w="2155" w:type="dxa"/>
            <w:vMerge w:val="continue"/>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4</w:t>
            </w:r>
          </w:p>
        </w:tc>
        <w:tc>
          <w:tcPr>
            <w:tcW w:w="1045"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固粪处置区</w:t>
            </w:r>
          </w:p>
        </w:tc>
        <w:tc>
          <w:tcPr>
            <w:tcW w:w="5386"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地面进行混凝土硬化防渗，设置顶棚</w:t>
            </w:r>
          </w:p>
        </w:tc>
        <w:tc>
          <w:tcPr>
            <w:tcW w:w="2155" w:type="dxa"/>
            <w:vMerge w:val="continue"/>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5</w:t>
            </w:r>
          </w:p>
        </w:tc>
        <w:tc>
          <w:tcPr>
            <w:tcW w:w="1045"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排污沟、漏缝板贮池</w:t>
            </w:r>
          </w:p>
        </w:tc>
        <w:tc>
          <w:tcPr>
            <w:tcW w:w="5386"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采取暗沟形式，具备防止淤集以利于定期清理的条件，排污沟应采取硬化措施</w:t>
            </w:r>
          </w:p>
        </w:tc>
        <w:tc>
          <w:tcPr>
            <w:tcW w:w="2155" w:type="dxa"/>
            <w:vMerge w:val="continue"/>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6</w:t>
            </w:r>
          </w:p>
        </w:tc>
        <w:tc>
          <w:tcPr>
            <w:tcW w:w="1045"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场区雨、污管网</w:t>
            </w:r>
          </w:p>
        </w:tc>
        <w:tc>
          <w:tcPr>
            <w:tcW w:w="5386" w:type="dxa"/>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r>
              <w:rPr>
                <w:b/>
                <w:bCs/>
                <w:color w:val="000000"/>
                <w:szCs w:val="21"/>
                <w:u w:val="single"/>
              </w:rPr>
              <w:t>雨污分流、按照畜禽养殖业污染防治技术规范要求进行建设</w:t>
            </w:r>
          </w:p>
        </w:tc>
        <w:tc>
          <w:tcPr>
            <w:tcW w:w="2155" w:type="dxa"/>
            <w:vMerge w:val="continue"/>
            <w:tcMar>
              <w:left w:w="0" w:type="dxa"/>
              <w:right w:w="0" w:type="dxa"/>
            </w:tcMar>
            <w:vAlign w:val="center"/>
          </w:tcPr>
          <w:p>
            <w:pPr>
              <w:tabs>
                <w:tab w:val="right" w:leader="dot" w:pos="8647"/>
              </w:tabs>
              <w:adjustRightInd w:val="0"/>
              <w:snapToGrid w:val="0"/>
              <w:spacing w:line="320" w:lineRule="atLeast"/>
              <w:jc w:val="center"/>
              <w:rPr>
                <w:b/>
                <w:bCs/>
                <w:color w:val="000000"/>
                <w:szCs w:val="21"/>
                <w:u w:val="single"/>
              </w:rPr>
            </w:pPr>
          </w:p>
        </w:tc>
      </w:tr>
    </w:tbl>
    <w:p>
      <w:pPr>
        <w:spacing w:line="520" w:lineRule="exact"/>
        <w:ind w:firstLine="482" w:firstLineChars="200"/>
        <w:rPr>
          <w:b/>
          <w:bCs/>
          <w:color w:val="000000"/>
          <w:sz w:val="24"/>
          <w:u w:val="single"/>
        </w:rPr>
      </w:pPr>
      <w:r>
        <w:rPr>
          <w:b/>
          <w:bCs/>
          <w:color w:val="000000"/>
          <w:sz w:val="24"/>
          <w:u w:val="single"/>
        </w:rPr>
        <w:t>因此，建设单位应当做好地面的防渗漏处理和地面硬化，同时还应加强管理，合理施肥，建立地下水监控体系，以防污染地下水。</w:t>
      </w:r>
    </w:p>
    <w:p>
      <w:pPr>
        <w:spacing w:line="520" w:lineRule="exact"/>
        <w:ind w:firstLine="482" w:firstLineChars="200"/>
        <w:rPr>
          <w:b/>
          <w:bCs/>
          <w:color w:val="000000"/>
          <w:sz w:val="24"/>
          <w:u w:val="single"/>
        </w:rPr>
      </w:pPr>
      <w:r>
        <w:rPr>
          <w:b/>
          <w:bCs/>
          <w:color w:val="000000"/>
          <w:sz w:val="24"/>
          <w:u w:val="single"/>
        </w:rPr>
        <w:t>（2）预防地下水污染物的要求及环境管理建议</w:t>
      </w:r>
    </w:p>
    <w:p>
      <w:pPr>
        <w:spacing w:line="500" w:lineRule="exact"/>
        <w:ind w:firstLine="482"/>
        <w:rPr>
          <w:b/>
          <w:bCs/>
          <w:color w:val="000000"/>
          <w:sz w:val="24"/>
          <w:u w:val="single"/>
        </w:rPr>
      </w:pPr>
      <w:r>
        <w:rPr>
          <w:b/>
          <w:bCs/>
          <w:color w:val="000000"/>
          <w:sz w:val="24"/>
          <w:u w:val="single"/>
        </w:rPr>
        <w:t>项目在施工和运营阶段，应充分做好排污管道的防渗处理，杜绝污水渗漏，确保污水收集处理系统衔接良好，严格用水管理，防止污水“跑、冒、滴、漏”现象的发生，这样可以保证项目区内产生的全部废水汇集到污水处理站集中处理，可以很大程度的消除周边地区污染物排放对地下水环境的影响。营运期建议严格按照以下要求进行管理：</w:t>
      </w:r>
    </w:p>
    <w:p>
      <w:pPr>
        <w:adjustRightInd w:val="0"/>
        <w:snapToGrid w:val="0"/>
        <w:spacing w:line="520" w:lineRule="exact"/>
        <w:ind w:firstLine="482" w:firstLineChars="200"/>
        <w:rPr>
          <w:b/>
          <w:bCs/>
          <w:color w:val="000000"/>
          <w:sz w:val="24"/>
          <w:u w:val="single"/>
        </w:rPr>
      </w:pPr>
      <w:r>
        <w:rPr>
          <w:rFonts w:hint="eastAsia" w:ascii="宋体" w:hAnsi="宋体" w:cs="宋体"/>
          <w:b/>
          <w:bCs/>
          <w:color w:val="000000"/>
          <w:sz w:val="24"/>
          <w:u w:val="single"/>
        </w:rPr>
        <w:t>①</w:t>
      </w:r>
      <w:r>
        <w:rPr>
          <w:b/>
          <w:bCs/>
          <w:color w:val="000000"/>
          <w:sz w:val="24"/>
          <w:u w:val="single"/>
        </w:rPr>
        <w:t>《畜禽养殖业污染防治技术规范》（HJ/T81-2001）规定，养殖场的排水系统应实施雨水和污水收集输送系统分离，在场区内设置的污水收集输送系统，不得采用明沟布设。排水沟应采取水泥硬化防渗措施或采用水泥排水管进行输送，防止随处溢流和下渗污染。</w:t>
      </w:r>
    </w:p>
    <w:p>
      <w:pPr>
        <w:adjustRightInd w:val="0"/>
        <w:snapToGrid w:val="0"/>
        <w:spacing w:line="520" w:lineRule="exact"/>
        <w:ind w:firstLine="482" w:firstLineChars="200"/>
        <w:rPr>
          <w:b/>
          <w:bCs/>
          <w:color w:val="000000"/>
          <w:sz w:val="24"/>
          <w:u w:val="single"/>
        </w:rPr>
      </w:pPr>
      <w:r>
        <w:rPr>
          <w:rFonts w:hint="eastAsia" w:ascii="宋体" w:hAnsi="宋体" w:cs="宋体"/>
          <w:b/>
          <w:bCs/>
          <w:color w:val="000000"/>
          <w:sz w:val="24"/>
          <w:u w:val="single"/>
        </w:rPr>
        <w:t>②</w:t>
      </w:r>
      <w:r>
        <w:rPr>
          <w:b/>
          <w:bCs/>
          <w:color w:val="000000"/>
          <w:sz w:val="24"/>
          <w:u w:val="single"/>
        </w:rPr>
        <w:t>猪粪贮存设施应采取有效的防渗处理工艺，防止粪便淋滤液污染地下水。</w:t>
      </w:r>
    </w:p>
    <w:p>
      <w:pPr>
        <w:adjustRightInd w:val="0"/>
        <w:snapToGrid w:val="0"/>
        <w:spacing w:line="520" w:lineRule="exact"/>
        <w:ind w:firstLine="482" w:firstLineChars="200"/>
        <w:rPr>
          <w:b/>
          <w:bCs/>
          <w:color w:val="000000"/>
          <w:sz w:val="24"/>
          <w:u w:val="single"/>
        </w:rPr>
      </w:pPr>
      <w:r>
        <w:rPr>
          <w:rFonts w:hint="eastAsia" w:ascii="宋体" w:hAnsi="宋体" w:cs="宋体"/>
          <w:b/>
          <w:bCs/>
          <w:color w:val="000000"/>
          <w:sz w:val="24"/>
          <w:u w:val="single"/>
        </w:rPr>
        <w:t>③</w:t>
      </w:r>
      <w:r>
        <w:rPr>
          <w:b/>
          <w:bCs/>
          <w:color w:val="000000"/>
          <w:sz w:val="24"/>
          <w:u w:val="single"/>
        </w:rPr>
        <w:t>做好收集池、沼气池、沼液储存池等的防渗工作，应充分考虑农作期间影响和雨季影响，能够保证有足够的容量以容纳养殖场产生的废水。养殖场废水收集池应按期清淤，各池建设时应高出地面至少20cm以上，以保证大雨时雨水不进入、污水不外溢。</w:t>
      </w:r>
    </w:p>
    <w:p>
      <w:pPr>
        <w:adjustRightInd w:val="0"/>
        <w:snapToGrid w:val="0"/>
        <w:spacing w:line="520" w:lineRule="exact"/>
        <w:rPr>
          <w:b/>
          <w:bCs/>
          <w:sz w:val="24"/>
          <w:u w:val="single"/>
        </w:rPr>
      </w:pPr>
      <w:r>
        <w:rPr>
          <w:b/>
          <w:bCs/>
          <w:sz w:val="24"/>
          <w:u w:val="single"/>
        </w:rPr>
        <w:t>（3）沼液消纳地地下水影响分析</w:t>
      </w:r>
    </w:p>
    <w:p>
      <w:pPr>
        <w:spacing w:line="500" w:lineRule="exact"/>
        <w:ind w:left="21" w:leftChars="10" w:right="20" w:firstLine="439" w:firstLineChars="182"/>
        <w:rPr>
          <w:b/>
          <w:bCs/>
          <w:sz w:val="24"/>
          <w:u w:val="single"/>
        </w:rPr>
      </w:pPr>
      <w:r>
        <w:rPr>
          <w:rFonts w:hint="eastAsia" w:ascii="宋体" w:hAnsi="宋体" w:cs="宋体"/>
          <w:b/>
          <w:bCs/>
          <w:sz w:val="24"/>
          <w:u w:val="single"/>
        </w:rPr>
        <w:t>①</w:t>
      </w:r>
      <w:r>
        <w:rPr>
          <w:b/>
          <w:bCs/>
          <w:sz w:val="24"/>
          <w:u w:val="single"/>
        </w:rPr>
        <w:t>沼液浇灌方式对地下水的影响</w:t>
      </w:r>
    </w:p>
    <w:p>
      <w:pPr>
        <w:spacing w:line="500" w:lineRule="exact"/>
        <w:ind w:firstLine="482" w:firstLineChars="200"/>
        <w:rPr>
          <w:b/>
          <w:bCs/>
          <w:sz w:val="24"/>
          <w:u w:val="single"/>
        </w:rPr>
      </w:pPr>
      <w:r>
        <w:rPr>
          <w:b/>
          <w:bCs/>
          <w:sz w:val="24"/>
          <w:u w:val="single"/>
        </w:rPr>
        <w:t>沼液浇灌方式有釆用田间开沟洒施、叶面喷施和浇施三种方式，宜在各种作物的各生长关键时期之前施用。本项目由场区沼液储存池引至施肥农田主官网长度为沼液由沼液储存池引至施肥农田，沼液输送管道主干管长度3</w:t>
      </w:r>
      <w:r>
        <w:rPr>
          <w:rFonts w:hint="eastAsia"/>
          <w:b/>
          <w:bCs/>
          <w:sz w:val="24"/>
          <w:u w:val="single"/>
        </w:rPr>
        <w:t>6</w:t>
      </w:r>
      <w:r>
        <w:rPr>
          <w:b/>
          <w:bCs/>
          <w:sz w:val="24"/>
          <w:u w:val="single"/>
        </w:rPr>
        <w:t>00m，支管</w:t>
      </w:r>
      <w:r>
        <w:rPr>
          <w:rFonts w:hint="eastAsia"/>
          <w:b/>
          <w:bCs/>
          <w:sz w:val="24"/>
          <w:u w:val="single"/>
        </w:rPr>
        <w:t>3400</w:t>
      </w:r>
      <w:r>
        <w:rPr>
          <w:b/>
          <w:bCs/>
          <w:sz w:val="24"/>
          <w:u w:val="single"/>
        </w:rPr>
        <w:t>m；项目使用的管材为PVC管，主干管直径为1</w:t>
      </w:r>
      <w:r>
        <w:rPr>
          <w:rFonts w:hint="eastAsia"/>
          <w:b/>
          <w:bCs/>
          <w:sz w:val="24"/>
          <w:u w:val="single"/>
        </w:rPr>
        <w:t>1</w:t>
      </w:r>
      <w:r>
        <w:rPr>
          <w:b/>
          <w:bCs/>
          <w:sz w:val="24"/>
          <w:u w:val="single"/>
        </w:rPr>
        <w:t>0mm，支管直径分别为75mm，每个施肥口设有阀门，每两个施肥口间隔50-60m，埋深0.8m。当地群众只需通过软管和预留口连接，在田间采用喷灌的方式对农田进行施肥。喷灌方式相对开沟洒施和浇施来讲对地下水影响最小。</w:t>
      </w:r>
    </w:p>
    <w:p>
      <w:pPr>
        <w:spacing w:line="500" w:lineRule="exact"/>
        <w:ind w:firstLine="482" w:firstLineChars="200"/>
        <w:rPr>
          <w:b/>
          <w:bCs/>
          <w:sz w:val="24"/>
          <w:u w:val="single"/>
        </w:rPr>
      </w:pPr>
      <w:r>
        <w:rPr>
          <w:rFonts w:hint="eastAsia" w:ascii="宋体" w:hAnsi="宋体" w:cs="宋体"/>
          <w:b/>
          <w:bCs/>
          <w:sz w:val="24"/>
          <w:u w:val="single"/>
        </w:rPr>
        <w:t>②</w:t>
      </w:r>
      <w:r>
        <w:rPr>
          <w:b/>
          <w:bCs/>
          <w:sz w:val="24"/>
          <w:u w:val="single"/>
        </w:rPr>
        <w:t>沼液施肥对地下水可能存在的影响</w:t>
      </w:r>
    </w:p>
    <w:p>
      <w:pPr>
        <w:spacing w:line="500" w:lineRule="exact"/>
        <w:ind w:firstLine="482" w:firstLineChars="200"/>
        <w:rPr>
          <w:b/>
          <w:bCs/>
          <w:sz w:val="24"/>
          <w:u w:val="single"/>
        </w:rPr>
      </w:pPr>
      <w:r>
        <w:rPr>
          <w:b/>
          <w:bCs/>
          <w:sz w:val="24"/>
          <w:u w:val="single"/>
        </w:rPr>
        <w:t>本项目产生的沼液暂存于沼液储存池内，在施肥季节施用于农田，沼液施用于农田可能会对地下水水质造成影响。沼液中NH</w:t>
      </w:r>
      <w:r>
        <w:rPr>
          <w:b/>
          <w:bCs/>
          <w:sz w:val="24"/>
          <w:u w:val="single"/>
          <w:vertAlign w:val="subscript"/>
        </w:rPr>
        <w:t>3</w:t>
      </w:r>
      <w:r>
        <w:rPr>
          <w:b/>
          <w:bCs/>
          <w:sz w:val="24"/>
          <w:u w:val="single"/>
        </w:rPr>
        <w:t>-N在包气带中的迁移是一个复杂的过程，主要的化学反应是硝化、反硝化作用。本项目厌氧处理后的废水经过在耕作土中的迁移转化、吸附降解等作用，进入环境的NH</w:t>
      </w:r>
      <w:r>
        <w:rPr>
          <w:b/>
          <w:bCs/>
          <w:sz w:val="24"/>
          <w:u w:val="single"/>
          <w:vertAlign w:val="subscript"/>
        </w:rPr>
        <w:t>3</w:t>
      </w:r>
      <w:r>
        <w:rPr>
          <w:b/>
          <w:bCs/>
          <w:sz w:val="24"/>
          <w:u w:val="single"/>
        </w:rPr>
        <w:t>-N被大量吸附并保存在土壤中。由于植物的根区效应，在植物的根系周围形成了许多好氧、缺氧和厌氧小区，NH</w:t>
      </w:r>
      <w:r>
        <w:rPr>
          <w:b/>
          <w:bCs/>
          <w:sz w:val="24"/>
          <w:u w:val="single"/>
          <w:vertAlign w:val="subscript"/>
        </w:rPr>
        <w:t>3</w:t>
      </w:r>
      <w:r>
        <w:rPr>
          <w:b/>
          <w:bCs/>
          <w:sz w:val="24"/>
          <w:u w:val="single"/>
        </w:rPr>
        <w:t>-N在植物根系好氧环境下经硝化作用转化为NO</w:t>
      </w:r>
      <w:r>
        <w:rPr>
          <w:b/>
          <w:bCs/>
          <w:sz w:val="24"/>
          <w:u w:val="single"/>
          <w:vertAlign w:val="superscript"/>
        </w:rPr>
        <w:t>3-</w:t>
      </w:r>
      <w:r>
        <w:rPr>
          <w:b/>
          <w:bCs/>
          <w:sz w:val="24"/>
          <w:u w:val="single"/>
        </w:rPr>
        <w:t>，NO</w:t>
      </w:r>
      <w:r>
        <w:rPr>
          <w:b/>
          <w:bCs/>
          <w:sz w:val="24"/>
          <w:u w:val="single"/>
          <w:vertAlign w:val="superscript"/>
        </w:rPr>
        <w:t>3-</w:t>
      </w:r>
      <w:r>
        <w:rPr>
          <w:b/>
          <w:bCs/>
          <w:sz w:val="24"/>
          <w:u w:val="single"/>
        </w:rPr>
        <w:t>扩散到缺氧区，通过微生物的反硝化作用还原为N</w:t>
      </w:r>
      <w:r>
        <w:rPr>
          <w:b/>
          <w:bCs/>
          <w:sz w:val="24"/>
          <w:u w:val="single"/>
          <w:vertAlign w:val="subscript"/>
        </w:rPr>
        <w:t>2</w:t>
      </w:r>
      <w:r>
        <w:rPr>
          <w:b/>
          <w:bCs/>
          <w:sz w:val="24"/>
          <w:u w:val="single"/>
        </w:rPr>
        <w:t>或N</w:t>
      </w:r>
      <w:r>
        <w:rPr>
          <w:b/>
          <w:bCs/>
          <w:sz w:val="24"/>
          <w:u w:val="single"/>
          <w:vertAlign w:val="subscript"/>
        </w:rPr>
        <w:t>2</w:t>
      </w:r>
      <w:r>
        <w:rPr>
          <w:b/>
          <w:bCs/>
          <w:sz w:val="24"/>
          <w:u w:val="single"/>
        </w:rPr>
        <w:t>O而去除，因此沼液施肥主要是将沼液作为农肥被农作物吸收，变成供养农作物的养分，不会对地下水水位产生影响。</w:t>
      </w:r>
    </w:p>
    <w:p>
      <w:pPr>
        <w:adjustRightInd w:val="0"/>
        <w:snapToGrid w:val="0"/>
        <w:spacing w:line="500" w:lineRule="exact"/>
        <w:ind w:firstLine="482" w:firstLineChars="200"/>
        <w:rPr>
          <w:b/>
          <w:bCs/>
          <w:color w:val="000000"/>
          <w:sz w:val="24"/>
          <w:u w:val="single"/>
        </w:rPr>
      </w:pPr>
      <w:r>
        <w:rPr>
          <w:b/>
          <w:bCs/>
          <w:color w:val="000000"/>
          <w:sz w:val="24"/>
          <w:u w:val="single"/>
        </w:rPr>
        <w:t>综上分析，建设项目场区地下水环境不敏感，在落实好防渗、防污措施后，本项目污染物能得到有效处理，对地下水水质影响较小，项目的建设不会产生其他环境地质问题，因此对地下水环境质量影响较小。</w:t>
      </w:r>
    </w:p>
    <w:p>
      <w:pPr>
        <w:spacing w:line="600" w:lineRule="exact"/>
        <w:outlineLvl w:val="2"/>
        <w:rPr>
          <w:b/>
          <w:color w:val="000000"/>
          <w:sz w:val="24"/>
        </w:rPr>
      </w:pPr>
      <w:r>
        <w:rPr>
          <w:b/>
          <w:color w:val="000000"/>
          <w:sz w:val="24"/>
        </w:rPr>
        <w:t>4.2.4 声环境影响预测与评价</w:t>
      </w:r>
    </w:p>
    <w:p>
      <w:pPr>
        <w:adjustRightInd w:val="0"/>
        <w:snapToGrid w:val="0"/>
        <w:spacing w:line="500" w:lineRule="exact"/>
        <w:rPr>
          <w:b/>
          <w:bCs/>
          <w:color w:val="000000"/>
          <w:sz w:val="24"/>
          <w:u w:val="single"/>
        </w:rPr>
      </w:pPr>
      <w:r>
        <w:rPr>
          <w:b/>
          <w:bCs/>
          <w:color w:val="000000"/>
          <w:sz w:val="24"/>
          <w:u w:val="single"/>
        </w:rPr>
        <w:t>4.2.4.1预测噪声源强</w:t>
      </w:r>
    </w:p>
    <w:p>
      <w:pPr>
        <w:adjustRightInd w:val="0"/>
        <w:snapToGrid w:val="0"/>
        <w:spacing w:line="500" w:lineRule="exact"/>
        <w:ind w:firstLine="435"/>
        <w:rPr>
          <w:b/>
          <w:bCs/>
          <w:color w:val="000000"/>
          <w:sz w:val="24"/>
          <w:u w:val="single"/>
        </w:rPr>
      </w:pPr>
      <w:r>
        <w:rPr>
          <w:b/>
          <w:bCs/>
          <w:color w:val="000000"/>
          <w:sz w:val="24"/>
          <w:u w:val="single"/>
        </w:rPr>
        <w:t>噪声主要为猪叫声、猪舍降温配套负压风机、粪污处理设施等设备运行时产生的噪声，根据类比调查，其源强为70～85dB(A)。各噪声采取基础减振、隔声等措施，项目主要噪声源采取相应降噪措施后各噪声值如表4-26所示。</w:t>
      </w:r>
    </w:p>
    <w:p>
      <w:pPr>
        <w:adjustRightInd w:val="0"/>
        <w:snapToGrid w:val="0"/>
        <w:spacing w:beforeLines="50" w:afterLines="50"/>
        <w:ind w:firstLine="437"/>
        <w:jc w:val="center"/>
        <w:rPr>
          <w:b/>
          <w:bCs/>
          <w:color w:val="000000"/>
          <w:szCs w:val="21"/>
          <w:u w:val="single"/>
        </w:rPr>
      </w:pPr>
      <w:r>
        <w:rPr>
          <w:b/>
          <w:bCs/>
          <w:color w:val="000000"/>
          <w:szCs w:val="21"/>
          <w:u w:val="single"/>
        </w:rPr>
        <w:t>表4-26   项目噪声源强采取降噪措施后的噪声值一览表   单位：dB(A)</w:t>
      </w:r>
    </w:p>
    <w:tbl>
      <w:tblPr>
        <w:tblStyle w:val="44"/>
        <w:tblW w:w="91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038"/>
        <w:gridCol w:w="1220"/>
        <w:gridCol w:w="1222"/>
        <w:gridCol w:w="909"/>
        <w:gridCol w:w="661"/>
        <w:gridCol w:w="2871"/>
        <w:gridCol w:w="12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blHeader/>
        </w:trPr>
        <w:tc>
          <w:tcPr>
            <w:tcW w:w="2258" w:type="dxa"/>
            <w:gridSpan w:val="2"/>
            <w:vAlign w:val="center"/>
          </w:tcPr>
          <w:p>
            <w:pPr>
              <w:adjustRightInd w:val="0"/>
              <w:jc w:val="center"/>
              <w:rPr>
                <w:b/>
                <w:bCs/>
                <w:szCs w:val="21"/>
                <w:u w:val="single"/>
              </w:rPr>
            </w:pPr>
            <w:r>
              <w:rPr>
                <w:b/>
                <w:bCs/>
                <w:szCs w:val="21"/>
                <w:u w:val="single"/>
              </w:rPr>
              <w:t>噪声来源</w:t>
            </w:r>
          </w:p>
        </w:tc>
        <w:tc>
          <w:tcPr>
            <w:tcW w:w="1222" w:type="dxa"/>
            <w:vAlign w:val="center"/>
          </w:tcPr>
          <w:p>
            <w:pPr>
              <w:adjustRightInd w:val="0"/>
              <w:jc w:val="center"/>
              <w:rPr>
                <w:b/>
                <w:bCs/>
                <w:szCs w:val="21"/>
                <w:u w:val="single"/>
              </w:rPr>
            </w:pPr>
            <w:r>
              <w:rPr>
                <w:b/>
                <w:bCs/>
                <w:szCs w:val="21"/>
                <w:u w:val="single"/>
              </w:rPr>
              <w:t>种类</w:t>
            </w:r>
          </w:p>
        </w:tc>
        <w:tc>
          <w:tcPr>
            <w:tcW w:w="909" w:type="dxa"/>
            <w:vAlign w:val="center"/>
          </w:tcPr>
          <w:p>
            <w:pPr>
              <w:adjustRightInd w:val="0"/>
              <w:jc w:val="center"/>
              <w:rPr>
                <w:b/>
                <w:bCs/>
                <w:szCs w:val="21"/>
                <w:u w:val="single"/>
              </w:rPr>
            </w:pPr>
            <w:r>
              <w:rPr>
                <w:b/>
                <w:bCs/>
                <w:szCs w:val="21"/>
                <w:u w:val="single"/>
              </w:rPr>
              <w:t>产生</w:t>
            </w:r>
          </w:p>
          <w:p>
            <w:pPr>
              <w:adjustRightInd w:val="0"/>
              <w:jc w:val="center"/>
              <w:rPr>
                <w:b/>
                <w:bCs/>
                <w:szCs w:val="21"/>
                <w:u w:val="single"/>
              </w:rPr>
            </w:pPr>
            <w:r>
              <w:rPr>
                <w:b/>
                <w:bCs/>
                <w:szCs w:val="21"/>
                <w:u w:val="single"/>
              </w:rPr>
              <w:t>方式</w:t>
            </w:r>
          </w:p>
        </w:tc>
        <w:tc>
          <w:tcPr>
            <w:tcW w:w="661" w:type="dxa"/>
            <w:vAlign w:val="center"/>
          </w:tcPr>
          <w:p>
            <w:pPr>
              <w:adjustRightInd w:val="0"/>
              <w:jc w:val="center"/>
              <w:rPr>
                <w:b/>
                <w:bCs/>
                <w:szCs w:val="21"/>
                <w:u w:val="single"/>
              </w:rPr>
            </w:pPr>
            <w:r>
              <w:rPr>
                <w:b/>
                <w:bCs/>
                <w:szCs w:val="21"/>
                <w:u w:val="single"/>
              </w:rPr>
              <w:t>源强</w:t>
            </w:r>
          </w:p>
        </w:tc>
        <w:tc>
          <w:tcPr>
            <w:tcW w:w="2871" w:type="dxa"/>
            <w:vAlign w:val="center"/>
          </w:tcPr>
          <w:p>
            <w:pPr>
              <w:adjustRightInd w:val="0"/>
              <w:jc w:val="center"/>
              <w:rPr>
                <w:b/>
                <w:bCs/>
                <w:szCs w:val="21"/>
                <w:u w:val="single"/>
              </w:rPr>
            </w:pPr>
            <w:r>
              <w:rPr>
                <w:b/>
                <w:bCs/>
                <w:szCs w:val="21"/>
                <w:u w:val="single"/>
              </w:rPr>
              <w:t>治理措施</w:t>
            </w:r>
          </w:p>
        </w:tc>
        <w:tc>
          <w:tcPr>
            <w:tcW w:w="1264" w:type="dxa"/>
            <w:vAlign w:val="center"/>
          </w:tcPr>
          <w:p>
            <w:pPr>
              <w:adjustRightInd w:val="0"/>
              <w:jc w:val="center"/>
              <w:rPr>
                <w:b/>
                <w:bCs/>
                <w:szCs w:val="21"/>
                <w:u w:val="single"/>
              </w:rPr>
            </w:pPr>
            <w:r>
              <w:rPr>
                <w:b/>
                <w:bCs/>
                <w:szCs w:val="21"/>
                <w:u w:val="single"/>
              </w:rPr>
              <w:t>排放源强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rPr>
        <w:tc>
          <w:tcPr>
            <w:tcW w:w="1038" w:type="dxa"/>
            <w:vMerge w:val="restart"/>
            <w:vAlign w:val="center"/>
          </w:tcPr>
          <w:p>
            <w:pPr>
              <w:adjustRightInd w:val="0"/>
              <w:jc w:val="center"/>
              <w:rPr>
                <w:b/>
                <w:bCs/>
                <w:szCs w:val="21"/>
                <w:u w:val="single"/>
              </w:rPr>
            </w:pPr>
            <w:r>
              <w:rPr>
                <w:b/>
                <w:bCs/>
                <w:szCs w:val="21"/>
                <w:u w:val="single"/>
              </w:rPr>
              <w:t>养殖区</w:t>
            </w:r>
          </w:p>
        </w:tc>
        <w:tc>
          <w:tcPr>
            <w:tcW w:w="1220" w:type="dxa"/>
            <w:vMerge w:val="restart"/>
            <w:vAlign w:val="center"/>
          </w:tcPr>
          <w:p>
            <w:pPr>
              <w:adjustRightInd w:val="0"/>
              <w:jc w:val="center"/>
              <w:rPr>
                <w:b/>
                <w:bCs/>
                <w:szCs w:val="21"/>
                <w:u w:val="single"/>
              </w:rPr>
            </w:pPr>
            <w:r>
              <w:rPr>
                <w:b/>
                <w:bCs/>
                <w:szCs w:val="21"/>
                <w:u w:val="single"/>
              </w:rPr>
              <w:t>猪舍</w:t>
            </w:r>
          </w:p>
        </w:tc>
        <w:tc>
          <w:tcPr>
            <w:tcW w:w="1222" w:type="dxa"/>
            <w:vAlign w:val="center"/>
          </w:tcPr>
          <w:p>
            <w:pPr>
              <w:adjustRightInd w:val="0"/>
              <w:jc w:val="center"/>
              <w:rPr>
                <w:b/>
                <w:bCs/>
                <w:szCs w:val="21"/>
                <w:u w:val="single"/>
              </w:rPr>
            </w:pPr>
            <w:r>
              <w:rPr>
                <w:b/>
                <w:bCs/>
                <w:szCs w:val="21"/>
                <w:u w:val="single"/>
              </w:rPr>
              <w:t>猪叫</w:t>
            </w:r>
          </w:p>
        </w:tc>
        <w:tc>
          <w:tcPr>
            <w:tcW w:w="909" w:type="dxa"/>
            <w:vAlign w:val="center"/>
          </w:tcPr>
          <w:p>
            <w:pPr>
              <w:adjustRightInd w:val="0"/>
              <w:jc w:val="center"/>
              <w:rPr>
                <w:b/>
                <w:bCs/>
                <w:szCs w:val="21"/>
                <w:u w:val="single"/>
              </w:rPr>
            </w:pPr>
            <w:r>
              <w:rPr>
                <w:b/>
                <w:bCs/>
                <w:szCs w:val="21"/>
                <w:u w:val="single"/>
              </w:rPr>
              <w:t>间断</w:t>
            </w:r>
          </w:p>
        </w:tc>
        <w:tc>
          <w:tcPr>
            <w:tcW w:w="661" w:type="dxa"/>
            <w:vAlign w:val="center"/>
          </w:tcPr>
          <w:p>
            <w:pPr>
              <w:adjustRightInd w:val="0"/>
              <w:jc w:val="center"/>
              <w:rPr>
                <w:b/>
                <w:bCs/>
                <w:szCs w:val="21"/>
                <w:u w:val="single"/>
              </w:rPr>
            </w:pPr>
            <w:r>
              <w:rPr>
                <w:b/>
                <w:bCs/>
                <w:szCs w:val="21"/>
                <w:u w:val="single"/>
              </w:rPr>
              <w:t>70</w:t>
            </w:r>
          </w:p>
        </w:tc>
        <w:tc>
          <w:tcPr>
            <w:tcW w:w="2871" w:type="dxa"/>
            <w:vAlign w:val="center"/>
          </w:tcPr>
          <w:p>
            <w:pPr>
              <w:adjustRightInd w:val="0"/>
              <w:jc w:val="center"/>
              <w:rPr>
                <w:b/>
                <w:bCs/>
                <w:szCs w:val="21"/>
                <w:u w:val="single"/>
              </w:rPr>
            </w:pPr>
            <w:r>
              <w:rPr>
                <w:b/>
                <w:bCs/>
                <w:szCs w:val="21"/>
                <w:u w:val="single"/>
              </w:rPr>
              <w:t>隔声降噪</w:t>
            </w:r>
          </w:p>
        </w:tc>
        <w:tc>
          <w:tcPr>
            <w:tcW w:w="1264" w:type="dxa"/>
            <w:vAlign w:val="center"/>
          </w:tcPr>
          <w:p>
            <w:pPr>
              <w:adjustRightInd w:val="0"/>
              <w:jc w:val="center"/>
              <w:rPr>
                <w:b/>
                <w:bCs/>
                <w:szCs w:val="21"/>
                <w:u w:val="single"/>
              </w:rPr>
            </w:pPr>
            <w:r>
              <w:rPr>
                <w:b/>
                <w:bCs/>
                <w:szCs w:val="21"/>
                <w:u w:val="single"/>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rPr>
        <w:tc>
          <w:tcPr>
            <w:tcW w:w="1038" w:type="dxa"/>
            <w:vMerge w:val="continue"/>
            <w:vAlign w:val="center"/>
          </w:tcPr>
          <w:p>
            <w:pPr>
              <w:widowControl/>
              <w:jc w:val="left"/>
              <w:rPr>
                <w:b/>
                <w:bCs/>
                <w:szCs w:val="21"/>
                <w:u w:val="single"/>
              </w:rPr>
            </w:pPr>
          </w:p>
        </w:tc>
        <w:tc>
          <w:tcPr>
            <w:tcW w:w="1220" w:type="dxa"/>
            <w:vMerge w:val="continue"/>
            <w:vAlign w:val="center"/>
          </w:tcPr>
          <w:p>
            <w:pPr>
              <w:widowControl/>
              <w:jc w:val="left"/>
              <w:rPr>
                <w:b/>
                <w:bCs/>
                <w:szCs w:val="21"/>
                <w:u w:val="single"/>
              </w:rPr>
            </w:pPr>
          </w:p>
        </w:tc>
        <w:tc>
          <w:tcPr>
            <w:tcW w:w="1222" w:type="dxa"/>
            <w:vAlign w:val="center"/>
          </w:tcPr>
          <w:p>
            <w:pPr>
              <w:adjustRightInd w:val="0"/>
              <w:jc w:val="center"/>
              <w:rPr>
                <w:b/>
                <w:bCs/>
                <w:szCs w:val="21"/>
                <w:u w:val="single"/>
              </w:rPr>
            </w:pPr>
            <w:r>
              <w:rPr>
                <w:b/>
                <w:bCs/>
                <w:szCs w:val="21"/>
                <w:u w:val="single"/>
              </w:rPr>
              <w:t>风机</w:t>
            </w:r>
          </w:p>
        </w:tc>
        <w:tc>
          <w:tcPr>
            <w:tcW w:w="909" w:type="dxa"/>
            <w:vAlign w:val="center"/>
          </w:tcPr>
          <w:p>
            <w:pPr>
              <w:adjustRightInd w:val="0"/>
              <w:jc w:val="center"/>
              <w:rPr>
                <w:b/>
                <w:bCs/>
                <w:szCs w:val="21"/>
                <w:u w:val="single"/>
              </w:rPr>
            </w:pPr>
            <w:r>
              <w:rPr>
                <w:b/>
                <w:bCs/>
                <w:szCs w:val="21"/>
                <w:u w:val="single"/>
              </w:rPr>
              <w:t>连续</w:t>
            </w:r>
          </w:p>
        </w:tc>
        <w:tc>
          <w:tcPr>
            <w:tcW w:w="661" w:type="dxa"/>
            <w:vAlign w:val="center"/>
          </w:tcPr>
          <w:p>
            <w:pPr>
              <w:adjustRightInd w:val="0"/>
              <w:jc w:val="center"/>
              <w:rPr>
                <w:b/>
                <w:bCs/>
                <w:szCs w:val="21"/>
                <w:u w:val="single"/>
              </w:rPr>
            </w:pPr>
            <w:r>
              <w:rPr>
                <w:b/>
                <w:bCs/>
                <w:szCs w:val="21"/>
                <w:u w:val="single"/>
              </w:rPr>
              <w:t>85</w:t>
            </w:r>
          </w:p>
        </w:tc>
        <w:tc>
          <w:tcPr>
            <w:tcW w:w="2871" w:type="dxa"/>
            <w:vAlign w:val="center"/>
          </w:tcPr>
          <w:p>
            <w:pPr>
              <w:adjustRightInd w:val="0"/>
              <w:jc w:val="center"/>
              <w:rPr>
                <w:b/>
                <w:bCs/>
                <w:szCs w:val="21"/>
                <w:u w:val="single"/>
              </w:rPr>
            </w:pPr>
            <w:r>
              <w:rPr>
                <w:b/>
                <w:bCs/>
                <w:szCs w:val="21"/>
                <w:u w:val="single"/>
              </w:rPr>
              <w:t>厂房隔声</w:t>
            </w:r>
          </w:p>
        </w:tc>
        <w:tc>
          <w:tcPr>
            <w:tcW w:w="1264" w:type="dxa"/>
            <w:vAlign w:val="center"/>
          </w:tcPr>
          <w:p>
            <w:pPr>
              <w:adjustRightInd w:val="0"/>
              <w:jc w:val="center"/>
              <w:rPr>
                <w:b/>
                <w:bCs/>
                <w:szCs w:val="21"/>
                <w:u w:val="single"/>
              </w:rPr>
            </w:pPr>
            <w:r>
              <w:rPr>
                <w:b/>
                <w:bCs/>
                <w:szCs w:val="21"/>
                <w:u w:val="single"/>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cantSplit/>
          <w:trHeight w:val="20" w:hRule="atLeast"/>
        </w:trPr>
        <w:tc>
          <w:tcPr>
            <w:tcW w:w="1038" w:type="dxa"/>
            <w:vMerge w:val="continue"/>
            <w:vAlign w:val="center"/>
          </w:tcPr>
          <w:p>
            <w:pPr>
              <w:widowControl/>
              <w:jc w:val="left"/>
              <w:rPr>
                <w:b/>
                <w:bCs/>
                <w:szCs w:val="21"/>
                <w:u w:val="single"/>
              </w:rPr>
            </w:pPr>
          </w:p>
        </w:tc>
        <w:tc>
          <w:tcPr>
            <w:tcW w:w="1220" w:type="dxa"/>
            <w:vAlign w:val="center"/>
          </w:tcPr>
          <w:p>
            <w:pPr>
              <w:adjustRightInd w:val="0"/>
              <w:jc w:val="center"/>
              <w:rPr>
                <w:b/>
                <w:bCs/>
                <w:szCs w:val="21"/>
                <w:u w:val="single"/>
              </w:rPr>
            </w:pPr>
            <w:r>
              <w:rPr>
                <w:b/>
                <w:bCs/>
                <w:szCs w:val="21"/>
                <w:u w:val="single"/>
              </w:rPr>
              <w:t>固粪处理区</w:t>
            </w:r>
          </w:p>
        </w:tc>
        <w:tc>
          <w:tcPr>
            <w:tcW w:w="1222" w:type="dxa"/>
            <w:vAlign w:val="center"/>
          </w:tcPr>
          <w:p>
            <w:pPr>
              <w:adjustRightInd w:val="0"/>
              <w:jc w:val="center"/>
              <w:rPr>
                <w:b/>
                <w:bCs/>
                <w:szCs w:val="21"/>
                <w:u w:val="single"/>
              </w:rPr>
            </w:pPr>
            <w:r>
              <w:rPr>
                <w:b/>
                <w:bCs/>
                <w:szCs w:val="21"/>
                <w:u w:val="single"/>
              </w:rPr>
              <w:t>水泵</w:t>
            </w:r>
          </w:p>
        </w:tc>
        <w:tc>
          <w:tcPr>
            <w:tcW w:w="909" w:type="dxa"/>
            <w:vAlign w:val="center"/>
          </w:tcPr>
          <w:p>
            <w:pPr>
              <w:adjustRightInd w:val="0"/>
              <w:jc w:val="center"/>
              <w:rPr>
                <w:b/>
                <w:bCs/>
                <w:szCs w:val="21"/>
                <w:u w:val="single"/>
              </w:rPr>
            </w:pPr>
            <w:r>
              <w:rPr>
                <w:b/>
                <w:bCs/>
                <w:szCs w:val="21"/>
                <w:u w:val="single"/>
              </w:rPr>
              <w:t>连续</w:t>
            </w:r>
          </w:p>
        </w:tc>
        <w:tc>
          <w:tcPr>
            <w:tcW w:w="661" w:type="dxa"/>
            <w:vAlign w:val="center"/>
          </w:tcPr>
          <w:p>
            <w:pPr>
              <w:adjustRightInd w:val="0"/>
              <w:jc w:val="center"/>
              <w:rPr>
                <w:b/>
                <w:bCs/>
                <w:szCs w:val="21"/>
                <w:u w:val="single"/>
              </w:rPr>
            </w:pPr>
            <w:r>
              <w:rPr>
                <w:b/>
                <w:bCs/>
                <w:szCs w:val="21"/>
                <w:u w:val="single"/>
              </w:rPr>
              <w:t>85</w:t>
            </w:r>
          </w:p>
        </w:tc>
        <w:tc>
          <w:tcPr>
            <w:tcW w:w="2871" w:type="dxa"/>
            <w:vAlign w:val="center"/>
          </w:tcPr>
          <w:p>
            <w:pPr>
              <w:adjustRightInd w:val="0"/>
              <w:jc w:val="center"/>
              <w:rPr>
                <w:b/>
                <w:bCs/>
                <w:szCs w:val="21"/>
                <w:u w:val="single"/>
              </w:rPr>
            </w:pPr>
            <w:r>
              <w:rPr>
                <w:b/>
                <w:bCs/>
                <w:szCs w:val="21"/>
                <w:u w:val="single"/>
              </w:rPr>
              <w:t>选低噪声设备、隔声、减振</w:t>
            </w:r>
          </w:p>
        </w:tc>
        <w:tc>
          <w:tcPr>
            <w:tcW w:w="1264" w:type="dxa"/>
            <w:vAlign w:val="center"/>
          </w:tcPr>
          <w:p>
            <w:pPr>
              <w:adjustRightInd w:val="0"/>
              <w:jc w:val="center"/>
              <w:rPr>
                <w:b/>
                <w:bCs/>
                <w:szCs w:val="21"/>
                <w:u w:val="single"/>
              </w:rPr>
            </w:pPr>
            <w:r>
              <w:rPr>
                <w:b/>
                <w:bCs/>
                <w:szCs w:val="21"/>
                <w:u w:val="single"/>
              </w:rPr>
              <w:t>65</w:t>
            </w:r>
          </w:p>
        </w:tc>
      </w:tr>
    </w:tbl>
    <w:p>
      <w:pPr>
        <w:adjustRightInd w:val="0"/>
        <w:snapToGrid w:val="0"/>
        <w:rPr>
          <w:b/>
          <w:bCs/>
          <w:color w:val="000000"/>
          <w:sz w:val="18"/>
          <w:szCs w:val="18"/>
          <w:u w:val="single"/>
        </w:rPr>
      </w:pPr>
      <w:r>
        <w:rPr>
          <w:b/>
          <w:bCs/>
          <w:color w:val="000000"/>
          <w:sz w:val="18"/>
          <w:szCs w:val="18"/>
          <w:u w:val="single"/>
        </w:rPr>
        <w:t>注：噪声源强均取最大值进行预测。</w:t>
      </w:r>
    </w:p>
    <w:p>
      <w:pPr>
        <w:adjustRightInd w:val="0"/>
        <w:snapToGrid w:val="0"/>
        <w:spacing w:line="500" w:lineRule="exact"/>
        <w:rPr>
          <w:b/>
          <w:bCs/>
          <w:color w:val="000000"/>
          <w:sz w:val="24"/>
          <w:u w:val="single"/>
        </w:rPr>
      </w:pPr>
      <w:r>
        <w:rPr>
          <w:b/>
          <w:bCs/>
          <w:color w:val="000000"/>
          <w:sz w:val="24"/>
          <w:u w:val="single"/>
        </w:rPr>
        <w:t>4.2.4.2场界噪声的预测</w:t>
      </w:r>
    </w:p>
    <w:p>
      <w:pPr>
        <w:adjustRightInd w:val="0"/>
        <w:snapToGrid w:val="0"/>
        <w:spacing w:line="500" w:lineRule="exact"/>
        <w:ind w:firstLine="435"/>
        <w:rPr>
          <w:b/>
          <w:bCs/>
          <w:color w:val="000000"/>
          <w:sz w:val="24"/>
          <w:u w:val="single"/>
        </w:rPr>
      </w:pPr>
      <w:r>
        <w:rPr>
          <w:b/>
          <w:bCs/>
          <w:color w:val="000000"/>
          <w:sz w:val="24"/>
          <w:u w:val="single"/>
        </w:rPr>
        <w:t>本项目猪舍、污水处理区高噪声设备预测模式采用点声源处于半自由空间的几何发散模式。然后，计算衰减至各场界的噪声贡献值。</w:t>
      </w:r>
    </w:p>
    <w:p>
      <w:pPr>
        <w:adjustRightInd w:val="0"/>
        <w:snapToGrid w:val="0"/>
        <w:spacing w:line="500" w:lineRule="exact"/>
        <w:ind w:firstLine="435"/>
        <w:rPr>
          <w:b/>
          <w:bCs/>
          <w:color w:val="000000"/>
          <w:sz w:val="24"/>
          <w:u w:val="single"/>
        </w:rPr>
      </w:pPr>
      <w:r>
        <w:rPr>
          <w:b/>
          <w:bCs/>
          <w:color w:val="000000"/>
          <w:sz w:val="24"/>
          <w:u w:val="single"/>
        </w:rPr>
        <w:t>预测模式采用：</w:t>
      </w:r>
    </w:p>
    <w:p>
      <w:pPr>
        <w:adjustRightInd w:val="0"/>
        <w:snapToGrid w:val="0"/>
        <w:spacing w:line="500" w:lineRule="exact"/>
        <w:ind w:firstLine="435"/>
        <w:rPr>
          <w:b/>
          <w:bCs/>
          <w:color w:val="000000"/>
          <w:sz w:val="24"/>
          <w:u w:val="single"/>
        </w:rPr>
      </w:pPr>
      <w:r>
        <w:rPr>
          <w:b/>
          <w:bCs/>
          <w:color w:val="000000"/>
          <w:sz w:val="24"/>
          <w:u w:val="single"/>
        </w:rPr>
        <w:fldChar w:fldCharType="begin"/>
      </w:r>
      <w:r>
        <w:rPr>
          <w:b/>
          <w:bCs/>
          <w:color w:val="000000"/>
          <w:sz w:val="24"/>
          <w:u w:val="single"/>
        </w:rPr>
        <w:instrText xml:space="preserve">= 1 \* GB3</w:instrText>
      </w:r>
      <w:r>
        <w:rPr>
          <w:b/>
          <w:bCs/>
          <w:color w:val="000000"/>
          <w:sz w:val="24"/>
          <w:u w:val="single"/>
        </w:rPr>
        <w:fldChar w:fldCharType="separate"/>
      </w:r>
      <w:r>
        <w:rPr>
          <w:rFonts w:hint="eastAsia" w:ascii="宋体" w:hAnsi="宋体" w:cs="宋体"/>
          <w:b/>
          <w:bCs/>
          <w:color w:val="000000"/>
          <w:sz w:val="24"/>
          <w:u w:val="single"/>
        </w:rPr>
        <w:t>①</w:t>
      </w:r>
      <w:r>
        <w:rPr>
          <w:b/>
          <w:bCs/>
          <w:color w:val="000000"/>
          <w:sz w:val="24"/>
          <w:u w:val="single"/>
        </w:rPr>
        <w:fldChar w:fldCharType="end"/>
      </w:r>
      <w:r>
        <w:rPr>
          <w:b/>
          <w:bCs/>
          <w:color w:val="000000"/>
          <w:sz w:val="24"/>
          <w:u w:val="single"/>
        </w:rPr>
        <w:t>点声源衰减模式</w:t>
      </w:r>
    </w:p>
    <w:p>
      <w:pPr>
        <w:adjustRightInd w:val="0"/>
        <w:snapToGrid w:val="0"/>
        <w:spacing w:line="500" w:lineRule="exact"/>
        <w:ind w:firstLine="435"/>
        <w:jc w:val="center"/>
        <w:rPr>
          <w:b/>
          <w:bCs/>
          <w:color w:val="000000"/>
          <w:sz w:val="24"/>
          <w:u w:val="single"/>
        </w:rPr>
      </w:pPr>
      <w:r>
        <w:rPr>
          <w:b/>
          <w:bCs/>
          <w:color w:val="000000"/>
          <w:position w:val="-12"/>
          <w:sz w:val="24"/>
          <w:u w:val="single"/>
        </w:rPr>
        <w:drawing>
          <wp:inline distT="0" distB="0" distL="0" distR="0">
            <wp:extent cx="1409700" cy="257175"/>
            <wp:effectExtent l="1905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noChangeArrowheads="1"/>
                    </pic:cNvPicPr>
                  </pic:nvPicPr>
                  <pic:blipFill>
                    <a:blip r:embed="rId40" cstate="print"/>
                    <a:srcRect/>
                    <a:stretch>
                      <a:fillRect/>
                    </a:stretch>
                  </pic:blipFill>
                  <pic:spPr>
                    <a:xfrm>
                      <a:off x="0" y="0"/>
                      <a:ext cx="1409700" cy="257175"/>
                    </a:xfrm>
                    <a:prstGeom prst="rect">
                      <a:avLst/>
                    </a:prstGeom>
                    <a:noFill/>
                    <a:ln w="9525">
                      <a:noFill/>
                      <a:miter lim="800000"/>
                      <a:headEnd/>
                      <a:tailEnd/>
                    </a:ln>
                  </pic:spPr>
                </pic:pic>
              </a:graphicData>
            </a:graphic>
          </wp:inline>
        </w:drawing>
      </w:r>
    </w:p>
    <w:p>
      <w:pPr>
        <w:adjustRightInd w:val="0"/>
        <w:snapToGrid w:val="0"/>
        <w:spacing w:line="500" w:lineRule="exact"/>
        <w:ind w:firstLine="435"/>
        <w:rPr>
          <w:b/>
          <w:bCs/>
          <w:color w:val="000000"/>
          <w:sz w:val="24"/>
          <w:u w:val="single"/>
        </w:rPr>
      </w:pPr>
      <w:r>
        <w:rPr>
          <w:b/>
          <w:bCs/>
          <w:color w:val="000000"/>
          <w:sz w:val="24"/>
          <w:u w:val="single"/>
        </w:rPr>
        <w:t xml:space="preserve">    式中：L</w:t>
      </w:r>
      <w:r>
        <w:rPr>
          <w:b/>
          <w:bCs/>
          <w:color w:val="000000"/>
          <w:sz w:val="24"/>
          <w:u w:val="single"/>
          <w:vertAlign w:val="subscript"/>
        </w:rPr>
        <w:t>r</w:t>
      </w:r>
      <w:r>
        <w:rPr>
          <w:b/>
          <w:bCs/>
          <w:color w:val="000000"/>
          <w:sz w:val="24"/>
          <w:u w:val="single"/>
        </w:rPr>
        <w:t>－距噪声源距离为r处的等效声级值，dB（A）；</w:t>
      </w:r>
    </w:p>
    <w:p>
      <w:pPr>
        <w:adjustRightInd w:val="0"/>
        <w:snapToGrid w:val="0"/>
        <w:spacing w:line="500" w:lineRule="exact"/>
        <w:ind w:firstLine="435"/>
        <w:rPr>
          <w:b/>
          <w:bCs/>
          <w:color w:val="000000"/>
          <w:sz w:val="24"/>
          <w:u w:val="single"/>
        </w:rPr>
      </w:pPr>
      <w:r>
        <w:rPr>
          <w:b/>
          <w:bCs/>
          <w:color w:val="000000"/>
          <w:sz w:val="24"/>
          <w:u w:val="single"/>
        </w:rPr>
        <w:t xml:space="preserve">          L</w:t>
      </w:r>
      <w:r>
        <w:rPr>
          <w:b/>
          <w:bCs/>
          <w:color w:val="000000"/>
          <w:sz w:val="24"/>
          <w:u w:val="single"/>
          <w:vertAlign w:val="subscript"/>
        </w:rPr>
        <w:t>o</w:t>
      </w:r>
      <w:r>
        <w:rPr>
          <w:b/>
          <w:bCs/>
          <w:color w:val="000000"/>
          <w:sz w:val="24"/>
          <w:u w:val="single"/>
        </w:rPr>
        <w:t>－噪声源等效声级值，dB（A）；</w:t>
      </w:r>
    </w:p>
    <w:p>
      <w:pPr>
        <w:adjustRightInd w:val="0"/>
        <w:snapToGrid w:val="0"/>
        <w:spacing w:line="500" w:lineRule="exact"/>
        <w:ind w:firstLine="435"/>
        <w:rPr>
          <w:b/>
          <w:bCs/>
          <w:color w:val="000000"/>
          <w:sz w:val="24"/>
          <w:u w:val="single"/>
        </w:rPr>
      </w:pPr>
      <w:r>
        <w:rPr>
          <w:b/>
          <w:bCs/>
          <w:color w:val="000000"/>
          <w:sz w:val="24"/>
          <w:u w:val="single"/>
        </w:rPr>
        <w:t xml:space="preserve">          r、r</w:t>
      </w:r>
      <w:r>
        <w:rPr>
          <w:b/>
          <w:bCs/>
          <w:color w:val="000000"/>
          <w:sz w:val="24"/>
          <w:u w:val="single"/>
          <w:vertAlign w:val="subscript"/>
        </w:rPr>
        <w:t>o</w:t>
      </w:r>
      <w:r>
        <w:rPr>
          <w:b/>
          <w:bCs/>
          <w:color w:val="000000"/>
          <w:sz w:val="24"/>
          <w:u w:val="single"/>
        </w:rPr>
        <w:t>－距噪声源距离，m。</w:t>
      </w:r>
    </w:p>
    <w:p>
      <w:pPr>
        <w:adjustRightInd w:val="0"/>
        <w:snapToGrid w:val="0"/>
        <w:spacing w:line="500" w:lineRule="exact"/>
        <w:ind w:firstLine="435"/>
        <w:rPr>
          <w:b/>
          <w:bCs/>
          <w:color w:val="000000"/>
          <w:sz w:val="24"/>
          <w:u w:val="single"/>
        </w:rPr>
      </w:pPr>
      <w:r>
        <w:rPr>
          <w:b/>
          <w:bCs/>
          <w:color w:val="000000"/>
          <w:sz w:val="24"/>
          <w:u w:val="single"/>
        </w:rPr>
        <w:fldChar w:fldCharType="begin"/>
      </w:r>
      <w:r>
        <w:rPr>
          <w:b/>
          <w:bCs/>
          <w:color w:val="000000"/>
          <w:sz w:val="24"/>
          <w:u w:val="single"/>
        </w:rPr>
        <w:instrText xml:space="preserve">= 2 \* GB3</w:instrText>
      </w:r>
      <w:r>
        <w:rPr>
          <w:b/>
          <w:bCs/>
          <w:color w:val="000000"/>
          <w:sz w:val="24"/>
          <w:u w:val="single"/>
        </w:rPr>
        <w:fldChar w:fldCharType="separate"/>
      </w:r>
      <w:r>
        <w:rPr>
          <w:rFonts w:hint="eastAsia" w:ascii="宋体" w:hAnsi="宋体" w:cs="宋体"/>
          <w:b/>
          <w:bCs/>
          <w:color w:val="000000"/>
          <w:sz w:val="24"/>
          <w:u w:val="single"/>
        </w:rPr>
        <w:t>②</w:t>
      </w:r>
      <w:r>
        <w:rPr>
          <w:b/>
          <w:bCs/>
          <w:color w:val="000000"/>
          <w:sz w:val="24"/>
          <w:u w:val="single"/>
        </w:rPr>
        <w:fldChar w:fldCharType="end"/>
      </w:r>
      <w:r>
        <w:rPr>
          <w:b/>
          <w:bCs/>
          <w:color w:val="000000"/>
          <w:sz w:val="24"/>
          <w:u w:val="single"/>
        </w:rPr>
        <w:t>多源叠加公式</w:t>
      </w:r>
    </w:p>
    <w:p>
      <w:pPr>
        <w:adjustRightInd w:val="0"/>
        <w:snapToGrid w:val="0"/>
        <w:spacing w:line="276" w:lineRule="auto"/>
        <w:ind w:firstLine="435"/>
        <w:jc w:val="center"/>
        <w:rPr>
          <w:b/>
          <w:bCs/>
          <w:color w:val="000000"/>
          <w:sz w:val="24"/>
          <w:u w:val="single"/>
        </w:rPr>
      </w:pPr>
      <w:r>
        <w:rPr>
          <w:b/>
          <w:bCs/>
          <w:color w:val="000000"/>
          <w:position w:val="-26"/>
          <w:sz w:val="24"/>
          <w:u w:val="single"/>
        </w:rPr>
        <w:drawing>
          <wp:inline distT="0" distB="0" distL="0" distR="0">
            <wp:extent cx="1419225" cy="485775"/>
            <wp:effectExtent l="0" t="0" r="9525"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noChangeArrowheads="1"/>
                    </pic:cNvPicPr>
                  </pic:nvPicPr>
                  <pic:blipFill>
                    <a:blip r:embed="rId41" cstate="print"/>
                    <a:srcRect/>
                    <a:stretch>
                      <a:fillRect/>
                    </a:stretch>
                  </pic:blipFill>
                  <pic:spPr>
                    <a:xfrm>
                      <a:off x="0" y="0"/>
                      <a:ext cx="1419225" cy="485775"/>
                    </a:xfrm>
                    <a:prstGeom prst="rect">
                      <a:avLst/>
                    </a:prstGeom>
                    <a:noFill/>
                    <a:ln w="9525">
                      <a:noFill/>
                      <a:miter lim="800000"/>
                      <a:headEnd/>
                      <a:tailEnd/>
                    </a:ln>
                  </pic:spPr>
                </pic:pic>
              </a:graphicData>
            </a:graphic>
          </wp:inline>
        </w:drawing>
      </w:r>
    </w:p>
    <w:p>
      <w:pPr>
        <w:adjustRightInd w:val="0"/>
        <w:snapToGrid w:val="0"/>
        <w:spacing w:line="500" w:lineRule="exact"/>
        <w:ind w:firstLine="435"/>
        <w:rPr>
          <w:b/>
          <w:bCs/>
          <w:color w:val="000000"/>
          <w:sz w:val="24"/>
          <w:u w:val="single"/>
        </w:rPr>
      </w:pPr>
      <w:r>
        <w:rPr>
          <w:b/>
          <w:bCs/>
          <w:color w:val="000000"/>
          <w:sz w:val="24"/>
          <w:u w:val="single"/>
        </w:rPr>
        <w:t xml:space="preserve">     式中：L－总等声级，dB（A）；</w:t>
      </w:r>
    </w:p>
    <w:p>
      <w:pPr>
        <w:adjustRightInd w:val="0"/>
        <w:snapToGrid w:val="0"/>
        <w:spacing w:line="500" w:lineRule="exact"/>
        <w:ind w:firstLine="435"/>
        <w:rPr>
          <w:b/>
          <w:bCs/>
          <w:color w:val="000000"/>
          <w:sz w:val="24"/>
          <w:u w:val="single"/>
        </w:rPr>
      </w:pPr>
      <w:r>
        <w:rPr>
          <w:b/>
          <w:bCs/>
          <w:color w:val="000000"/>
          <w:sz w:val="24"/>
          <w:u w:val="single"/>
        </w:rPr>
        <w:t xml:space="preserve">           n－声源数量；</w:t>
      </w:r>
    </w:p>
    <w:p>
      <w:pPr>
        <w:adjustRightInd w:val="0"/>
        <w:snapToGrid w:val="0"/>
        <w:spacing w:line="500" w:lineRule="exact"/>
        <w:ind w:firstLine="435"/>
        <w:rPr>
          <w:b/>
          <w:bCs/>
          <w:color w:val="000000"/>
          <w:sz w:val="24"/>
          <w:u w:val="single"/>
        </w:rPr>
      </w:pPr>
      <w:r>
        <w:rPr>
          <w:b/>
          <w:bCs/>
          <w:color w:val="000000"/>
          <w:sz w:val="24"/>
          <w:u w:val="single"/>
        </w:rPr>
        <w:t xml:space="preserve">           L</w:t>
      </w:r>
      <w:r>
        <w:rPr>
          <w:b/>
          <w:bCs/>
          <w:color w:val="000000"/>
          <w:sz w:val="24"/>
          <w:u w:val="single"/>
          <w:vertAlign w:val="subscript"/>
        </w:rPr>
        <w:t>i</w:t>
      </w:r>
      <w:r>
        <w:rPr>
          <w:b/>
          <w:bCs/>
          <w:color w:val="000000"/>
          <w:sz w:val="24"/>
          <w:u w:val="single"/>
        </w:rPr>
        <w:t>－第i个声源对受声点的声压级，dB（A）。</w:t>
      </w:r>
    </w:p>
    <w:p>
      <w:pPr>
        <w:adjustRightInd w:val="0"/>
        <w:snapToGrid w:val="0"/>
        <w:spacing w:line="500" w:lineRule="exact"/>
        <w:ind w:firstLine="435"/>
        <w:rPr>
          <w:b/>
          <w:bCs/>
          <w:color w:val="000000"/>
          <w:sz w:val="24"/>
          <w:u w:val="single"/>
        </w:rPr>
      </w:pPr>
      <w:r>
        <w:rPr>
          <w:rFonts w:hint="eastAsia" w:ascii="宋体" w:hAnsi="宋体" w:cs="宋体"/>
          <w:b/>
          <w:bCs/>
          <w:color w:val="000000"/>
          <w:sz w:val="24"/>
          <w:u w:val="single"/>
        </w:rPr>
        <w:t>③</w:t>
      </w:r>
      <w:r>
        <w:rPr>
          <w:b/>
          <w:bCs/>
          <w:color w:val="000000"/>
          <w:sz w:val="24"/>
          <w:u w:val="single"/>
        </w:rPr>
        <w:t>面声源影响预测公式</w:t>
      </w:r>
    </w:p>
    <w:p>
      <w:pPr>
        <w:adjustRightInd w:val="0"/>
        <w:snapToGrid w:val="0"/>
        <w:spacing w:line="500" w:lineRule="exact"/>
        <w:ind w:firstLine="435"/>
        <w:jc w:val="center"/>
        <w:rPr>
          <w:b/>
          <w:bCs/>
          <w:color w:val="000000"/>
          <w:sz w:val="24"/>
          <w:u w:val="single"/>
        </w:rPr>
      </w:pPr>
      <w:r>
        <w:rPr>
          <w:b/>
          <w:bCs/>
          <w:color w:val="000000"/>
          <w:sz w:val="24"/>
          <w:u w:val="single"/>
        </w:rPr>
        <w:drawing>
          <wp:inline distT="0" distB="0" distL="0" distR="0">
            <wp:extent cx="1438275" cy="257175"/>
            <wp:effectExtent l="0" t="0" r="9525"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noChangeArrowheads="1"/>
                    </pic:cNvPicPr>
                  </pic:nvPicPr>
                  <pic:blipFill>
                    <a:blip r:embed="rId42" cstate="print"/>
                    <a:srcRect/>
                    <a:stretch>
                      <a:fillRect/>
                    </a:stretch>
                  </pic:blipFill>
                  <pic:spPr>
                    <a:xfrm>
                      <a:off x="0" y="0"/>
                      <a:ext cx="1438275" cy="257175"/>
                    </a:xfrm>
                    <a:prstGeom prst="rect">
                      <a:avLst/>
                    </a:prstGeom>
                    <a:noFill/>
                    <a:ln w="9525">
                      <a:noFill/>
                      <a:miter lim="800000"/>
                      <a:headEnd/>
                      <a:tailEnd/>
                    </a:ln>
                  </pic:spPr>
                </pic:pic>
              </a:graphicData>
            </a:graphic>
          </wp:inline>
        </w:drawing>
      </w:r>
    </w:p>
    <w:p>
      <w:pPr>
        <w:adjustRightInd w:val="0"/>
        <w:snapToGrid w:val="0"/>
        <w:spacing w:line="500" w:lineRule="exact"/>
        <w:ind w:firstLine="435"/>
        <w:rPr>
          <w:b/>
          <w:bCs/>
          <w:color w:val="000000"/>
          <w:sz w:val="24"/>
          <w:u w:val="single"/>
        </w:rPr>
      </w:pPr>
      <w:r>
        <w:rPr>
          <w:b/>
          <w:bCs/>
          <w:color w:val="000000"/>
          <w:sz w:val="24"/>
          <w:u w:val="single"/>
        </w:rPr>
        <w:t>当r＜a/π时，A</w:t>
      </w:r>
      <w:r>
        <w:rPr>
          <w:b/>
          <w:bCs/>
          <w:color w:val="000000"/>
          <w:sz w:val="24"/>
          <w:u w:val="single"/>
          <w:vertAlign w:val="subscript"/>
        </w:rPr>
        <w:t>div</w:t>
      </w:r>
      <w:r>
        <w:rPr>
          <w:b/>
          <w:bCs/>
          <w:color w:val="000000"/>
          <w:sz w:val="24"/>
          <w:u w:val="single"/>
        </w:rPr>
        <w:t>≈0；当a/π＜r＜b/π，A</w:t>
      </w:r>
      <w:r>
        <w:rPr>
          <w:b/>
          <w:bCs/>
          <w:color w:val="000000"/>
          <w:sz w:val="24"/>
          <w:u w:val="single"/>
          <w:vertAlign w:val="subscript"/>
        </w:rPr>
        <w:t>div</w:t>
      </w:r>
      <w:r>
        <w:rPr>
          <w:b/>
          <w:bCs/>
          <w:color w:val="000000"/>
          <w:sz w:val="24"/>
          <w:u w:val="single"/>
        </w:rPr>
        <w:t>≈10lg（r/r</w:t>
      </w:r>
      <w:r>
        <w:rPr>
          <w:b/>
          <w:bCs/>
          <w:color w:val="000000"/>
          <w:sz w:val="24"/>
          <w:u w:val="single"/>
          <w:vertAlign w:val="subscript"/>
        </w:rPr>
        <w:t>0</w:t>
      </w:r>
      <w:r>
        <w:rPr>
          <w:b/>
          <w:bCs/>
          <w:color w:val="000000"/>
          <w:sz w:val="24"/>
          <w:u w:val="single"/>
        </w:rPr>
        <w:t>）；当r＞b/π时，A</w:t>
      </w:r>
      <w:r>
        <w:rPr>
          <w:b/>
          <w:bCs/>
          <w:color w:val="000000"/>
          <w:sz w:val="24"/>
          <w:u w:val="single"/>
          <w:vertAlign w:val="subscript"/>
        </w:rPr>
        <w:t>div</w:t>
      </w:r>
      <w:r>
        <w:rPr>
          <w:b/>
          <w:bCs/>
          <w:color w:val="000000"/>
          <w:sz w:val="24"/>
          <w:u w:val="single"/>
        </w:rPr>
        <w:t>≈20lg（r/r</w:t>
      </w:r>
      <w:r>
        <w:rPr>
          <w:b/>
          <w:bCs/>
          <w:color w:val="000000"/>
          <w:sz w:val="24"/>
          <w:u w:val="single"/>
          <w:vertAlign w:val="subscript"/>
        </w:rPr>
        <w:t>0</w:t>
      </w:r>
      <w:r>
        <w:rPr>
          <w:b/>
          <w:bCs/>
          <w:color w:val="000000"/>
          <w:sz w:val="24"/>
          <w:u w:val="single"/>
        </w:rPr>
        <w:t>）</w:t>
      </w:r>
    </w:p>
    <w:p>
      <w:pPr>
        <w:adjustRightInd w:val="0"/>
        <w:snapToGrid w:val="0"/>
        <w:spacing w:line="500" w:lineRule="exact"/>
        <w:ind w:firstLine="435"/>
        <w:rPr>
          <w:b/>
          <w:bCs/>
          <w:color w:val="000000"/>
          <w:sz w:val="24"/>
          <w:u w:val="single"/>
        </w:rPr>
      </w:pPr>
      <w:r>
        <w:rPr>
          <w:b/>
          <w:bCs/>
          <w:color w:val="000000"/>
          <w:sz w:val="24"/>
          <w:u w:val="single"/>
        </w:rPr>
        <w:t>式中：L</w:t>
      </w:r>
      <w:r>
        <w:rPr>
          <w:b/>
          <w:bCs/>
          <w:color w:val="000000"/>
          <w:sz w:val="24"/>
          <w:u w:val="single"/>
          <w:vertAlign w:val="subscript"/>
        </w:rPr>
        <w:t>i</w:t>
      </w:r>
      <w:r>
        <w:rPr>
          <w:b/>
          <w:bCs/>
          <w:color w:val="000000"/>
          <w:sz w:val="24"/>
          <w:u w:val="single"/>
        </w:rPr>
        <w:t>——第i个声源用于预测点的噪声值dB(A)；</w:t>
      </w:r>
    </w:p>
    <w:p>
      <w:pPr>
        <w:adjustRightInd w:val="0"/>
        <w:snapToGrid w:val="0"/>
        <w:spacing w:line="500" w:lineRule="exact"/>
        <w:ind w:firstLine="1157" w:firstLineChars="480"/>
        <w:rPr>
          <w:b/>
          <w:bCs/>
          <w:color w:val="000000"/>
          <w:sz w:val="24"/>
          <w:u w:val="single"/>
        </w:rPr>
      </w:pPr>
      <w:r>
        <w:rPr>
          <w:b/>
          <w:bCs/>
          <w:color w:val="000000"/>
          <w:sz w:val="24"/>
          <w:u w:val="single"/>
        </w:rPr>
        <w:t>L</w:t>
      </w:r>
      <w:r>
        <w:rPr>
          <w:b/>
          <w:bCs/>
          <w:color w:val="000000"/>
          <w:sz w:val="24"/>
          <w:u w:val="single"/>
          <w:vertAlign w:val="subscript"/>
        </w:rPr>
        <w:t>Aeq总</w:t>
      </w:r>
      <w:r>
        <w:rPr>
          <w:b/>
          <w:bCs/>
          <w:color w:val="000000"/>
          <w:sz w:val="24"/>
          <w:u w:val="single"/>
        </w:rPr>
        <w:t>——预测点总等效声级dB(A)；</w:t>
      </w:r>
    </w:p>
    <w:p>
      <w:pPr>
        <w:adjustRightInd w:val="0"/>
        <w:snapToGrid w:val="0"/>
        <w:spacing w:line="500" w:lineRule="exact"/>
        <w:ind w:firstLine="1157" w:firstLineChars="480"/>
        <w:rPr>
          <w:b/>
          <w:bCs/>
          <w:color w:val="000000"/>
          <w:sz w:val="24"/>
          <w:u w:val="single"/>
        </w:rPr>
      </w:pPr>
      <w:r>
        <w:rPr>
          <w:b/>
          <w:bCs/>
          <w:i/>
          <w:color w:val="000000"/>
          <w:sz w:val="24"/>
          <w:u w:val="single"/>
        </w:rPr>
        <w:t>L</w:t>
      </w:r>
      <w:r>
        <w:rPr>
          <w:b/>
          <w:bCs/>
          <w:i/>
          <w:color w:val="000000"/>
          <w:sz w:val="24"/>
          <w:u w:val="single"/>
          <w:vertAlign w:val="subscript"/>
        </w:rPr>
        <w:t>(r0)</w:t>
      </w:r>
      <w:r>
        <w:rPr>
          <w:b/>
          <w:bCs/>
          <w:color w:val="000000"/>
          <w:sz w:val="24"/>
          <w:u w:val="single"/>
        </w:rPr>
        <w:t>——距离噪声源r</w:t>
      </w:r>
      <w:r>
        <w:rPr>
          <w:b/>
          <w:bCs/>
          <w:color w:val="000000"/>
          <w:sz w:val="24"/>
          <w:u w:val="single"/>
          <w:vertAlign w:val="subscript"/>
        </w:rPr>
        <w:t>0</w:t>
      </w:r>
      <w:r>
        <w:rPr>
          <w:b/>
          <w:bCs/>
          <w:color w:val="000000"/>
          <w:sz w:val="24"/>
          <w:u w:val="single"/>
        </w:rPr>
        <w:t>处的等效A声级值，dB(A)；</w:t>
      </w:r>
    </w:p>
    <w:p>
      <w:pPr>
        <w:adjustRightInd w:val="0"/>
        <w:snapToGrid w:val="0"/>
        <w:spacing w:line="500" w:lineRule="exact"/>
        <w:ind w:firstLine="1157" w:firstLineChars="480"/>
        <w:rPr>
          <w:b/>
          <w:bCs/>
          <w:color w:val="000000"/>
          <w:sz w:val="24"/>
          <w:u w:val="single"/>
        </w:rPr>
      </w:pPr>
      <w:r>
        <w:rPr>
          <w:b/>
          <w:bCs/>
          <w:i/>
          <w:color w:val="000000"/>
          <w:sz w:val="24"/>
          <w:u w:val="single"/>
        </w:rPr>
        <w:t>r</w:t>
      </w:r>
      <w:r>
        <w:rPr>
          <w:b/>
          <w:bCs/>
          <w:color w:val="000000"/>
          <w:sz w:val="24"/>
          <w:u w:val="single"/>
        </w:rPr>
        <w:t>——预测点距噪声源距离，m；</w:t>
      </w:r>
    </w:p>
    <w:p>
      <w:pPr>
        <w:adjustRightInd w:val="0"/>
        <w:snapToGrid w:val="0"/>
        <w:spacing w:line="500" w:lineRule="exact"/>
        <w:ind w:firstLine="1157" w:firstLineChars="480"/>
        <w:rPr>
          <w:b/>
          <w:bCs/>
          <w:color w:val="000000"/>
          <w:sz w:val="24"/>
          <w:u w:val="single"/>
        </w:rPr>
      </w:pPr>
      <w:r>
        <w:rPr>
          <w:b/>
          <w:bCs/>
          <w:i/>
          <w:color w:val="000000"/>
          <w:sz w:val="24"/>
          <w:u w:val="single"/>
        </w:rPr>
        <w:t>r</w:t>
      </w:r>
      <w:r>
        <w:rPr>
          <w:b/>
          <w:bCs/>
          <w:i/>
          <w:color w:val="000000"/>
          <w:sz w:val="24"/>
          <w:u w:val="single"/>
          <w:vertAlign w:val="subscript"/>
        </w:rPr>
        <w:t>0</w:t>
      </w:r>
      <w:r>
        <w:rPr>
          <w:b/>
          <w:bCs/>
          <w:color w:val="000000"/>
          <w:sz w:val="24"/>
          <w:u w:val="single"/>
        </w:rPr>
        <w:t>——源强外1m处；</w:t>
      </w:r>
    </w:p>
    <w:p>
      <w:pPr>
        <w:adjustRightInd w:val="0"/>
        <w:snapToGrid w:val="0"/>
        <w:spacing w:line="500" w:lineRule="exact"/>
        <w:ind w:firstLine="1036" w:firstLineChars="430"/>
        <w:rPr>
          <w:b/>
          <w:bCs/>
          <w:color w:val="000000"/>
          <w:sz w:val="24"/>
          <w:u w:val="single"/>
        </w:rPr>
      </w:pPr>
      <w:r>
        <w:rPr>
          <w:rFonts w:ascii="Cambria Math" w:hAnsi="Cambria Math" w:cs="Cambria Math"/>
          <w:b/>
          <w:bCs/>
          <w:color w:val="000000"/>
          <w:sz w:val="24"/>
          <w:u w:val="single"/>
        </w:rPr>
        <w:t>△</w:t>
      </w:r>
      <w:r>
        <w:rPr>
          <w:b/>
          <w:bCs/>
          <w:color w:val="000000"/>
          <w:sz w:val="24"/>
          <w:u w:val="single"/>
        </w:rPr>
        <w:t>L——其它各种因素引起的附加衰减量（包括遮挡物、空气吸收、地面效应等引起的衰减量），dB(A)；</w:t>
      </w:r>
    </w:p>
    <w:p>
      <w:pPr>
        <w:adjustRightInd w:val="0"/>
        <w:snapToGrid w:val="0"/>
        <w:spacing w:line="500" w:lineRule="exact"/>
        <w:ind w:firstLine="1036" w:firstLineChars="430"/>
        <w:rPr>
          <w:b/>
          <w:bCs/>
          <w:color w:val="000000"/>
          <w:sz w:val="24"/>
          <w:u w:val="single"/>
        </w:rPr>
      </w:pPr>
      <w:r>
        <w:rPr>
          <w:b/>
          <w:bCs/>
          <w:i/>
          <w:color w:val="000000"/>
          <w:sz w:val="24"/>
          <w:u w:val="single"/>
        </w:rPr>
        <w:t>n</w:t>
      </w:r>
      <w:r>
        <w:rPr>
          <w:b/>
          <w:bCs/>
          <w:color w:val="000000"/>
          <w:sz w:val="24"/>
          <w:u w:val="single"/>
        </w:rPr>
        <w:t>——声源数量。</w:t>
      </w:r>
    </w:p>
    <w:p>
      <w:pPr>
        <w:adjustRightInd w:val="0"/>
        <w:snapToGrid w:val="0"/>
        <w:spacing w:line="500" w:lineRule="exact"/>
        <w:ind w:firstLine="435"/>
        <w:rPr>
          <w:b/>
          <w:bCs/>
          <w:color w:val="000000"/>
          <w:sz w:val="24"/>
          <w:u w:val="single"/>
        </w:rPr>
      </w:pPr>
      <w:r>
        <w:rPr>
          <w:b/>
          <w:bCs/>
          <w:color w:val="000000"/>
          <w:sz w:val="24"/>
          <w:u w:val="single"/>
        </w:rPr>
        <w:t>作为一个整体的的长方形面声源（b＞a），中心轴线上的几何发散声衰减可近似如下：预测点和面声源中心距离r＜a/π时，几何发散衰减A</w:t>
      </w:r>
      <w:r>
        <w:rPr>
          <w:b/>
          <w:bCs/>
          <w:color w:val="000000"/>
          <w:sz w:val="24"/>
          <w:u w:val="single"/>
          <w:vertAlign w:val="subscript"/>
        </w:rPr>
        <w:t>div</w:t>
      </w:r>
      <w:r>
        <w:rPr>
          <w:b/>
          <w:bCs/>
          <w:color w:val="000000"/>
          <w:sz w:val="24"/>
          <w:u w:val="single"/>
        </w:rPr>
        <w:t>≈0；当a/π＜r＜b/π，距离加倍衰减3dB左右，类似线声源，A</w:t>
      </w:r>
      <w:r>
        <w:rPr>
          <w:b/>
          <w:bCs/>
          <w:color w:val="000000"/>
          <w:sz w:val="24"/>
          <w:u w:val="single"/>
          <w:vertAlign w:val="subscript"/>
        </w:rPr>
        <w:t>div</w:t>
      </w:r>
      <w:r>
        <w:rPr>
          <w:b/>
          <w:bCs/>
          <w:color w:val="000000"/>
          <w:sz w:val="24"/>
          <w:u w:val="single"/>
        </w:rPr>
        <w:t>≈10lg（r/r</w:t>
      </w:r>
      <w:r>
        <w:rPr>
          <w:b/>
          <w:bCs/>
          <w:color w:val="000000"/>
          <w:sz w:val="24"/>
          <w:u w:val="single"/>
          <w:vertAlign w:val="subscript"/>
        </w:rPr>
        <w:t>0</w:t>
      </w:r>
      <w:r>
        <w:rPr>
          <w:b/>
          <w:bCs/>
          <w:color w:val="000000"/>
          <w:sz w:val="24"/>
          <w:u w:val="single"/>
        </w:rPr>
        <w:t>）；当r＞b/π时，距离加倍衰减趋近于6dB，类似点声源衰减，A</w:t>
      </w:r>
      <w:r>
        <w:rPr>
          <w:b/>
          <w:bCs/>
          <w:color w:val="000000"/>
          <w:sz w:val="24"/>
          <w:u w:val="single"/>
          <w:vertAlign w:val="subscript"/>
        </w:rPr>
        <w:t>div</w:t>
      </w:r>
      <w:r>
        <w:rPr>
          <w:b/>
          <w:bCs/>
          <w:color w:val="000000"/>
          <w:sz w:val="24"/>
          <w:u w:val="single"/>
        </w:rPr>
        <w:t>≈20lg（r/r</w:t>
      </w:r>
      <w:r>
        <w:rPr>
          <w:b/>
          <w:bCs/>
          <w:color w:val="000000"/>
          <w:sz w:val="24"/>
          <w:u w:val="single"/>
          <w:vertAlign w:val="subscript"/>
        </w:rPr>
        <w:t>0</w:t>
      </w:r>
      <w:r>
        <w:rPr>
          <w:b/>
          <w:bCs/>
          <w:color w:val="000000"/>
          <w:sz w:val="24"/>
          <w:u w:val="single"/>
        </w:rPr>
        <w:t>）。</w:t>
      </w:r>
    </w:p>
    <w:p>
      <w:pPr>
        <w:adjustRightInd w:val="0"/>
        <w:snapToGrid w:val="0"/>
        <w:spacing w:line="500" w:lineRule="exact"/>
        <w:ind w:firstLine="435"/>
        <w:rPr>
          <w:b/>
          <w:bCs/>
          <w:color w:val="000000"/>
          <w:sz w:val="24"/>
          <w:u w:val="single"/>
        </w:rPr>
      </w:pPr>
      <w:r>
        <w:rPr>
          <w:b/>
          <w:bCs/>
          <w:color w:val="000000"/>
          <w:sz w:val="24"/>
          <w:u w:val="single"/>
        </w:rPr>
        <w:t>根据公司提供的场区平面布置图，则项目各场界噪声预测结果见表4-27。</w:t>
      </w:r>
    </w:p>
    <w:p>
      <w:pPr>
        <w:adjustRightInd w:val="0"/>
        <w:snapToGrid w:val="0"/>
        <w:spacing w:beforeLines="50" w:afterLines="50"/>
        <w:jc w:val="center"/>
        <w:rPr>
          <w:b/>
          <w:bCs/>
          <w:color w:val="000000"/>
          <w:szCs w:val="21"/>
          <w:u w:val="single"/>
        </w:rPr>
      </w:pPr>
      <w:r>
        <w:rPr>
          <w:b/>
          <w:bCs/>
          <w:color w:val="000000"/>
          <w:szCs w:val="21"/>
          <w:u w:val="single"/>
        </w:rPr>
        <w:t>表4-27   项目场界噪声贡献值</w:t>
      </w:r>
    </w:p>
    <w:tbl>
      <w:tblPr>
        <w:tblStyle w:val="44"/>
        <w:tblW w:w="8440" w:type="dxa"/>
        <w:tblInd w:w="89" w:type="dxa"/>
        <w:tblLayout w:type="fixed"/>
        <w:tblCellMar>
          <w:top w:w="0" w:type="dxa"/>
          <w:left w:w="108" w:type="dxa"/>
          <w:bottom w:w="0" w:type="dxa"/>
          <w:right w:w="108" w:type="dxa"/>
        </w:tblCellMar>
      </w:tblPr>
      <w:tblGrid>
        <w:gridCol w:w="1080"/>
        <w:gridCol w:w="1800"/>
        <w:gridCol w:w="1880"/>
        <w:gridCol w:w="1900"/>
        <w:gridCol w:w="1780"/>
      </w:tblGrid>
      <w:tr>
        <w:tblPrEx>
          <w:tblCellMar>
            <w:top w:w="0" w:type="dxa"/>
            <w:left w:w="108" w:type="dxa"/>
            <w:bottom w:w="0" w:type="dxa"/>
            <w:right w:w="108" w:type="dxa"/>
          </w:tblCellMar>
        </w:tblPrEx>
        <w:trPr>
          <w:trHeight w:val="1065" w:hRule="atLeast"/>
        </w:trPr>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预测点</w:t>
            </w:r>
          </w:p>
        </w:tc>
        <w:tc>
          <w:tcPr>
            <w:tcW w:w="1800"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噪声源</w:t>
            </w:r>
          </w:p>
        </w:tc>
        <w:tc>
          <w:tcPr>
            <w:tcW w:w="1880"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预测点距离噪声源距离</w:t>
            </w:r>
          </w:p>
        </w:tc>
        <w:tc>
          <w:tcPr>
            <w:tcW w:w="1900"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对预测点噪声贡献值（dB(A)）</w:t>
            </w:r>
          </w:p>
        </w:tc>
        <w:tc>
          <w:tcPr>
            <w:tcW w:w="1780" w:type="dxa"/>
            <w:tcBorders>
              <w:top w:val="single" w:color="auto" w:sz="4" w:space="0"/>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对预测点噪声贡献值叠加</w:t>
            </w:r>
          </w:p>
        </w:tc>
      </w:tr>
      <w:tr>
        <w:tblPrEx>
          <w:tblCellMar>
            <w:top w:w="0" w:type="dxa"/>
            <w:left w:w="108" w:type="dxa"/>
            <w:bottom w:w="0" w:type="dxa"/>
            <w:right w:w="108" w:type="dxa"/>
          </w:tblCellMar>
        </w:tblPrEx>
        <w:trPr>
          <w:trHeight w:val="375" w:hRule="atLeast"/>
        </w:trPr>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东场界</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猪叫</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2</w:t>
            </w:r>
            <w:r>
              <w:rPr>
                <w:rFonts w:hint="eastAsia"/>
                <w:b/>
                <w:bCs/>
                <w:color w:val="000000"/>
                <w:kern w:val="0"/>
                <w:szCs w:val="21"/>
                <w:u w:val="single"/>
              </w:rPr>
              <w:t>1</w:t>
            </w:r>
            <w:r>
              <w:rPr>
                <w:b/>
                <w:bCs/>
                <w:color w:val="000000"/>
                <w:kern w:val="0"/>
                <w:szCs w:val="21"/>
                <w:u w:val="single"/>
              </w:rPr>
              <w:t>0</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8.</w:t>
            </w:r>
            <w:r>
              <w:rPr>
                <w:rFonts w:hint="eastAsia"/>
                <w:b/>
                <w:bCs/>
                <w:color w:val="000000"/>
                <w:kern w:val="0"/>
                <w:szCs w:val="21"/>
                <w:u w:val="single"/>
              </w:rPr>
              <w:t>24</w:t>
            </w:r>
          </w:p>
        </w:tc>
        <w:tc>
          <w:tcPr>
            <w:tcW w:w="17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37.41</w:t>
            </w:r>
          </w:p>
        </w:tc>
      </w:tr>
      <w:tr>
        <w:tblPrEx>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风机</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2</w:t>
            </w:r>
            <w:r>
              <w:rPr>
                <w:rFonts w:hint="eastAsia"/>
                <w:b/>
                <w:bCs/>
                <w:color w:val="000000"/>
                <w:kern w:val="0"/>
                <w:szCs w:val="21"/>
                <w:u w:val="single"/>
              </w:rPr>
              <w:t>30</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2</w:t>
            </w:r>
            <w:r>
              <w:rPr>
                <w:rFonts w:hint="eastAsia"/>
                <w:b/>
                <w:bCs/>
                <w:color w:val="000000"/>
                <w:kern w:val="0"/>
                <w:szCs w:val="21"/>
                <w:u w:val="single"/>
              </w:rPr>
              <w:t>2</w:t>
            </w: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r>
      <w:tr>
        <w:tblPrEx>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水泵</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2</w:t>
            </w:r>
            <w:r>
              <w:rPr>
                <w:rFonts w:hint="eastAsia"/>
                <w:b/>
                <w:bCs/>
                <w:color w:val="000000"/>
                <w:kern w:val="0"/>
                <w:szCs w:val="21"/>
                <w:u w:val="single"/>
              </w:rPr>
              <w:t>40</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20.1</w:t>
            </w: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r>
      <w:tr>
        <w:tblPrEx>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固液分离机</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21</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24</w:t>
            </w: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r>
      <w:tr>
        <w:tblPrEx>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翻抛机</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55</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27</w:t>
            </w: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r>
      <w:tr>
        <w:tblPrEx>
          <w:tblCellMar>
            <w:top w:w="0" w:type="dxa"/>
            <w:left w:w="108" w:type="dxa"/>
            <w:bottom w:w="0" w:type="dxa"/>
            <w:right w:w="108" w:type="dxa"/>
          </w:tblCellMar>
        </w:tblPrEx>
        <w:trPr>
          <w:trHeight w:val="375" w:hRule="atLeast"/>
        </w:trPr>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西场界</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猪叫</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25</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27.8</w:t>
            </w:r>
          </w:p>
        </w:tc>
        <w:tc>
          <w:tcPr>
            <w:tcW w:w="17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42.34</w:t>
            </w:r>
          </w:p>
        </w:tc>
      </w:tr>
      <w:tr>
        <w:tblPrEx>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风机</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24</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41</w:t>
            </w: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r>
      <w:tr>
        <w:tblPrEx>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水泵</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22</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39.5</w:t>
            </w: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r>
      <w:tr>
        <w:tblPrEx>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固液分离机</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105</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23.1</w:t>
            </w: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r>
      <w:tr>
        <w:tblPrEx>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翻抛机</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23</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25.3</w:t>
            </w: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r>
      <w:tr>
        <w:tblPrEx>
          <w:tblCellMar>
            <w:top w:w="0" w:type="dxa"/>
            <w:left w:w="108" w:type="dxa"/>
            <w:bottom w:w="0" w:type="dxa"/>
            <w:right w:w="108" w:type="dxa"/>
          </w:tblCellMar>
        </w:tblPrEx>
        <w:trPr>
          <w:trHeight w:val="375" w:hRule="atLeast"/>
        </w:trPr>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北场界</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猪叫</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10</w:t>
            </w:r>
            <w:r>
              <w:rPr>
                <w:rFonts w:hint="eastAsia"/>
                <w:b/>
                <w:bCs/>
                <w:color w:val="000000"/>
                <w:kern w:val="0"/>
                <w:szCs w:val="21"/>
                <w:u w:val="single"/>
              </w:rPr>
              <w:t>3</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14.7</w:t>
            </w:r>
          </w:p>
        </w:tc>
        <w:tc>
          <w:tcPr>
            <w:tcW w:w="17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32.3</w:t>
            </w:r>
          </w:p>
        </w:tc>
      </w:tr>
      <w:tr>
        <w:tblPrEx>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风机</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410</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10.9</w:t>
            </w: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r>
      <w:tr>
        <w:tblPrEx>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水泵</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304</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12.4</w:t>
            </w: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r>
      <w:tr>
        <w:tblPrEx>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固液分离机</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520</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10</w:t>
            </w: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r>
      <w:tr>
        <w:tblPrEx>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翻抛机</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660</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3.64</w:t>
            </w: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r>
      <w:tr>
        <w:tblPrEx>
          <w:tblCellMar>
            <w:top w:w="0" w:type="dxa"/>
            <w:left w:w="108" w:type="dxa"/>
            <w:bottom w:w="0" w:type="dxa"/>
            <w:right w:w="108" w:type="dxa"/>
          </w:tblCellMar>
        </w:tblPrEx>
        <w:trPr>
          <w:trHeight w:val="375" w:hRule="atLeast"/>
        </w:trPr>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南场界</w:t>
            </w: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猪叫</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41</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23.5</w:t>
            </w:r>
          </w:p>
        </w:tc>
        <w:tc>
          <w:tcPr>
            <w:tcW w:w="17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37.43</w:t>
            </w:r>
          </w:p>
        </w:tc>
      </w:tr>
      <w:tr>
        <w:tblPrEx>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风机</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47</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24.9</w:t>
            </w: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r>
      <w:tr>
        <w:tblPrEx>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水泵</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210</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20.1</w:t>
            </w: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r>
      <w:tr>
        <w:tblPrEx>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固液分离机</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250</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17.6</w:t>
            </w: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r>
      <w:tr>
        <w:tblPrEx>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c>
          <w:tcPr>
            <w:tcW w:w="18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b/>
                <w:bCs/>
                <w:color w:val="000000"/>
                <w:kern w:val="0"/>
                <w:szCs w:val="21"/>
                <w:u w:val="single"/>
              </w:rPr>
              <w:t>翻抛机</w:t>
            </w:r>
          </w:p>
        </w:tc>
        <w:tc>
          <w:tcPr>
            <w:tcW w:w="188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230</w:t>
            </w:r>
          </w:p>
        </w:tc>
        <w:tc>
          <w:tcPr>
            <w:tcW w:w="1900" w:type="dxa"/>
            <w:tcBorders>
              <w:top w:val="nil"/>
              <w:left w:val="nil"/>
              <w:bottom w:val="single" w:color="auto" w:sz="4" w:space="0"/>
              <w:right w:val="single" w:color="auto" w:sz="4" w:space="0"/>
            </w:tcBorders>
            <w:shd w:val="clear" w:color="auto" w:fill="auto"/>
            <w:vAlign w:val="center"/>
          </w:tcPr>
          <w:p>
            <w:pPr>
              <w:widowControl/>
              <w:jc w:val="center"/>
              <w:rPr>
                <w:b/>
                <w:bCs/>
                <w:color w:val="000000"/>
                <w:kern w:val="0"/>
                <w:szCs w:val="21"/>
                <w:u w:val="single"/>
              </w:rPr>
            </w:pPr>
            <w:r>
              <w:rPr>
                <w:rFonts w:hint="eastAsia"/>
                <w:b/>
                <w:bCs/>
                <w:color w:val="000000"/>
                <w:kern w:val="0"/>
                <w:szCs w:val="21"/>
                <w:u w:val="single"/>
              </w:rPr>
              <w:t>12</w:t>
            </w: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b/>
                <w:bCs/>
                <w:color w:val="000000"/>
                <w:kern w:val="0"/>
                <w:szCs w:val="21"/>
                <w:u w:val="single"/>
              </w:rPr>
            </w:pPr>
          </w:p>
        </w:tc>
      </w:tr>
    </w:tbl>
    <w:p>
      <w:pPr>
        <w:adjustRightInd w:val="0"/>
        <w:snapToGrid w:val="0"/>
        <w:spacing w:line="500" w:lineRule="exact"/>
        <w:ind w:firstLine="435"/>
        <w:rPr>
          <w:b/>
          <w:bCs/>
          <w:color w:val="000000"/>
          <w:sz w:val="24"/>
          <w:u w:val="single"/>
        </w:rPr>
      </w:pPr>
      <w:r>
        <w:rPr>
          <w:b/>
          <w:bCs/>
          <w:color w:val="000000"/>
          <w:sz w:val="24"/>
          <w:u w:val="single"/>
        </w:rPr>
        <w:t>由以上分析知：项目主要噪声源经采取隔声、基础减振及场区绿化等降噪措施，并经一定距离衰减后，噪声贡献值较小，各场界均能够满足《工业企业厂界环境噪声排放标准》（GB12348-2008）</w:t>
      </w:r>
      <w:r>
        <w:rPr>
          <w:rFonts w:hint="eastAsia"/>
          <w:b/>
          <w:bCs/>
          <w:color w:val="000000"/>
          <w:sz w:val="24"/>
          <w:u w:val="single"/>
          <w:lang w:val="en-US" w:eastAsia="zh-CN"/>
        </w:rPr>
        <w:t>2</w:t>
      </w:r>
      <w:r>
        <w:rPr>
          <w:b/>
          <w:bCs/>
          <w:color w:val="000000"/>
          <w:sz w:val="24"/>
          <w:u w:val="single"/>
        </w:rPr>
        <w:t>类标准要求。</w:t>
      </w:r>
    </w:p>
    <w:p>
      <w:pPr>
        <w:spacing w:line="600" w:lineRule="exact"/>
        <w:outlineLvl w:val="2"/>
        <w:rPr>
          <w:b/>
          <w:color w:val="000000"/>
          <w:sz w:val="24"/>
        </w:rPr>
      </w:pPr>
      <w:r>
        <w:rPr>
          <w:b/>
          <w:color w:val="000000"/>
          <w:sz w:val="24"/>
        </w:rPr>
        <w:t>4.2.5 固体废物对环境的影响分析</w:t>
      </w:r>
    </w:p>
    <w:p>
      <w:pPr>
        <w:spacing w:line="500" w:lineRule="exact"/>
        <w:rPr>
          <w:color w:val="000000"/>
          <w:sz w:val="24"/>
        </w:rPr>
      </w:pPr>
      <w:r>
        <w:rPr>
          <w:color w:val="000000"/>
          <w:sz w:val="24"/>
        </w:rPr>
        <w:t>4.2.5.1项目固体废物产生情况及处置措施</w:t>
      </w:r>
    </w:p>
    <w:p>
      <w:pPr>
        <w:topLinePunct/>
        <w:adjustRightInd w:val="0"/>
        <w:snapToGrid w:val="0"/>
        <w:spacing w:line="520" w:lineRule="exact"/>
        <w:ind w:firstLine="480" w:firstLineChars="200"/>
        <w:rPr>
          <w:bCs/>
          <w:color w:val="000000"/>
          <w:sz w:val="24"/>
        </w:rPr>
      </w:pPr>
      <w:r>
        <w:rPr>
          <w:color w:val="000000"/>
          <w:sz w:val="24"/>
        </w:rPr>
        <w:t>根据工程分析可知，项目营运期产生的固废主要</w:t>
      </w:r>
      <w:r>
        <w:rPr>
          <w:bCs/>
          <w:color w:val="000000"/>
          <w:sz w:val="24"/>
        </w:rPr>
        <w:t>包括猪粪固形物、沼渣、养殖过程产生的少量病死猪尸及疾病防疫产生的医疗废物。</w:t>
      </w:r>
      <w:r>
        <w:rPr>
          <w:color w:val="000000"/>
          <w:sz w:val="24"/>
        </w:rPr>
        <w:t>项目营运期固体废物产生情况及处置措施见表4-28</w:t>
      </w:r>
      <w:r>
        <w:rPr>
          <w:bCs/>
          <w:color w:val="000000"/>
          <w:sz w:val="24"/>
        </w:rPr>
        <w:t>。</w:t>
      </w:r>
    </w:p>
    <w:p>
      <w:pPr>
        <w:topLinePunct/>
        <w:adjustRightInd w:val="0"/>
        <w:snapToGrid w:val="0"/>
        <w:spacing w:line="500" w:lineRule="exact"/>
        <w:jc w:val="center"/>
        <w:rPr>
          <w:b/>
          <w:bCs/>
          <w:color w:val="000000"/>
          <w:szCs w:val="21"/>
        </w:rPr>
      </w:pPr>
      <w:r>
        <w:rPr>
          <w:b/>
          <w:bCs/>
          <w:color w:val="000000"/>
          <w:szCs w:val="21"/>
        </w:rPr>
        <w:t>表4-28   项目固体废物产排情况一览表</w:t>
      </w:r>
    </w:p>
    <w:tbl>
      <w:tblPr>
        <w:tblStyle w:val="44"/>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566"/>
        <w:gridCol w:w="1276"/>
        <w:gridCol w:w="1274"/>
        <w:gridCol w:w="993"/>
        <w:gridCol w:w="2614"/>
        <w:gridCol w:w="6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27" w:type="dxa"/>
            <w:tcMar>
              <w:top w:w="0" w:type="dxa"/>
              <w:left w:w="28" w:type="dxa"/>
              <w:bottom w:w="0" w:type="dxa"/>
              <w:right w:w="28" w:type="dxa"/>
            </w:tcMar>
            <w:vAlign w:val="center"/>
          </w:tcPr>
          <w:p>
            <w:pPr>
              <w:jc w:val="center"/>
              <w:rPr>
                <w:b/>
                <w:bCs/>
                <w:szCs w:val="21"/>
              </w:rPr>
            </w:pPr>
            <w:r>
              <w:rPr>
                <w:b/>
                <w:bCs/>
                <w:szCs w:val="21"/>
              </w:rPr>
              <w:t>序号</w:t>
            </w:r>
          </w:p>
        </w:tc>
        <w:tc>
          <w:tcPr>
            <w:tcW w:w="1566" w:type="dxa"/>
            <w:tcMar>
              <w:top w:w="0" w:type="dxa"/>
              <w:left w:w="28" w:type="dxa"/>
              <w:bottom w:w="0" w:type="dxa"/>
              <w:right w:w="28" w:type="dxa"/>
            </w:tcMar>
            <w:vAlign w:val="center"/>
          </w:tcPr>
          <w:p>
            <w:pPr>
              <w:jc w:val="center"/>
              <w:rPr>
                <w:b/>
                <w:bCs/>
                <w:szCs w:val="21"/>
              </w:rPr>
            </w:pPr>
            <w:r>
              <w:rPr>
                <w:b/>
                <w:bCs/>
                <w:szCs w:val="21"/>
              </w:rPr>
              <w:t>产生环节</w:t>
            </w:r>
          </w:p>
        </w:tc>
        <w:tc>
          <w:tcPr>
            <w:tcW w:w="1276" w:type="dxa"/>
            <w:tcMar>
              <w:top w:w="0" w:type="dxa"/>
              <w:left w:w="28" w:type="dxa"/>
              <w:bottom w:w="0" w:type="dxa"/>
              <w:right w:w="28" w:type="dxa"/>
            </w:tcMar>
            <w:vAlign w:val="center"/>
          </w:tcPr>
          <w:p>
            <w:pPr>
              <w:jc w:val="center"/>
              <w:rPr>
                <w:b/>
                <w:bCs/>
                <w:szCs w:val="21"/>
              </w:rPr>
            </w:pPr>
            <w:r>
              <w:rPr>
                <w:b/>
                <w:bCs/>
                <w:szCs w:val="21"/>
              </w:rPr>
              <w:t>名称</w:t>
            </w:r>
          </w:p>
        </w:tc>
        <w:tc>
          <w:tcPr>
            <w:tcW w:w="1274" w:type="dxa"/>
            <w:tcMar>
              <w:top w:w="0" w:type="dxa"/>
              <w:left w:w="28" w:type="dxa"/>
              <w:bottom w:w="0" w:type="dxa"/>
              <w:right w:w="28" w:type="dxa"/>
            </w:tcMar>
            <w:vAlign w:val="center"/>
          </w:tcPr>
          <w:p>
            <w:pPr>
              <w:jc w:val="center"/>
              <w:rPr>
                <w:b/>
                <w:bCs/>
                <w:szCs w:val="21"/>
              </w:rPr>
            </w:pPr>
            <w:r>
              <w:rPr>
                <w:b/>
                <w:bCs/>
                <w:szCs w:val="21"/>
              </w:rPr>
              <w:t>固废性质</w:t>
            </w:r>
          </w:p>
        </w:tc>
        <w:tc>
          <w:tcPr>
            <w:tcW w:w="993"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产生量（t/a）</w:t>
            </w:r>
          </w:p>
        </w:tc>
        <w:tc>
          <w:tcPr>
            <w:tcW w:w="2614"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处置措施</w:t>
            </w:r>
          </w:p>
        </w:tc>
        <w:tc>
          <w:tcPr>
            <w:tcW w:w="696"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527" w:type="dxa"/>
            <w:tcMar>
              <w:top w:w="0" w:type="dxa"/>
              <w:left w:w="28" w:type="dxa"/>
              <w:bottom w:w="0" w:type="dxa"/>
              <w:right w:w="28" w:type="dxa"/>
            </w:tcMar>
            <w:vAlign w:val="center"/>
          </w:tcPr>
          <w:p>
            <w:pPr>
              <w:jc w:val="center"/>
              <w:rPr>
                <w:bCs/>
                <w:szCs w:val="21"/>
              </w:rPr>
            </w:pPr>
            <w:r>
              <w:rPr>
                <w:bCs/>
                <w:szCs w:val="21"/>
              </w:rPr>
              <w:t>1</w:t>
            </w:r>
          </w:p>
        </w:tc>
        <w:tc>
          <w:tcPr>
            <w:tcW w:w="1566" w:type="dxa"/>
            <w:tcMar>
              <w:top w:w="0" w:type="dxa"/>
              <w:left w:w="28" w:type="dxa"/>
              <w:bottom w:w="0" w:type="dxa"/>
              <w:right w:w="28" w:type="dxa"/>
            </w:tcMar>
            <w:vAlign w:val="center"/>
          </w:tcPr>
          <w:p>
            <w:pPr>
              <w:jc w:val="center"/>
              <w:rPr>
                <w:bCs/>
                <w:szCs w:val="21"/>
              </w:rPr>
            </w:pPr>
            <w:r>
              <w:rPr>
                <w:bCs/>
                <w:szCs w:val="21"/>
              </w:rPr>
              <w:t>猪舍</w:t>
            </w:r>
          </w:p>
        </w:tc>
        <w:tc>
          <w:tcPr>
            <w:tcW w:w="1276" w:type="dxa"/>
            <w:tcMar>
              <w:top w:w="0" w:type="dxa"/>
              <w:left w:w="28" w:type="dxa"/>
              <w:bottom w:w="0" w:type="dxa"/>
              <w:right w:w="28" w:type="dxa"/>
            </w:tcMar>
            <w:vAlign w:val="center"/>
          </w:tcPr>
          <w:p>
            <w:pPr>
              <w:jc w:val="center"/>
              <w:rPr>
                <w:bCs/>
                <w:szCs w:val="21"/>
              </w:rPr>
            </w:pPr>
            <w:r>
              <w:rPr>
                <w:szCs w:val="21"/>
              </w:rPr>
              <w:t>猪粪固形物</w:t>
            </w:r>
          </w:p>
        </w:tc>
        <w:tc>
          <w:tcPr>
            <w:tcW w:w="1274" w:type="dxa"/>
            <w:tcMar>
              <w:top w:w="0" w:type="dxa"/>
              <w:left w:w="28" w:type="dxa"/>
              <w:bottom w:w="0" w:type="dxa"/>
              <w:right w:w="28" w:type="dxa"/>
            </w:tcMar>
            <w:vAlign w:val="center"/>
          </w:tcPr>
          <w:p>
            <w:pPr>
              <w:jc w:val="center"/>
              <w:rPr>
                <w:bCs/>
                <w:szCs w:val="21"/>
              </w:rPr>
            </w:pPr>
            <w:r>
              <w:rPr>
                <w:szCs w:val="21"/>
              </w:rPr>
              <w:t>一般固废</w:t>
            </w:r>
          </w:p>
        </w:tc>
        <w:tc>
          <w:tcPr>
            <w:tcW w:w="993" w:type="dxa"/>
            <w:tcMar>
              <w:top w:w="0" w:type="dxa"/>
              <w:left w:w="28" w:type="dxa"/>
              <w:bottom w:w="0" w:type="dxa"/>
              <w:right w:w="28" w:type="dxa"/>
            </w:tcMar>
            <w:vAlign w:val="center"/>
          </w:tcPr>
          <w:p>
            <w:pPr>
              <w:jc w:val="center"/>
              <w:rPr>
                <w:bCs/>
                <w:szCs w:val="21"/>
              </w:rPr>
            </w:pPr>
            <w:r>
              <w:rPr>
                <w:color w:val="000000"/>
                <w:szCs w:val="21"/>
              </w:rPr>
              <w:t>4163.09</w:t>
            </w:r>
          </w:p>
        </w:tc>
        <w:tc>
          <w:tcPr>
            <w:tcW w:w="2614" w:type="dxa"/>
            <w:tcMar>
              <w:top w:w="0" w:type="dxa"/>
              <w:left w:w="28" w:type="dxa"/>
              <w:bottom w:w="0" w:type="dxa"/>
              <w:right w:w="28" w:type="dxa"/>
            </w:tcMar>
            <w:vAlign w:val="center"/>
          </w:tcPr>
          <w:p>
            <w:pPr>
              <w:jc w:val="center"/>
              <w:rPr>
                <w:bCs/>
                <w:szCs w:val="21"/>
              </w:rPr>
            </w:pPr>
            <w:r>
              <w:rPr>
                <w:bCs/>
                <w:szCs w:val="21"/>
              </w:rPr>
              <w:t>生产有机肥基肥</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527" w:type="dxa"/>
            <w:tcMar>
              <w:top w:w="0" w:type="dxa"/>
              <w:left w:w="28" w:type="dxa"/>
              <w:bottom w:w="0" w:type="dxa"/>
              <w:right w:w="28" w:type="dxa"/>
            </w:tcMar>
            <w:vAlign w:val="center"/>
          </w:tcPr>
          <w:p>
            <w:pPr>
              <w:jc w:val="center"/>
              <w:rPr>
                <w:bCs/>
                <w:szCs w:val="21"/>
              </w:rPr>
            </w:pPr>
            <w:r>
              <w:rPr>
                <w:bCs/>
                <w:szCs w:val="21"/>
              </w:rPr>
              <w:t>2</w:t>
            </w:r>
          </w:p>
        </w:tc>
        <w:tc>
          <w:tcPr>
            <w:tcW w:w="1566" w:type="dxa"/>
            <w:tcMar>
              <w:top w:w="0" w:type="dxa"/>
              <w:left w:w="28" w:type="dxa"/>
              <w:bottom w:w="0" w:type="dxa"/>
              <w:right w:w="28" w:type="dxa"/>
            </w:tcMar>
            <w:vAlign w:val="center"/>
          </w:tcPr>
          <w:p>
            <w:pPr>
              <w:jc w:val="center"/>
              <w:rPr>
                <w:szCs w:val="21"/>
              </w:rPr>
            </w:pPr>
            <w:r>
              <w:rPr>
                <w:szCs w:val="21"/>
              </w:rPr>
              <w:t>盖泻湖沼气池</w:t>
            </w:r>
          </w:p>
        </w:tc>
        <w:tc>
          <w:tcPr>
            <w:tcW w:w="1276" w:type="dxa"/>
            <w:tcMar>
              <w:top w:w="0" w:type="dxa"/>
              <w:left w:w="28" w:type="dxa"/>
              <w:bottom w:w="0" w:type="dxa"/>
              <w:right w:w="28" w:type="dxa"/>
            </w:tcMar>
            <w:vAlign w:val="center"/>
          </w:tcPr>
          <w:p>
            <w:pPr>
              <w:jc w:val="center"/>
              <w:rPr>
                <w:szCs w:val="21"/>
              </w:rPr>
            </w:pPr>
            <w:r>
              <w:rPr>
                <w:szCs w:val="21"/>
              </w:rPr>
              <w:t>沼渣</w:t>
            </w:r>
          </w:p>
        </w:tc>
        <w:tc>
          <w:tcPr>
            <w:tcW w:w="1274" w:type="dxa"/>
            <w:tcMar>
              <w:top w:w="0" w:type="dxa"/>
              <w:left w:w="28" w:type="dxa"/>
              <w:bottom w:w="0" w:type="dxa"/>
              <w:right w:w="28" w:type="dxa"/>
            </w:tcMar>
            <w:vAlign w:val="center"/>
          </w:tcPr>
          <w:p>
            <w:pPr>
              <w:jc w:val="center"/>
              <w:rPr>
                <w:bCs/>
                <w:szCs w:val="21"/>
              </w:rPr>
            </w:pPr>
            <w:r>
              <w:rPr>
                <w:szCs w:val="21"/>
              </w:rPr>
              <w:t>一般固废</w:t>
            </w:r>
          </w:p>
        </w:tc>
        <w:tc>
          <w:tcPr>
            <w:tcW w:w="993" w:type="dxa"/>
            <w:tcMar>
              <w:top w:w="0" w:type="dxa"/>
              <w:left w:w="28" w:type="dxa"/>
              <w:bottom w:w="0" w:type="dxa"/>
              <w:right w:w="28" w:type="dxa"/>
            </w:tcMar>
            <w:vAlign w:val="center"/>
          </w:tcPr>
          <w:p>
            <w:pPr>
              <w:jc w:val="center"/>
              <w:rPr>
                <w:szCs w:val="21"/>
              </w:rPr>
            </w:pPr>
            <w:r>
              <w:rPr>
                <w:szCs w:val="21"/>
              </w:rPr>
              <w:t>1095</w:t>
            </w:r>
          </w:p>
        </w:tc>
        <w:tc>
          <w:tcPr>
            <w:tcW w:w="2614" w:type="dxa"/>
            <w:tcMar>
              <w:top w:w="0" w:type="dxa"/>
              <w:left w:w="28" w:type="dxa"/>
              <w:bottom w:w="0" w:type="dxa"/>
              <w:right w:w="28" w:type="dxa"/>
            </w:tcMar>
            <w:vAlign w:val="center"/>
          </w:tcPr>
          <w:p>
            <w:pPr>
              <w:jc w:val="center"/>
              <w:rPr>
                <w:bCs/>
                <w:szCs w:val="21"/>
              </w:rPr>
            </w:pPr>
            <w:r>
              <w:rPr>
                <w:bCs/>
                <w:szCs w:val="21"/>
              </w:rPr>
              <w:t>干化后作为基肥外售</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3</w:t>
            </w:r>
          </w:p>
        </w:tc>
        <w:tc>
          <w:tcPr>
            <w:tcW w:w="1566" w:type="dxa"/>
            <w:tcMar>
              <w:top w:w="0" w:type="dxa"/>
              <w:left w:w="28" w:type="dxa"/>
              <w:bottom w:w="0" w:type="dxa"/>
              <w:right w:w="28" w:type="dxa"/>
            </w:tcMar>
            <w:vAlign w:val="center"/>
          </w:tcPr>
          <w:p>
            <w:pPr>
              <w:jc w:val="center"/>
              <w:rPr>
                <w:szCs w:val="21"/>
              </w:rPr>
            </w:pPr>
            <w:r>
              <w:rPr>
                <w:szCs w:val="21"/>
              </w:rPr>
              <w:t>养殖过程</w:t>
            </w:r>
          </w:p>
        </w:tc>
        <w:tc>
          <w:tcPr>
            <w:tcW w:w="1276" w:type="dxa"/>
            <w:tcMar>
              <w:top w:w="0" w:type="dxa"/>
              <w:left w:w="28" w:type="dxa"/>
              <w:bottom w:w="0" w:type="dxa"/>
              <w:right w:w="28" w:type="dxa"/>
            </w:tcMar>
            <w:vAlign w:val="center"/>
          </w:tcPr>
          <w:p>
            <w:pPr>
              <w:jc w:val="center"/>
              <w:rPr>
                <w:szCs w:val="21"/>
              </w:rPr>
            </w:pPr>
            <w:r>
              <w:rPr>
                <w:szCs w:val="21"/>
              </w:rPr>
              <w:t>病死猪</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bCs/>
                <w:szCs w:val="21"/>
              </w:rPr>
            </w:pPr>
            <w:r>
              <w:rPr>
                <w:bCs/>
                <w:szCs w:val="21"/>
              </w:rPr>
              <w:t>16.67</w:t>
            </w:r>
          </w:p>
        </w:tc>
        <w:tc>
          <w:tcPr>
            <w:tcW w:w="2614" w:type="dxa"/>
            <w:tcMar>
              <w:top w:w="0" w:type="dxa"/>
              <w:left w:w="28" w:type="dxa"/>
              <w:bottom w:w="0" w:type="dxa"/>
              <w:right w:w="28" w:type="dxa"/>
            </w:tcMar>
            <w:vAlign w:val="center"/>
          </w:tcPr>
          <w:p>
            <w:pPr>
              <w:jc w:val="center"/>
              <w:rPr>
                <w:bCs/>
                <w:szCs w:val="21"/>
              </w:rPr>
            </w:pPr>
            <w:r>
              <w:rPr>
                <w:bCs/>
                <w:szCs w:val="21"/>
              </w:rPr>
              <w:t>交场区内自建无害化处理中心处置</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4</w:t>
            </w:r>
          </w:p>
        </w:tc>
        <w:tc>
          <w:tcPr>
            <w:tcW w:w="1566" w:type="dxa"/>
            <w:tcMar>
              <w:top w:w="0" w:type="dxa"/>
              <w:left w:w="28" w:type="dxa"/>
              <w:bottom w:w="0" w:type="dxa"/>
              <w:right w:w="28" w:type="dxa"/>
            </w:tcMar>
            <w:vAlign w:val="center"/>
          </w:tcPr>
          <w:p>
            <w:pPr>
              <w:jc w:val="center"/>
              <w:rPr>
                <w:szCs w:val="21"/>
              </w:rPr>
            </w:pPr>
            <w:r>
              <w:rPr>
                <w:szCs w:val="21"/>
              </w:rPr>
              <w:t>防疫</w:t>
            </w:r>
          </w:p>
        </w:tc>
        <w:tc>
          <w:tcPr>
            <w:tcW w:w="1276" w:type="dxa"/>
            <w:tcMar>
              <w:top w:w="0" w:type="dxa"/>
              <w:left w:w="28" w:type="dxa"/>
              <w:bottom w:w="0" w:type="dxa"/>
              <w:right w:w="28" w:type="dxa"/>
            </w:tcMar>
            <w:vAlign w:val="center"/>
          </w:tcPr>
          <w:p>
            <w:pPr>
              <w:jc w:val="center"/>
              <w:rPr>
                <w:szCs w:val="21"/>
              </w:rPr>
            </w:pPr>
            <w:r>
              <w:rPr>
                <w:szCs w:val="21"/>
              </w:rPr>
              <w:t>医疗固废</w:t>
            </w:r>
          </w:p>
        </w:tc>
        <w:tc>
          <w:tcPr>
            <w:tcW w:w="1274" w:type="dxa"/>
            <w:tcMar>
              <w:top w:w="0" w:type="dxa"/>
              <w:left w:w="28" w:type="dxa"/>
              <w:bottom w:w="0" w:type="dxa"/>
              <w:right w:w="28" w:type="dxa"/>
            </w:tcMar>
            <w:vAlign w:val="center"/>
          </w:tcPr>
          <w:p>
            <w:pPr>
              <w:jc w:val="center"/>
              <w:rPr>
                <w:szCs w:val="21"/>
              </w:rPr>
            </w:pPr>
            <w:r>
              <w:rPr>
                <w:szCs w:val="21"/>
              </w:rPr>
              <w:t>危险废物</w:t>
            </w:r>
          </w:p>
          <w:p>
            <w:pPr>
              <w:jc w:val="center"/>
              <w:rPr>
                <w:szCs w:val="21"/>
              </w:rPr>
            </w:pPr>
            <w:r>
              <w:rPr>
                <w:szCs w:val="21"/>
              </w:rPr>
              <w:t>（HW01）</w:t>
            </w:r>
          </w:p>
        </w:tc>
        <w:tc>
          <w:tcPr>
            <w:tcW w:w="993" w:type="dxa"/>
            <w:tcMar>
              <w:top w:w="0" w:type="dxa"/>
              <w:left w:w="28" w:type="dxa"/>
              <w:bottom w:w="0" w:type="dxa"/>
              <w:right w:w="28" w:type="dxa"/>
            </w:tcMar>
            <w:vAlign w:val="center"/>
          </w:tcPr>
          <w:p>
            <w:pPr>
              <w:jc w:val="center"/>
              <w:rPr>
                <w:szCs w:val="21"/>
              </w:rPr>
            </w:pPr>
            <w:r>
              <w:rPr>
                <w:szCs w:val="21"/>
              </w:rPr>
              <w:t>0.625</w:t>
            </w:r>
          </w:p>
        </w:tc>
        <w:tc>
          <w:tcPr>
            <w:tcW w:w="2614" w:type="dxa"/>
            <w:tcMar>
              <w:top w:w="0" w:type="dxa"/>
              <w:left w:w="28" w:type="dxa"/>
              <w:bottom w:w="0" w:type="dxa"/>
              <w:right w:w="28" w:type="dxa"/>
            </w:tcMar>
            <w:vAlign w:val="center"/>
          </w:tcPr>
          <w:p>
            <w:pPr>
              <w:jc w:val="center"/>
              <w:rPr>
                <w:szCs w:val="21"/>
              </w:rPr>
            </w:pPr>
            <w:r>
              <w:rPr>
                <w:kern w:val="0"/>
                <w:szCs w:val="21"/>
              </w:rPr>
              <w:t>交由有资质的单位进行处理</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5</w:t>
            </w:r>
          </w:p>
        </w:tc>
        <w:tc>
          <w:tcPr>
            <w:tcW w:w="1566" w:type="dxa"/>
            <w:tcMar>
              <w:top w:w="0" w:type="dxa"/>
              <w:left w:w="28" w:type="dxa"/>
              <w:bottom w:w="0" w:type="dxa"/>
              <w:right w:w="28" w:type="dxa"/>
            </w:tcMar>
            <w:vAlign w:val="center"/>
          </w:tcPr>
          <w:p>
            <w:pPr>
              <w:jc w:val="center"/>
              <w:rPr>
                <w:szCs w:val="21"/>
              </w:rPr>
            </w:pPr>
            <w:r>
              <w:rPr>
                <w:szCs w:val="21"/>
              </w:rPr>
              <w:t>职工生活</w:t>
            </w:r>
          </w:p>
        </w:tc>
        <w:tc>
          <w:tcPr>
            <w:tcW w:w="1276" w:type="dxa"/>
            <w:tcMar>
              <w:top w:w="0" w:type="dxa"/>
              <w:left w:w="28" w:type="dxa"/>
              <w:bottom w:w="0" w:type="dxa"/>
              <w:right w:w="28" w:type="dxa"/>
            </w:tcMar>
            <w:vAlign w:val="center"/>
          </w:tcPr>
          <w:p>
            <w:pPr>
              <w:jc w:val="center"/>
              <w:rPr>
                <w:szCs w:val="21"/>
              </w:rPr>
            </w:pPr>
            <w:r>
              <w:rPr>
                <w:szCs w:val="21"/>
              </w:rPr>
              <w:t>生活垃圾</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szCs w:val="21"/>
              </w:rPr>
            </w:pPr>
            <w:r>
              <w:rPr>
                <w:rFonts w:hint="eastAsia"/>
                <w:szCs w:val="21"/>
              </w:rPr>
              <w:t>22.36</w:t>
            </w:r>
          </w:p>
        </w:tc>
        <w:tc>
          <w:tcPr>
            <w:tcW w:w="2614" w:type="dxa"/>
            <w:tcMar>
              <w:top w:w="0" w:type="dxa"/>
              <w:left w:w="28" w:type="dxa"/>
              <w:bottom w:w="0" w:type="dxa"/>
              <w:right w:w="28" w:type="dxa"/>
            </w:tcMar>
            <w:vAlign w:val="center"/>
          </w:tcPr>
          <w:p>
            <w:pPr>
              <w:jc w:val="center"/>
              <w:rPr>
                <w:szCs w:val="21"/>
              </w:rPr>
            </w:pPr>
            <w:r>
              <w:rPr>
                <w:szCs w:val="21"/>
              </w:rPr>
              <w:t>送交环卫部门处理</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6</w:t>
            </w:r>
          </w:p>
        </w:tc>
        <w:tc>
          <w:tcPr>
            <w:tcW w:w="1566" w:type="dxa"/>
            <w:tcMar>
              <w:top w:w="0" w:type="dxa"/>
              <w:left w:w="28" w:type="dxa"/>
              <w:bottom w:w="0" w:type="dxa"/>
              <w:right w:w="28" w:type="dxa"/>
            </w:tcMar>
            <w:vAlign w:val="center"/>
          </w:tcPr>
          <w:p>
            <w:pPr>
              <w:jc w:val="center"/>
              <w:rPr>
                <w:szCs w:val="21"/>
              </w:rPr>
            </w:pPr>
            <w:r>
              <w:rPr>
                <w:szCs w:val="21"/>
              </w:rPr>
              <w:t>沼气脱硫装置</w:t>
            </w:r>
          </w:p>
        </w:tc>
        <w:tc>
          <w:tcPr>
            <w:tcW w:w="1276" w:type="dxa"/>
            <w:tcMar>
              <w:top w:w="0" w:type="dxa"/>
              <w:left w:w="28" w:type="dxa"/>
              <w:bottom w:w="0" w:type="dxa"/>
              <w:right w:w="28" w:type="dxa"/>
            </w:tcMar>
            <w:vAlign w:val="center"/>
          </w:tcPr>
          <w:p>
            <w:pPr>
              <w:jc w:val="center"/>
              <w:rPr>
                <w:szCs w:val="21"/>
              </w:rPr>
            </w:pPr>
            <w:r>
              <w:rPr>
                <w:szCs w:val="21"/>
              </w:rPr>
              <w:t>废脱硫剂</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szCs w:val="21"/>
              </w:rPr>
            </w:pPr>
            <w:r>
              <w:rPr>
                <w:szCs w:val="21"/>
              </w:rPr>
              <w:t>0.5</w:t>
            </w:r>
          </w:p>
        </w:tc>
        <w:tc>
          <w:tcPr>
            <w:tcW w:w="2614" w:type="dxa"/>
            <w:tcMar>
              <w:top w:w="0" w:type="dxa"/>
              <w:left w:w="28" w:type="dxa"/>
              <w:bottom w:w="0" w:type="dxa"/>
              <w:right w:w="28" w:type="dxa"/>
            </w:tcMar>
            <w:vAlign w:val="center"/>
          </w:tcPr>
          <w:p>
            <w:pPr>
              <w:jc w:val="center"/>
              <w:rPr>
                <w:b/>
                <w:szCs w:val="21"/>
                <w:u w:val="single"/>
              </w:rPr>
            </w:pPr>
            <w:r>
              <w:rPr>
                <w:szCs w:val="21"/>
              </w:rPr>
              <w:t>由生产厂家统一回收</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3" w:type="dxa"/>
            <w:gridSpan w:val="4"/>
            <w:tcMar>
              <w:top w:w="0" w:type="dxa"/>
              <w:left w:w="28" w:type="dxa"/>
              <w:bottom w:w="0" w:type="dxa"/>
              <w:right w:w="28" w:type="dxa"/>
            </w:tcMar>
            <w:vAlign w:val="center"/>
          </w:tcPr>
          <w:p>
            <w:pPr>
              <w:jc w:val="center"/>
              <w:rPr>
                <w:szCs w:val="21"/>
              </w:rPr>
            </w:pPr>
            <w:r>
              <w:rPr>
                <w:szCs w:val="21"/>
              </w:rPr>
              <w:t>合计</w:t>
            </w:r>
          </w:p>
        </w:tc>
        <w:tc>
          <w:tcPr>
            <w:tcW w:w="993" w:type="dxa"/>
            <w:tcMar>
              <w:top w:w="0" w:type="dxa"/>
              <w:left w:w="28" w:type="dxa"/>
              <w:bottom w:w="0" w:type="dxa"/>
              <w:right w:w="28" w:type="dxa"/>
            </w:tcMar>
            <w:vAlign w:val="center"/>
          </w:tcPr>
          <w:p>
            <w:pPr>
              <w:jc w:val="center"/>
              <w:rPr>
                <w:szCs w:val="21"/>
              </w:rPr>
            </w:pPr>
            <w:r>
              <w:rPr>
                <w:szCs w:val="21"/>
              </w:rPr>
              <w:t>5298.245</w:t>
            </w:r>
          </w:p>
        </w:tc>
        <w:tc>
          <w:tcPr>
            <w:tcW w:w="2614" w:type="dxa"/>
            <w:tcMar>
              <w:top w:w="0" w:type="dxa"/>
              <w:left w:w="28" w:type="dxa"/>
              <w:bottom w:w="0" w:type="dxa"/>
              <w:right w:w="28" w:type="dxa"/>
            </w:tcMar>
            <w:vAlign w:val="center"/>
          </w:tcPr>
          <w:p>
            <w:pPr>
              <w:jc w:val="center"/>
              <w:rPr>
                <w:szCs w:val="21"/>
              </w:rPr>
            </w:pPr>
            <w:r>
              <w:rPr>
                <w:szCs w:val="21"/>
              </w:rPr>
              <w:t>/</w:t>
            </w:r>
          </w:p>
        </w:tc>
        <w:tc>
          <w:tcPr>
            <w:tcW w:w="696" w:type="dxa"/>
            <w:tcMar>
              <w:top w:w="0" w:type="dxa"/>
              <w:left w:w="28" w:type="dxa"/>
              <w:bottom w:w="0" w:type="dxa"/>
              <w:right w:w="28" w:type="dxa"/>
            </w:tcMar>
            <w:vAlign w:val="center"/>
          </w:tcPr>
          <w:p>
            <w:pPr>
              <w:jc w:val="center"/>
              <w:rPr>
                <w:szCs w:val="21"/>
              </w:rPr>
            </w:pPr>
            <w:r>
              <w:rPr>
                <w:szCs w:val="21"/>
              </w:rPr>
              <w:t>/</w:t>
            </w:r>
          </w:p>
        </w:tc>
      </w:tr>
    </w:tbl>
    <w:p>
      <w:pPr>
        <w:spacing w:line="500" w:lineRule="exact"/>
        <w:rPr>
          <w:color w:val="000000"/>
          <w:sz w:val="24"/>
        </w:rPr>
      </w:pPr>
      <w:r>
        <w:rPr>
          <w:color w:val="000000"/>
          <w:sz w:val="24"/>
        </w:rPr>
        <w:t>4.2.5.2固体废物环境影响分析</w:t>
      </w:r>
    </w:p>
    <w:p>
      <w:pPr>
        <w:spacing w:line="500" w:lineRule="exact"/>
        <w:ind w:firstLine="480" w:firstLineChars="200"/>
        <w:rPr>
          <w:color w:val="000000"/>
          <w:sz w:val="24"/>
        </w:rPr>
      </w:pPr>
      <w:r>
        <w:rPr>
          <w:color w:val="000000"/>
          <w:sz w:val="24"/>
        </w:rPr>
        <w:t>项目营运过程中产生的固体废物均得到妥善处理，处理率达到100%，并充分回收利用有价值的物质，做到减量化、无害化，对环境无影响。</w:t>
      </w:r>
    </w:p>
    <w:p>
      <w:pPr>
        <w:spacing w:line="600" w:lineRule="exact"/>
        <w:outlineLvl w:val="2"/>
        <w:rPr>
          <w:b/>
          <w:color w:val="000000"/>
          <w:sz w:val="24"/>
        </w:rPr>
      </w:pPr>
      <w:r>
        <w:rPr>
          <w:b/>
          <w:color w:val="000000"/>
          <w:sz w:val="24"/>
        </w:rPr>
        <w:t>4.2.6 土壤环境影响分析</w:t>
      </w:r>
    </w:p>
    <w:p>
      <w:pPr>
        <w:spacing w:line="500" w:lineRule="exact"/>
        <w:ind w:firstLine="480" w:firstLineChars="200"/>
        <w:rPr>
          <w:color w:val="000000"/>
        </w:rPr>
      </w:pPr>
      <w:r>
        <w:rPr>
          <w:color w:val="000000"/>
          <w:sz w:val="24"/>
        </w:rPr>
        <w:t>项目沼液在场区内暂存后，施肥期用于周边农田施肥，沼液施用于土壤，存在污染土壤的风险。根据南阳市卧龙牧原养殖有限公司安皋分场年出栏20万头生猪养殖建设项目的验收监测数据，沼液消纳区土壤的2个监测点位的监测因子浓度为：pH7.12-7.2、铜25-28mg/kg、砷未检出、锌32-48.2mg/kg、汞未检出，能够满足</w:t>
      </w:r>
      <w:r>
        <w:rPr>
          <w:sz w:val="24"/>
        </w:rPr>
        <w:t>《土壤环境质量农用地土壤污染风险管控标准》</w:t>
      </w:r>
      <w:r>
        <w:rPr>
          <w:color w:val="000000"/>
          <w:sz w:val="24"/>
        </w:rPr>
        <w:t>（GB15618-2018）二级标准要求。本项目清粪工艺、污水处理工艺、沼液储存及沼液利用与安皋分场相同，由此类比分析，本项目沼液利用对土壤的影响较小。</w:t>
      </w:r>
    </w:p>
    <w:p>
      <w:pPr>
        <w:spacing w:line="600" w:lineRule="exact"/>
        <w:outlineLvl w:val="2"/>
        <w:rPr>
          <w:b/>
          <w:color w:val="000000"/>
          <w:sz w:val="24"/>
        </w:rPr>
      </w:pPr>
      <w:r>
        <w:rPr>
          <w:b/>
          <w:color w:val="000000"/>
          <w:sz w:val="24"/>
        </w:rPr>
        <w:t>4.2.7 环境风险评价</w:t>
      </w:r>
    </w:p>
    <w:p>
      <w:pPr>
        <w:spacing w:line="500" w:lineRule="exact"/>
        <w:ind w:firstLine="480" w:firstLineChars="200"/>
        <w:rPr>
          <w:bCs/>
          <w:color w:val="000000"/>
          <w:sz w:val="24"/>
        </w:rPr>
      </w:pPr>
      <w:r>
        <w:rPr>
          <w:bCs/>
          <w:color w:val="000000"/>
          <w:sz w:val="24"/>
        </w:rPr>
        <w:t>环境风险是指突发性灾难事故造成重大环境污染的事件，它具有危害性大、影响范围广等特点，同时风险发生的概率又有很大的不确定性，倘若一旦发生，其破坏性极强，对生态环境会产生严重破坏。</w:t>
      </w:r>
    </w:p>
    <w:p>
      <w:pPr>
        <w:spacing w:line="500" w:lineRule="exact"/>
        <w:ind w:firstLine="480" w:firstLineChars="200"/>
        <w:rPr>
          <w:bCs/>
          <w:color w:val="000000"/>
          <w:sz w:val="24"/>
        </w:rPr>
      </w:pPr>
      <w:r>
        <w:rPr>
          <w:bCs/>
          <w:color w:val="000000"/>
          <w:sz w:val="24"/>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应急与减缓措施，以使建设项目事故率、损失和环境影响达到可接受的水平。、损失和环境影响达到可接受水平。</w:t>
      </w:r>
    </w:p>
    <w:p>
      <w:pPr>
        <w:spacing w:line="500" w:lineRule="exact"/>
        <w:rPr>
          <w:b/>
          <w:color w:val="000000"/>
          <w:sz w:val="24"/>
        </w:rPr>
      </w:pPr>
      <w:r>
        <w:rPr>
          <w:b/>
          <w:color w:val="000000"/>
          <w:sz w:val="24"/>
        </w:rPr>
        <w:t>4.2.7.1评价依据</w:t>
      </w:r>
    </w:p>
    <w:p>
      <w:pPr>
        <w:spacing w:line="500" w:lineRule="exact"/>
        <w:rPr>
          <w:bCs/>
          <w:color w:val="000000"/>
          <w:sz w:val="24"/>
        </w:rPr>
      </w:pPr>
      <w:r>
        <w:rPr>
          <w:bCs/>
          <w:color w:val="000000"/>
          <w:sz w:val="24"/>
        </w:rPr>
        <w:t>a风险调查</w:t>
      </w:r>
    </w:p>
    <w:p>
      <w:pPr>
        <w:pStyle w:val="98"/>
        <w:spacing w:line="500" w:lineRule="exact"/>
        <w:ind w:firstLine="480"/>
        <w:rPr>
          <w:bCs/>
          <w:snapToGrid w:val="0"/>
          <w:kern w:val="0"/>
        </w:rPr>
      </w:pPr>
      <w:r>
        <w:rPr>
          <w:bCs/>
          <w:snapToGrid w:val="0"/>
          <w:kern w:val="0"/>
        </w:rPr>
        <w:t>（1）评价原则</w:t>
      </w:r>
    </w:p>
    <w:p>
      <w:pPr>
        <w:pStyle w:val="98"/>
        <w:spacing w:line="500" w:lineRule="exact"/>
        <w:ind w:firstLine="480"/>
        <w:rPr>
          <w:bCs/>
          <w:snapToGrid w:val="0"/>
          <w:kern w:val="0"/>
        </w:rPr>
      </w:pPr>
      <w:r>
        <w:rPr>
          <w:bCs/>
          <w:snapToGrid w:val="0"/>
          <w:kern w:val="0"/>
        </w:rPr>
        <w:t>按照《建设项目环境风险评价技术导则》（HJ/T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pPr>
        <w:pStyle w:val="98"/>
        <w:spacing w:line="500" w:lineRule="exact"/>
        <w:ind w:firstLine="480"/>
        <w:rPr>
          <w:bCs/>
          <w:snapToGrid w:val="0"/>
          <w:kern w:val="0"/>
        </w:rPr>
      </w:pPr>
      <w:r>
        <w:rPr>
          <w:bCs/>
          <w:snapToGrid w:val="0"/>
          <w:kern w:val="0"/>
        </w:rPr>
        <w:t>（2）评价工作程序</w:t>
      </w:r>
    </w:p>
    <w:p>
      <w:pPr>
        <w:ind w:firstLine="480"/>
        <w:rPr>
          <w:bCs/>
          <w:sz w:val="24"/>
        </w:rPr>
      </w:pPr>
      <w:r>
        <w:rPr>
          <w:bCs/>
          <w:sz w:val="24"/>
        </w:rPr>
        <w:t>评价工作程序见下图。</w:t>
      </w:r>
    </w:p>
    <w:p>
      <w:pPr>
        <w:pStyle w:val="2"/>
        <w:ind w:firstLine="400"/>
        <w:rPr>
          <w:bCs/>
        </w:rPr>
      </w:pPr>
    </w:p>
    <w:p>
      <w:pPr>
        <w:pStyle w:val="2"/>
        <w:ind w:firstLine="400"/>
        <w:rPr>
          <w:bCs/>
        </w:rPr>
      </w:pPr>
    </w:p>
    <w:p>
      <w:pPr>
        <w:ind w:firstLine="482"/>
        <w:rPr>
          <w:bCs/>
        </w:rPr>
      </w:pPr>
    </w:p>
    <w:p>
      <w:pPr>
        <w:ind w:firstLine="482"/>
        <w:rPr>
          <w:bCs/>
        </w:rPr>
      </w:pPr>
    </w:p>
    <w:p>
      <w:pPr>
        <w:ind w:firstLine="482"/>
        <w:rPr>
          <w:bCs/>
        </w:rPr>
      </w:pPr>
    </w:p>
    <w:p>
      <w:pPr>
        <w:ind w:firstLine="482"/>
        <w:rPr>
          <w:bCs/>
        </w:rPr>
      </w:pPr>
    </w:p>
    <w:p>
      <w:pPr>
        <w:ind w:firstLine="482"/>
        <w:rPr>
          <w:bCs/>
        </w:rPr>
      </w:pPr>
    </w:p>
    <w:p>
      <w:pPr>
        <w:ind w:firstLine="482"/>
        <w:rPr>
          <w:bCs/>
        </w:rPr>
      </w:pPr>
    </w:p>
    <w:p>
      <w:pPr>
        <w:ind w:firstLine="482"/>
        <w:rPr>
          <w:bCs/>
        </w:rPr>
      </w:pPr>
    </w:p>
    <w:p>
      <w:pPr>
        <w:pStyle w:val="98"/>
        <w:spacing w:line="500" w:lineRule="exact"/>
        <w:ind w:firstLine="0" w:firstLineChars="0"/>
        <w:rPr>
          <w:bCs/>
          <w:snapToGrid w:val="0"/>
          <w:kern w:val="0"/>
        </w:rPr>
      </w:pPr>
    </w:p>
    <w:p>
      <w:pPr>
        <w:rPr>
          <w:bCs/>
          <w:snapToGrid w:val="0"/>
          <w:kern w:val="0"/>
        </w:rPr>
      </w:pPr>
    </w:p>
    <w:p>
      <w:pPr>
        <w:pStyle w:val="2"/>
      </w:pPr>
    </w:p>
    <w:p>
      <w:pPr>
        <w:spacing w:line="520" w:lineRule="exact"/>
        <w:jc w:val="center"/>
        <w:rPr>
          <w:rFonts w:eastAsia="黑体"/>
          <w:bCs/>
          <w:sz w:val="24"/>
        </w:rPr>
      </w:pPr>
    </w:p>
    <w:p>
      <w:pPr>
        <w:spacing w:line="520" w:lineRule="exact"/>
        <w:jc w:val="center"/>
        <w:rPr>
          <w:rFonts w:eastAsia="黑体"/>
          <w:bCs/>
          <w:sz w:val="24"/>
        </w:rPr>
      </w:pPr>
    </w:p>
    <w:p>
      <w:pPr>
        <w:spacing w:line="520" w:lineRule="exact"/>
        <w:jc w:val="center"/>
        <w:rPr>
          <w:rFonts w:eastAsia="黑体"/>
          <w:bCs/>
          <w:sz w:val="24"/>
        </w:rPr>
      </w:pPr>
    </w:p>
    <w:p>
      <w:pPr>
        <w:spacing w:line="520" w:lineRule="exact"/>
        <w:jc w:val="center"/>
        <w:rPr>
          <w:rFonts w:eastAsia="黑体"/>
          <w:bCs/>
          <w:sz w:val="24"/>
        </w:rPr>
      </w:pPr>
    </w:p>
    <w:p>
      <w:pPr>
        <w:spacing w:line="520" w:lineRule="exact"/>
        <w:jc w:val="center"/>
        <w:rPr>
          <w:rFonts w:eastAsia="黑体"/>
          <w:bCs/>
          <w:sz w:val="24"/>
        </w:rPr>
      </w:pPr>
    </w:p>
    <w:p>
      <w:pPr>
        <w:pStyle w:val="2"/>
        <w:ind w:firstLine="400"/>
        <w:rPr>
          <w:bCs/>
        </w:rPr>
      </w:pPr>
    </w:p>
    <w:p>
      <w:pPr>
        <w:pStyle w:val="2"/>
        <w:ind w:firstLine="400"/>
        <w:rPr>
          <w:bCs/>
        </w:rPr>
      </w:pPr>
      <w:r>
        <w:rPr>
          <w:rFonts w:eastAsia="仿宋"/>
          <w:bCs/>
        </w:rPr>
        <w:drawing>
          <wp:anchor distT="0" distB="0" distL="114300" distR="114300" simplePos="0" relativeHeight="251762688" behindDoc="0" locked="0" layoutInCell="1" allowOverlap="1">
            <wp:simplePos x="0" y="0"/>
            <wp:positionH relativeFrom="column">
              <wp:posOffset>255270</wp:posOffset>
            </wp:positionH>
            <wp:positionV relativeFrom="paragraph">
              <wp:posOffset>-408305</wp:posOffset>
            </wp:positionV>
            <wp:extent cx="4498340" cy="4395470"/>
            <wp:effectExtent l="19050" t="0" r="0" b="0"/>
            <wp:wrapNone/>
            <wp:docPr id="26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 name="图片 1"/>
                    <pic:cNvPicPr>
                      <a:picLocks noChangeAspect="1" noChangeArrowheads="1"/>
                    </pic:cNvPicPr>
                  </pic:nvPicPr>
                  <pic:blipFill>
                    <a:blip r:embed="rId43" cstate="print"/>
                    <a:srcRect/>
                    <a:stretch>
                      <a:fillRect/>
                    </a:stretch>
                  </pic:blipFill>
                  <pic:spPr>
                    <a:xfrm>
                      <a:off x="0" y="0"/>
                      <a:ext cx="4498340" cy="4395470"/>
                    </a:xfrm>
                    <a:prstGeom prst="rect">
                      <a:avLst/>
                    </a:prstGeom>
                    <a:noFill/>
                    <a:ln w="9525">
                      <a:noFill/>
                      <a:miter lim="800000"/>
                      <a:headEnd/>
                      <a:tailEnd/>
                    </a:ln>
                  </pic:spPr>
                </pic:pic>
              </a:graphicData>
            </a:graphic>
          </wp:anchor>
        </w:drawing>
      </w:r>
    </w:p>
    <w:p>
      <w:pPr>
        <w:pStyle w:val="2"/>
        <w:ind w:firstLine="400"/>
        <w:rPr>
          <w:bCs/>
        </w:rPr>
      </w:pPr>
    </w:p>
    <w:p>
      <w:pPr>
        <w:pStyle w:val="2"/>
        <w:ind w:firstLine="400"/>
        <w:rPr>
          <w:bCs/>
        </w:rPr>
      </w:pPr>
    </w:p>
    <w:p>
      <w:pPr>
        <w:pStyle w:val="2"/>
        <w:ind w:firstLine="400"/>
        <w:rPr>
          <w:bCs/>
        </w:rPr>
      </w:pPr>
    </w:p>
    <w:p>
      <w:pPr>
        <w:pStyle w:val="2"/>
        <w:ind w:firstLine="400"/>
        <w:rPr>
          <w:bCs/>
        </w:rPr>
      </w:pPr>
    </w:p>
    <w:p>
      <w:pPr>
        <w:pStyle w:val="2"/>
        <w:ind w:firstLine="400"/>
        <w:rPr>
          <w:bCs/>
        </w:rPr>
      </w:pPr>
    </w:p>
    <w:p>
      <w:pPr>
        <w:pStyle w:val="2"/>
        <w:ind w:firstLine="400"/>
        <w:rPr>
          <w:bCs/>
        </w:rPr>
      </w:pPr>
    </w:p>
    <w:p>
      <w:pPr>
        <w:pStyle w:val="2"/>
        <w:ind w:firstLine="400"/>
        <w:rPr>
          <w:bCs/>
        </w:rPr>
      </w:pPr>
    </w:p>
    <w:p>
      <w:pPr>
        <w:pStyle w:val="2"/>
        <w:ind w:firstLine="400"/>
        <w:rPr>
          <w:bCs/>
        </w:rPr>
      </w:pPr>
    </w:p>
    <w:p>
      <w:pPr>
        <w:pStyle w:val="2"/>
        <w:ind w:firstLine="400"/>
        <w:rPr>
          <w:bCs/>
        </w:rPr>
      </w:pPr>
    </w:p>
    <w:p>
      <w:pPr>
        <w:pStyle w:val="2"/>
        <w:ind w:firstLine="400"/>
        <w:rPr>
          <w:bCs/>
        </w:rPr>
      </w:pPr>
    </w:p>
    <w:p>
      <w:pPr>
        <w:pStyle w:val="2"/>
        <w:ind w:firstLine="400"/>
        <w:rPr>
          <w:bCs/>
        </w:rPr>
      </w:pPr>
    </w:p>
    <w:p>
      <w:pPr>
        <w:pStyle w:val="2"/>
        <w:ind w:firstLine="400"/>
        <w:rPr>
          <w:bCs/>
        </w:rPr>
      </w:pPr>
    </w:p>
    <w:p>
      <w:pPr>
        <w:pStyle w:val="2"/>
        <w:ind w:firstLine="400"/>
        <w:rPr>
          <w:bCs/>
        </w:rPr>
      </w:pPr>
    </w:p>
    <w:p>
      <w:pPr>
        <w:pStyle w:val="2"/>
        <w:ind w:firstLine="400"/>
        <w:rPr>
          <w:bCs/>
        </w:rPr>
      </w:pPr>
    </w:p>
    <w:p>
      <w:pPr>
        <w:pStyle w:val="2"/>
        <w:ind w:firstLine="400"/>
        <w:rPr>
          <w:bCs/>
        </w:rPr>
      </w:pPr>
    </w:p>
    <w:p>
      <w:pPr>
        <w:pStyle w:val="2"/>
        <w:ind w:firstLine="400"/>
        <w:rPr>
          <w:bCs/>
        </w:rPr>
      </w:pPr>
    </w:p>
    <w:p>
      <w:pPr>
        <w:pStyle w:val="2"/>
        <w:ind w:firstLine="400"/>
        <w:rPr>
          <w:bCs/>
        </w:rPr>
      </w:pPr>
    </w:p>
    <w:p>
      <w:pPr>
        <w:spacing w:line="520" w:lineRule="exact"/>
        <w:jc w:val="center"/>
        <w:rPr>
          <w:rFonts w:eastAsia="黑体"/>
          <w:bCs/>
          <w:sz w:val="24"/>
        </w:rPr>
      </w:pPr>
    </w:p>
    <w:p>
      <w:pPr>
        <w:spacing w:line="520" w:lineRule="exact"/>
        <w:jc w:val="center"/>
        <w:rPr>
          <w:rFonts w:eastAsia="黑体"/>
          <w:bCs/>
          <w:sz w:val="24"/>
        </w:rPr>
      </w:pPr>
      <w:r>
        <w:rPr>
          <w:rFonts w:eastAsia="黑体"/>
          <w:bCs/>
          <w:sz w:val="24"/>
        </w:rPr>
        <w:t>图4-2评价工作程序</w:t>
      </w:r>
    </w:p>
    <w:p>
      <w:pPr>
        <w:spacing w:line="520" w:lineRule="exact"/>
        <w:outlineLvl w:val="3"/>
        <w:rPr>
          <w:bCs/>
          <w:sz w:val="24"/>
        </w:rPr>
      </w:pPr>
      <w:r>
        <w:rPr>
          <w:bCs/>
          <w:sz w:val="24"/>
        </w:rPr>
        <w:t>b风险潜势初判</w:t>
      </w:r>
    </w:p>
    <w:p>
      <w:pPr>
        <w:pStyle w:val="98"/>
        <w:spacing w:line="500" w:lineRule="exact"/>
        <w:ind w:firstLine="480"/>
        <w:rPr>
          <w:b/>
          <w:bCs w:val="0"/>
          <w:snapToGrid w:val="0"/>
          <w:kern w:val="0"/>
          <w:u w:val="single"/>
        </w:rPr>
      </w:pPr>
      <w:r>
        <w:rPr>
          <w:b/>
          <w:bCs w:val="0"/>
          <w:snapToGrid w:val="0"/>
          <w:kern w:val="0"/>
          <w:u w:val="single"/>
        </w:rPr>
        <w:t>危险物质及工艺系统危害性P的确定</w:t>
      </w:r>
    </w:p>
    <w:p>
      <w:pPr>
        <w:pStyle w:val="98"/>
        <w:spacing w:line="500" w:lineRule="exact"/>
        <w:ind w:firstLine="480"/>
        <w:rPr>
          <w:b/>
          <w:bCs w:val="0"/>
          <w:snapToGrid w:val="0"/>
          <w:kern w:val="0"/>
          <w:u w:val="single"/>
        </w:rPr>
      </w:pPr>
      <w:r>
        <w:rPr>
          <w:b/>
          <w:bCs w:val="0"/>
          <w:snapToGrid w:val="0"/>
          <w:kern w:val="0"/>
          <w:u w:val="single"/>
        </w:rPr>
        <w:t>根据《建设项目环境风险评价技术导则》（HJ/T169－2018），危险物质及工艺系统危害性（P）应根据危险物质数量与临界量的比值（Q）和行业及生产工艺（M）确定。</w:t>
      </w:r>
    </w:p>
    <w:p>
      <w:pPr>
        <w:pStyle w:val="98"/>
        <w:spacing w:line="500" w:lineRule="exact"/>
        <w:ind w:firstLine="480"/>
        <w:rPr>
          <w:b/>
          <w:bCs w:val="0"/>
          <w:snapToGrid w:val="0"/>
          <w:kern w:val="0"/>
          <w:u w:val="single"/>
        </w:rPr>
      </w:pPr>
      <w:r>
        <w:rPr>
          <w:b/>
          <w:bCs w:val="0"/>
          <w:snapToGrid w:val="0"/>
          <w:kern w:val="0"/>
          <w:u w:val="single"/>
        </w:rPr>
        <w:t>Q值根据《建设项目环境风险评价技术导则》（HJ/T169－2018）附录C，Q 按下</w:t>
      </w:r>
    </w:p>
    <w:p>
      <w:pPr>
        <w:pStyle w:val="98"/>
        <w:spacing w:line="500" w:lineRule="exact"/>
        <w:ind w:firstLine="480"/>
        <w:rPr>
          <w:b/>
          <w:bCs w:val="0"/>
          <w:snapToGrid w:val="0"/>
          <w:kern w:val="0"/>
          <w:u w:val="single"/>
        </w:rPr>
      </w:pPr>
      <w:r>
        <w:rPr>
          <w:b/>
          <w:bCs w:val="0"/>
          <w:snapToGrid w:val="0"/>
          <w:kern w:val="0"/>
          <w:u w:val="single"/>
        </w:rPr>
        <w:t>式进行计算：</w:t>
      </w:r>
    </w:p>
    <w:p>
      <w:pPr>
        <w:pStyle w:val="98"/>
        <w:spacing w:line="700" w:lineRule="exact"/>
        <w:ind w:firstLine="480"/>
        <w:rPr>
          <w:b/>
          <w:bCs w:val="0"/>
          <w:snapToGrid w:val="0"/>
          <w:kern w:val="0"/>
          <w:u w:val="single"/>
        </w:rPr>
      </w:pPr>
      <w:r>
        <w:rPr>
          <w:b/>
          <w:bCs w:val="0"/>
          <w:snapToGrid w:val="0"/>
          <w:kern w:val="0"/>
          <w:u w:val="single"/>
        </w:rPr>
        <w:object>
          <v:shape id="_x0000_i1027" o:spt="75" type="#_x0000_t75" style="height:31.3pt;width:94.55pt;" o:ole="t" filled="f" o:preferrelative="t" stroked="f" coordsize="21600,21600">
            <v:path/>
            <v:fill on="f" focussize="0,0"/>
            <v:stroke on="f" joinstyle="miter"/>
            <v:imagedata r:id="rId45" o:title=""/>
            <o:lock v:ext="edit" aspectratio="t"/>
            <w10:wrap type="none"/>
            <w10:anchorlock/>
          </v:shape>
          <o:OLEObject Type="Embed" ProgID="Equation.3" ShapeID="_x0000_i1027" DrawAspect="Content" ObjectID="_1468075727" r:id="rId44">
            <o:LockedField>false</o:LockedField>
          </o:OLEObject>
        </w:object>
      </w:r>
    </w:p>
    <w:p>
      <w:pPr>
        <w:pStyle w:val="98"/>
        <w:spacing w:line="500" w:lineRule="exact"/>
        <w:ind w:firstLine="480"/>
        <w:rPr>
          <w:b/>
          <w:bCs w:val="0"/>
          <w:snapToGrid w:val="0"/>
          <w:kern w:val="0"/>
          <w:u w:val="single"/>
        </w:rPr>
      </w:pPr>
      <w:r>
        <w:rPr>
          <w:b/>
          <w:bCs w:val="0"/>
          <w:snapToGrid w:val="0"/>
          <w:kern w:val="0"/>
          <w:u w:val="single"/>
        </w:rPr>
        <w:t>式中：q1，q2……qn—每种危险物质的最大存在量，t；</w:t>
      </w:r>
    </w:p>
    <w:p>
      <w:pPr>
        <w:spacing w:line="500" w:lineRule="exact"/>
        <w:ind w:firstLine="482" w:firstLineChars="200"/>
        <w:rPr>
          <w:b/>
          <w:bCs w:val="0"/>
          <w:color w:val="000000"/>
          <w:sz w:val="24"/>
          <w:u w:val="single"/>
        </w:rPr>
      </w:pPr>
      <w:r>
        <w:rPr>
          <w:b/>
          <w:bCs w:val="0"/>
          <w:color w:val="000000"/>
          <w:sz w:val="24"/>
          <w:u w:val="single"/>
        </w:rPr>
        <w:t>Q1，Q2…Qn—每种危险物质的临界量，t。</w:t>
      </w:r>
    </w:p>
    <w:p>
      <w:pPr>
        <w:spacing w:line="500" w:lineRule="exact"/>
        <w:ind w:firstLine="482" w:firstLineChars="200"/>
        <w:rPr>
          <w:b/>
          <w:bCs w:val="0"/>
          <w:color w:val="000000"/>
          <w:sz w:val="24"/>
          <w:u w:val="single"/>
        </w:rPr>
      </w:pPr>
      <w:r>
        <w:rPr>
          <w:b/>
          <w:bCs w:val="0"/>
          <w:color w:val="000000"/>
          <w:sz w:val="24"/>
          <w:u w:val="single"/>
        </w:rPr>
        <w:t>当Q＜1 时，该项目环境风险潜势为I。</w:t>
      </w:r>
    </w:p>
    <w:p>
      <w:pPr>
        <w:spacing w:line="500" w:lineRule="exact"/>
        <w:ind w:firstLine="482" w:firstLineChars="200"/>
        <w:rPr>
          <w:b/>
          <w:bCs w:val="0"/>
          <w:color w:val="000000"/>
          <w:sz w:val="24"/>
          <w:u w:val="single"/>
        </w:rPr>
      </w:pPr>
      <w:r>
        <w:rPr>
          <w:b/>
          <w:bCs w:val="0"/>
          <w:color w:val="000000"/>
          <w:sz w:val="24"/>
          <w:u w:val="single"/>
        </w:rPr>
        <w:t>当Q≥1 时，将Q 值划分为：（1）1≤Q＜10；（2）10≤Q＜100；（3）Q≥</w:t>
      </w:r>
    </w:p>
    <w:p>
      <w:pPr>
        <w:spacing w:line="500" w:lineRule="exact"/>
        <w:ind w:firstLine="482" w:firstLineChars="200"/>
        <w:rPr>
          <w:b/>
          <w:bCs w:val="0"/>
          <w:color w:val="000000"/>
          <w:sz w:val="24"/>
          <w:u w:val="single"/>
        </w:rPr>
      </w:pPr>
      <w:r>
        <w:rPr>
          <w:b/>
          <w:bCs w:val="0"/>
          <w:color w:val="000000"/>
          <w:sz w:val="24"/>
          <w:u w:val="single"/>
        </w:rPr>
        <w:t>100。</w:t>
      </w:r>
    </w:p>
    <w:p>
      <w:pPr>
        <w:spacing w:line="500" w:lineRule="exact"/>
        <w:ind w:firstLine="482" w:firstLineChars="200"/>
        <w:rPr>
          <w:b/>
          <w:bCs w:val="0"/>
          <w:color w:val="000000"/>
          <w:sz w:val="24"/>
          <w:u w:val="single"/>
        </w:rPr>
      </w:pPr>
      <w:r>
        <w:rPr>
          <w:b/>
          <w:bCs w:val="0"/>
          <w:color w:val="000000"/>
          <w:sz w:val="24"/>
          <w:u w:val="single"/>
        </w:rPr>
        <w:t>Q的确定见下表。</w:t>
      </w:r>
    </w:p>
    <w:p>
      <w:pPr>
        <w:adjustRightInd w:val="0"/>
        <w:snapToGrid w:val="0"/>
        <w:spacing w:afterLines="30" w:line="500" w:lineRule="exact"/>
        <w:jc w:val="center"/>
        <w:rPr>
          <w:b/>
          <w:bCs w:val="0"/>
          <w:sz w:val="24"/>
          <w:u w:val="single"/>
        </w:rPr>
      </w:pPr>
      <w:r>
        <w:rPr>
          <w:b/>
          <w:bCs w:val="0"/>
          <w:color w:val="000000"/>
          <w:sz w:val="24"/>
          <w:u w:val="single"/>
        </w:rPr>
        <w:t xml:space="preserve">表4-29 </w:t>
      </w:r>
      <w:r>
        <w:rPr>
          <w:b/>
          <w:bCs w:val="0"/>
          <w:sz w:val="24"/>
          <w:u w:val="single"/>
        </w:rPr>
        <w:t>建设项目Q值确定表</w:t>
      </w:r>
    </w:p>
    <w:tbl>
      <w:tblPr>
        <w:tblStyle w:val="44"/>
        <w:tblW w:w="85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4"/>
        <w:gridCol w:w="850"/>
        <w:gridCol w:w="992"/>
        <w:gridCol w:w="2552"/>
        <w:gridCol w:w="2268"/>
        <w:gridCol w:w="9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94" w:type="dxa"/>
            <w:noWrap/>
            <w:vAlign w:val="center"/>
          </w:tcPr>
          <w:p>
            <w:pPr>
              <w:pStyle w:val="98"/>
              <w:spacing w:line="240" w:lineRule="exact"/>
              <w:ind w:firstLine="0" w:firstLineChars="0"/>
              <w:jc w:val="center"/>
              <w:rPr>
                <w:b/>
                <w:bCs w:val="0"/>
                <w:snapToGrid w:val="0"/>
                <w:kern w:val="0"/>
                <w:sz w:val="21"/>
                <w:szCs w:val="21"/>
                <w:u w:val="single"/>
              </w:rPr>
            </w:pPr>
            <w:r>
              <w:rPr>
                <w:b/>
                <w:bCs w:val="0"/>
                <w:snapToGrid w:val="0"/>
                <w:kern w:val="0"/>
                <w:sz w:val="21"/>
                <w:szCs w:val="21"/>
                <w:u w:val="single"/>
              </w:rPr>
              <w:t>序号</w:t>
            </w:r>
          </w:p>
        </w:tc>
        <w:tc>
          <w:tcPr>
            <w:tcW w:w="850" w:type="dxa"/>
            <w:noWrap/>
            <w:vAlign w:val="center"/>
          </w:tcPr>
          <w:p>
            <w:pPr>
              <w:pStyle w:val="98"/>
              <w:spacing w:line="240" w:lineRule="exact"/>
              <w:ind w:firstLine="0" w:firstLineChars="0"/>
              <w:jc w:val="center"/>
              <w:rPr>
                <w:b/>
                <w:bCs w:val="0"/>
                <w:snapToGrid w:val="0"/>
                <w:kern w:val="0"/>
                <w:sz w:val="21"/>
                <w:szCs w:val="21"/>
                <w:u w:val="single"/>
              </w:rPr>
            </w:pPr>
            <w:r>
              <w:rPr>
                <w:b/>
                <w:bCs w:val="0"/>
                <w:snapToGrid w:val="0"/>
                <w:kern w:val="0"/>
                <w:sz w:val="21"/>
                <w:szCs w:val="21"/>
                <w:u w:val="single"/>
              </w:rPr>
              <w:t>类别</w:t>
            </w:r>
          </w:p>
        </w:tc>
        <w:tc>
          <w:tcPr>
            <w:tcW w:w="992" w:type="dxa"/>
            <w:noWrap/>
            <w:vAlign w:val="center"/>
          </w:tcPr>
          <w:p>
            <w:pPr>
              <w:pStyle w:val="98"/>
              <w:spacing w:line="240" w:lineRule="exact"/>
              <w:ind w:firstLine="0" w:firstLineChars="0"/>
              <w:jc w:val="center"/>
              <w:rPr>
                <w:b/>
                <w:bCs w:val="0"/>
                <w:snapToGrid w:val="0"/>
                <w:kern w:val="0"/>
                <w:sz w:val="21"/>
                <w:szCs w:val="21"/>
                <w:u w:val="single"/>
              </w:rPr>
            </w:pPr>
            <w:r>
              <w:rPr>
                <w:b/>
                <w:bCs w:val="0"/>
                <w:snapToGrid w:val="0"/>
                <w:kern w:val="0"/>
                <w:sz w:val="21"/>
                <w:szCs w:val="21"/>
                <w:u w:val="single"/>
              </w:rPr>
              <w:t>物质</w:t>
            </w:r>
          </w:p>
          <w:p>
            <w:pPr>
              <w:pStyle w:val="98"/>
              <w:spacing w:line="240" w:lineRule="exact"/>
              <w:ind w:firstLine="0" w:firstLineChars="0"/>
              <w:jc w:val="center"/>
              <w:rPr>
                <w:b/>
                <w:bCs w:val="0"/>
                <w:snapToGrid w:val="0"/>
                <w:kern w:val="0"/>
                <w:sz w:val="21"/>
                <w:szCs w:val="21"/>
                <w:u w:val="single"/>
              </w:rPr>
            </w:pPr>
            <w:r>
              <w:rPr>
                <w:b/>
                <w:bCs w:val="0"/>
                <w:snapToGrid w:val="0"/>
                <w:kern w:val="0"/>
                <w:sz w:val="21"/>
                <w:szCs w:val="21"/>
                <w:u w:val="single"/>
              </w:rPr>
              <w:t>名称</w:t>
            </w:r>
          </w:p>
        </w:tc>
        <w:tc>
          <w:tcPr>
            <w:tcW w:w="2552" w:type="dxa"/>
            <w:noWrap/>
            <w:vAlign w:val="center"/>
          </w:tcPr>
          <w:p>
            <w:pPr>
              <w:pStyle w:val="98"/>
              <w:spacing w:line="240" w:lineRule="exact"/>
              <w:ind w:firstLine="0" w:firstLineChars="0"/>
              <w:jc w:val="center"/>
              <w:rPr>
                <w:b/>
                <w:bCs w:val="0"/>
                <w:snapToGrid w:val="0"/>
                <w:kern w:val="0"/>
                <w:sz w:val="21"/>
                <w:szCs w:val="21"/>
                <w:u w:val="single"/>
              </w:rPr>
            </w:pPr>
            <w:r>
              <w:rPr>
                <w:b/>
                <w:bCs w:val="0"/>
                <w:snapToGrid w:val="0"/>
                <w:kern w:val="0"/>
                <w:sz w:val="21"/>
                <w:szCs w:val="21"/>
                <w:u w:val="single"/>
              </w:rPr>
              <w:t>临界量（t）《建设项目环境风险评价技术导则》（HJ/T169－2018）附录B</w:t>
            </w:r>
          </w:p>
        </w:tc>
        <w:tc>
          <w:tcPr>
            <w:tcW w:w="2268" w:type="dxa"/>
            <w:noWrap/>
            <w:vAlign w:val="center"/>
          </w:tcPr>
          <w:p>
            <w:pPr>
              <w:pStyle w:val="98"/>
              <w:spacing w:line="240" w:lineRule="exact"/>
              <w:ind w:firstLine="0" w:firstLineChars="0"/>
              <w:jc w:val="center"/>
              <w:rPr>
                <w:b/>
                <w:bCs w:val="0"/>
                <w:snapToGrid w:val="0"/>
                <w:kern w:val="0"/>
                <w:sz w:val="21"/>
                <w:szCs w:val="21"/>
                <w:u w:val="single"/>
              </w:rPr>
            </w:pPr>
            <w:r>
              <w:rPr>
                <w:b/>
                <w:bCs w:val="0"/>
                <w:snapToGrid w:val="0"/>
                <w:kern w:val="0"/>
                <w:sz w:val="21"/>
                <w:szCs w:val="21"/>
                <w:u w:val="single"/>
              </w:rPr>
              <w:t>实际最大存储量（t）</w:t>
            </w:r>
          </w:p>
        </w:tc>
        <w:tc>
          <w:tcPr>
            <w:tcW w:w="976" w:type="dxa"/>
            <w:noWrap/>
            <w:vAlign w:val="center"/>
          </w:tcPr>
          <w:p>
            <w:pPr>
              <w:pStyle w:val="98"/>
              <w:spacing w:line="240" w:lineRule="exact"/>
              <w:ind w:firstLine="0" w:firstLineChars="0"/>
              <w:jc w:val="center"/>
              <w:rPr>
                <w:b/>
                <w:bCs w:val="0"/>
                <w:snapToGrid w:val="0"/>
                <w:kern w:val="0"/>
                <w:sz w:val="21"/>
                <w:szCs w:val="21"/>
                <w:u w:val="single"/>
              </w:rPr>
            </w:pPr>
            <w:r>
              <w:rPr>
                <w:b/>
                <w:bCs w:val="0"/>
                <w:snapToGrid w:val="0"/>
                <w:kern w:val="0"/>
                <w:sz w:val="21"/>
                <w:szCs w:val="21"/>
                <w:u w:val="single"/>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94" w:type="dxa"/>
            <w:noWrap/>
            <w:vAlign w:val="center"/>
          </w:tcPr>
          <w:p>
            <w:pPr>
              <w:pStyle w:val="98"/>
              <w:spacing w:line="240" w:lineRule="exact"/>
              <w:ind w:firstLine="0" w:firstLineChars="0"/>
              <w:jc w:val="center"/>
              <w:rPr>
                <w:b/>
                <w:bCs w:val="0"/>
                <w:snapToGrid w:val="0"/>
                <w:kern w:val="0"/>
                <w:sz w:val="21"/>
                <w:szCs w:val="21"/>
                <w:u w:val="single"/>
              </w:rPr>
            </w:pPr>
            <w:r>
              <w:rPr>
                <w:b/>
                <w:bCs w:val="0"/>
                <w:snapToGrid w:val="0"/>
                <w:kern w:val="0"/>
                <w:sz w:val="21"/>
                <w:szCs w:val="21"/>
                <w:u w:val="single"/>
              </w:rPr>
              <w:t>1</w:t>
            </w:r>
          </w:p>
        </w:tc>
        <w:tc>
          <w:tcPr>
            <w:tcW w:w="850" w:type="dxa"/>
            <w:noWrap/>
            <w:vAlign w:val="center"/>
          </w:tcPr>
          <w:p>
            <w:pPr>
              <w:pStyle w:val="98"/>
              <w:spacing w:line="240" w:lineRule="exact"/>
              <w:ind w:firstLine="0" w:firstLineChars="0"/>
              <w:jc w:val="center"/>
              <w:rPr>
                <w:b/>
                <w:bCs w:val="0"/>
                <w:snapToGrid w:val="0"/>
                <w:kern w:val="0"/>
                <w:sz w:val="21"/>
                <w:szCs w:val="21"/>
                <w:u w:val="single"/>
              </w:rPr>
            </w:pPr>
            <w:r>
              <w:rPr>
                <w:b/>
                <w:bCs w:val="0"/>
                <w:snapToGrid w:val="0"/>
                <w:kern w:val="0"/>
                <w:sz w:val="21"/>
                <w:szCs w:val="21"/>
                <w:u w:val="single"/>
              </w:rPr>
              <w:t>易燃气体</w:t>
            </w:r>
          </w:p>
        </w:tc>
        <w:tc>
          <w:tcPr>
            <w:tcW w:w="992" w:type="dxa"/>
            <w:noWrap/>
            <w:vAlign w:val="center"/>
          </w:tcPr>
          <w:p>
            <w:pPr>
              <w:pStyle w:val="98"/>
              <w:spacing w:line="240" w:lineRule="exact"/>
              <w:ind w:firstLine="0" w:firstLineChars="0"/>
              <w:jc w:val="center"/>
              <w:rPr>
                <w:b/>
                <w:bCs w:val="0"/>
                <w:snapToGrid w:val="0"/>
                <w:kern w:val="0"/>
                <w:sz w:val="21"/>
                <w:szCs w:val="21"/>
                <w:u w:val="single"/>
              </w:rPr>
            </w:pPr>
            <w:r>
              <w:rPr>
                <w:b/>
                <w:bCs w:val="0"/>
                <w:snapToGrid w:val="0"/>
                <w:kern w:val="0"/>
                <w:sz w:val="21"/>
                <w:szCs w:val="21"/>
                <w:u w:val="single"/>
              </w:rPr>
              <w:t>甲烷</w:t>
            </w:r>
          </w:p>
        </w:tc>
        <w:tc>
          <w:tcPr>
            <w:tcW w:w="2552" w:type="dxa"/>
            <w:noWrap/>
            <w:vAlign w:val="center"/>
          </w:tcPr>
          <w:p>
            <w:pPr>
              <w:pStyle w:val="98"/>
              <w:spacing w:line="240" w:lineRule="exact"/>
              <w:ind w:firstLine="0" w:firstLineChars="0"/>
              <w:jc w:val="center"/>
              <w:rPr>
                <w:b/>
                <w:bCs w:val="0"/>
                <w:snapToGrid w:val="0"/>
                <w:kern w:val="0"/>
                <w:sz w:val="21"/>
                <w:szCs w:val="21"/>
                <w:u w:val="single"/>
              </w:rPr>
            </w:pPr>
            <w:r>
              <w:rPr>
                <w:b/>
                <w:bCs w:val="0"/>
                <w:snapToGrid w:val="0"/>
                <w:kern w:val="0"/>
                <w:sz w:val="21"/>
                <w:szCs w:val="21"/>
                <w:u w:val="single"/>
              </w:rPr>
              <w:t>10t</w:t>
            </w:r>
          </w:p>
        </w:tc>
        <w:tc>
          <w:tcPr>
            <w:tcW w:w="2268" w:type="dxa"/>
            <w:noWrap/>
            <w:vAlign w:val="center"/>
          </w:tcPr>
          <w:p>
            <w:pPr>
              <w:pStyle w:val="98"/>
              <w:spacing w:line="240" w:lineRule="exact"/>
              <w:ind w:firstLine="0" w:firstLineChars="0"/>
              <w:jc w:val="center"/>
              <w:rPr>
                <w:b/>
                <w:bCs w:val="0"/>
                <w:snapToGrid w:val="0"/>
                <w:color w:val="FF0000"/>
                <w:kern w:val="0"/>
                <w:sz w:val="21"/>
                <w:szCs w:val="21"/>
                <w:u w:val="single"/>
              </w:rPr>
            </w:pPr>
            <w:r>
              <w:rPr>
                <w:rFonts w:hint="eastAsia"/>
                <w:b/>
                <w:bCs w:val="0"/>
                <w:snapToGrid w:val="0"/>
                <w:kern w:val="0"/>
                <w:sz w:val="21"/>
                <w:szCs w:val="21"/>
                <w:u w:val="single"/>
              </w:rPr>
              <w:t>5</w:t>
            </w:r>
          </w:p>
        </w:tc>
        <w:tc>
          <w:tcPr>
            <w:tcW w:w="976" w:type="dxa"/>
            <w:noWrap/>
            <w:vAlign w:val="center"/>
          </w:tcPr>
          <w:p>
            <w:pPr>
              <w:pStyle w:val="98"/>
              <w:spacing w:line="240" w:lineRule="exact"/>
              <w:ind w:firstLine="0" w:firstLineChars="0"/>
              <w:jc w:val="center"/>
              <w:rPr>
                <w:b/>
                <w:bCs w:val="0"/>
                <w:snapToGrid w:val="0"/>
                <w:kern w:val="0"/>
                <w:sz w:val="21"/>
                <w:szCs w:val="21"/>
                <w:u w:val="single"/>
              </w:rPr>
            </w:pPr>
            <w:r>
              <w:rPr>
                <w:rFonts w:hint="eastAsia"/>
                <w:b/>
                <w:bCs w:val="0"/>
                <w:snapToGrid w:val="0"/>
                <w:kern w:val="0"/>
                <w:sz w:val="21"/>
                <w:szCs w:val="21"/>
                <w:u w:val="single"/>
              </w:rPr>
              <w:t>5</w:t>
            </w:r>
          </w:p>
        </w:tc>
      </w:tr>
    </w:tbl>
    <w:p>
      <w:pPr>
        <w:spacing w:line="500" w:lineRule="exact"/>
        <w:ind w:firstLine="482" w:firstLineChars="200"/>
        <w:rPr>
          <w:b/>
          <w:bCs w:val="0"/>
          <w:color w:val="000000"/>
          <w:sz w:val="24"/>
          <w:u w:val="single"/>
        </w:rPr>
      </w:pPr>
      <w:r>
        <w:rPr>
          <w:b/>
          <w:bCs w:val="0"/>
          <w:color w:val="000000"/>
          <w:sz w:val="24"/>
          <w:u w:val="single"/>
        </w:rPr>
        <w:t>本项目厂区设置一个盖泻湖沼气池，容积为10600m</w:t>
      </w:r>
      <w:r>
        <w:rPr>
          <w:b/>
          <w:bCs w:val="0"/>
          <w:color w:val="000000"/>
          <w:sz w:val="24"/>
          <w:u w:val="single"/>
          <w:vertAlign w:val="superscript"/>
        </w:rPr>
        <w:t>3</w:t>
      </w:r>
      <w:r>
        <w:rPr>
          <w:b/>
          <w:bCs w:val="0"/>
          <w:color w:val="000000"/>
          <w:sz w:val="24"/>
          <w:u w:val="single"/>
        </w:rPr>
        <w:t>，其中甲烷含量约为55%--70%，本项目甲烷含量按照70%计算，贮存甲烷约为</w:t>
      </w:r>
      <w:r>
        <w:rPr>
          <w:rFonts w:hint="eastAsia"/>
          <w:b/>
          <w:bCs w:val="0"/>
          <w:color w:val="000000"/>
          <w:sz w:val="24"/>
          <w:u w:val="single"/>
        </w:rPr>
        <w:t>5</w:t>
      </w:r>
      <w:r>
        <w:rPr>
          <w:b/>
          <w:bCs w:val="0"/>
          <w:color w:val="000000"/>
          <w:sz w:val="24"/>
          <w:u w:val="single"/>
        </w:rPr>
        <w:t>t。经计算，本项目Q﹤1（</w:t>
      </w:r>
      <w:r>
        <w:rPr>
          <w:rFonts w:hint="eastAsia"/>
          <w:b/>
          <w:bCs w:val="0"/>
          <w:color w:val="000000"/>
          <w:sz w:val="24"/>
          <w:u w:val="single"/>
        </w:rPr>
        <w:t>0.5</w:t>
      </w:r>
      <w:r>
        <w:rPr>
          <w:b/>
          <w:bCs w:val="0"/>
          <w:color w:val="000000"/>
          <w:sz w:val="24"/>
          <w:u w:val="single"/>
        </w:rPr>
        <w:t>）。该项目环境风险潜势为</w:t>
      </w:r>
      <w:r>
        <w:rPr>
          <w:rFonts w:hint="eastAsia" w:ascii="宋体" w:hAnsi="宋体" w:cs="宋体"/>
          <w:b/>
          <w:bCs w:val="0"/>
          <w:color w:val="000000"/>
          <w:sz w:val="24"/>
          <w:u w:val="single"/>
        </w:rPr>
        <w:t>Ⅰ</w:t>
      </w:r>
      <w:r>
        <w:rPr>
          <w:b/>
          <w:bCs w:val="0"/>
          <w:color w:val="000000"/>
          <w:sz w:val="24"/>
          <w:u w:val="single"/>
        </w:rPr>
        <w:t>。</w:t>
      </w:r>
    </w:p>
    <w:p>
      <w:pPr>
        <w:tabs>
          <w:tab w:val="right" w:leader="dot" w:pos="8647"/>
        </w:tabs>
        <w:adjustRightInd w:val="0"/>
        <w:snapToGrid w:val="0"/>
        <w:spacing w:line="500" w:lineRule="exact"/>
        <w:rPr>
          <w:bCs/>
          <w:color w:val="000000"/>
          <w:sz w:val="24"/>
        </w:rPr>
      </w:pPr>
      <w:r>
        <w:rPr>
          <w:bCs/>
          <w:color w:val="000000"/>
          <w:sz w:val="24"/>
        </w:rPr>
        <w:t>4.2.7.2风险识别及评价等级确定</w:t>
      </w:r>
    </w:p>
    <w:p>
      <w:pPr>
        <w:tabs>
          <w:tab w:val="right" w:leader="dot" w:pos="8647"/>
        </w:tabs>
        <w:adjustRightInd w:val="0"/>
        <w:snapToGrid w:val="0"/>
        <w:spacing w:line="500" w:lineRule="exact"/>
        <w:rPr>
          <w:bCs/>
          <w:color w:val="000000"/>
          <w:sz w:val="24"/>
        </w:rPr>
      </w:pPr>
      <w:r>
        <w:rPr>
          <w:bCs/>
          <w:color w:val="000000"/>
          <w:sz w:val="24"/>
        </w:rPr>
        <w:t>4.2.7.2.1物质风险识别</w:t>
      </w:r>
    </w:p>
    <w:p>
      <w:pPr>
        <w:pStyle w:val="98"/>
        <w:spacing w:line="500" w:lineRule="exact"/>
        <w:ind w:firstLine="480"/>
        <w:rPr>
          <w:bCs/>
          <w:snapToGrid w:val="0"/>
          <w:kern w:val="0"/>
        </w:rPr>
      </w:pPr>
      <w:r>
        <w:rPr>
          <w:bCs/>
          <w:snapToGrid w:val="0"/>
          <w:kern w:val="0"/>
        </w:rPr>
        <w:t>（1）病原菌</w:t>
      </w:r>
    </w:p>
    <w:p>
      <w:pPr>
        <w:pStyle w:val="98"/>
        <w:spacing w:line="500" w:lineRule="exact"/>
        <w:ind w:firstLine="480"/>
        <w:rPr>
          <w:bCs/>
          <w:snapToGrid w:val="0"/>
          <w:kern w:val="0"/>
        </w:rPr>
      </w:pPr>
      <w:r>
        <w:rPr>
          <w:bCs/>
          <w:snapToGrid w:val="0"/>
          <w:kern w:val="0"/>
        </w:rPr>
        <w:t>项目为养殖项目，涉及的物料主要饲料、水、疫苗、脱硫剂及除臭剂等，原料中无可燃、易燃或有毒的物质，但建设单位在猪只的养殖过程中产生的猪粪如未处理得当可能产生诱发传染病，主要有以下危害特性：病猪产生的粪尿和尸体中含有病原菌会产生水污染，引起疾病的传播和流行，造成猪群死亡，并且传染给其他禽畜和人；常见的猪群传染病为口蹄疫、猪流感等。</w:t>
      </w:r>
    </w:p>
    <w:p>
      <w:pPr>
        <w:spacing w:line="500" w:lineRule="exact"/>
        <w:ind w:firstLine="480" w:firstLineChars="200"/>
        <w:rPr>
          <w:bCs/>
          <w:sz w:val="24"/>
        </w:rPr>
      </w:pPr>
      <w:r>
        <w:rPr>
          <w:bCs/>
          <w:sz w:val="24"/>
        </w:rPr>
        <w:t>（2）沼气</w:t>
      </w:r>
    </w:p>
    <w:p>
      <w:pPr>
        <w:spacing w:line="500" w:lineRule="exact"/>
        <w:ind w:firstLine="480" w:firstLineChars="200"/>
        <w:rPr>
          <w:bCs/>
          <w:sz w:val="24"/>
        </w:rPr>
      </w:pPr>
      <w:r>
        <w:rPr>
          <w:bCs/>
          <w:sz w:val="24"/>
        </w:rPr>
        <w:t>沼气是一种混合气体，它的主要成分是CH</w:t>
      </w:r>
      <w:r>
        <w:rPr>
          <w:bCs/>
          <w:sz w:val="24"/>
          <w:vertAlign w:val="subscript"/>
        </w:rPr>
        <w:t>4</w:t>
      </w:r>
      <w:r>
        <w:rPr>
          <w:bCs/>
          <w:sz w:val="24"/>
        </w:rPr>
        <w:t>，其次有CO</w:t>
      </w:r>
      <w:r>
        <w:rPr>
          <w:bCs/>
          <w:sz w:val="24"/>
          <w:vertAlign w:val="subscript"/>
        </w:rPr>
        <w:t>2</w:t>
      </w:r>
      <w:r>
        <w:rPr>
          <w:bCs/>
          <w:sz w:val="24"/>
        </w:rPr>
        <w:t>、H</w:t>
      </w:r>
      <w:r>
        <w:rPr>
          <w:bCs/>
          <w:sz w:val="24"/>
          <w:vertAlign w:val="subscript"/>
        </w:rPr>
        <w:t>2</w:t>
      </w:r>
      <w:r>
        <w:rPr>
          <w:bCs/>
          <w:sz w:val="24"/>
        </w:rPr>
        <w:t>S、氮及其他一些成分。沼气的组成中，可燃成分包括CH</w:t>
      </w:r>
      <w:r>
        <w:rPr>
          <w:bCs/>
          <w:sz w:val="24"/>
          <w:vertAlign w:val="subscript"/>
        </w:rPr>
        <w:t>4</w:t>
      </w:r>
      <w:r>
        <w:rPr>
          <w:bCs/>
          <w:sz w:val="24"/>
        </w:rPr>
        <w:t>、H</w:t>
      </w:r>
      <w:r>
        <w:rPr>
          <w:bCs/>
          <w:sz w:val="24"/>
          <w:vertAlign w:val="subscript"/>
        </w:rPr>
        <w:t>2</w:t>
      </w:r>
      <w:r>
        <w:rPr>
          <w:bCs/>
          <w:sz w:val="24"/>
        </w:rPr>
        <w:t>S、CO和重烃等气体；不可燃成分包括CO</w:t>
      </w:r>
      <w:r>
        <w:rPr>
          <w:bCs/>
          <w:sz w:val="24"/>
          <w:vertAlign w:val="subscript"/>
        </w:rPr>
        <w:t>2</w:t>
      </w:r>
      <w:r>
        <w:rPr>
          <w:bCs/>
          <w:sz w:val="24"/>
        </w:rPr>
        <w:t>、氮和氨等气体。在沼气成分中CH</w:t>
      </w:r>
      <w:r>
        <w:rPr>
          <w:bCs/>
          <w:sz w:val="24"/>
          <w:vertAlign w:val="subscript"/>
        </w:rPr>
        <w:t>4</w:t>
      </w:r>
      <w:r>
        <w:rPr>
          <w:bCs/>
          <w:sz w:val="24"/>
        </w:rPr>
        <w:t>含量为55%～70%、CO</w:t>
      </w:r>
      <w:r>
        <w:rPr>
          <w:bCs/>
          <w:sz w:val="24"/>
          <w:vertAlign w:val="subscript"/>
        </w:rPr>
        <w:t>2</w:t>
      </w:r>
      <w:r>
        <w:rPr>
          <w:bCs/>
          <w:sz w:val="24"/>
        </w:rPr>
        <w:t>含量为28%～44%、H</w:t>
      </w:r>
      <w:r>
        <w:rPr>
          <w:bCs/>
          <w:sz w:val="24"/>
          <w:vertAlign w:val="subscript"/>
        </w:rPr>
        <w:t>2</w:t>
      </w:r>
      <w:r>
        <w:rPr>
          <w:bCs/>
          <w:sz w:val="24"/>
        </w:rPr>
        <w:t>S平均含量为0.034%。</w:t>
      </w:r>
    </w:p>
    <w:p>
      <w:pPr>
        <w:spacing w:line="500" w:lineRule="exact"/>
        <w:ind w:firstLine="480" w:firstLineChars="200"/>
        <w:rPr>
          <w:bCs/>
          <w:sz w:val="24"/>
        </w:rPr>
      </w:pPr>
      <w:r>
        <w:rPr>
          <w:bCs/>
          <w:sz w:val="24"/>
        </w:rPr>
        <w:t>甲烷的主要危险特性和理化性质见表4-30。</w:t>
      </w:r>
    </w:p>
    <w:p>
      <w:pPr>
        <w:adjustRightInd w:val="0"/>
        <w:snapToGrid w:val="0"/>
        <w:spacing w:afterLines="30" w:line="500" w:lineRule="exact"/>
        <w:jc w:val="center"/>
        <w:rPr>
          <w:bCs/>
          <w:sz w:val="24"/>
        </w:rPr>
      </w:pPr>
    </w:p>
    <w:p>
      <w:pPr>
        <w:adjustRightInd w:val="0"/>
        <w:snapToGrid w:val="0"/>
        <w:spacing w:afterLines="30" w:line="500" w:lineRule="exact"/>
        <w:jc w:val="center"/>
        <w:rPr>
          <w:b/>
          <w:sz w:val="24"/>
        </w:rPr>
      </w:pPr>
      <w:r>
        <w:rPr>
          <w:b/>
          <w:sz w:val="24"/>
        </w:rPr>
        <w:t>表4-30  甲烷的理化性质和危险特性</w:t>
      </w:r>
    </w:p>
    <w:tbl>
      <w:tblPr>
        <w:tblStyle w:val="44"/>
        <w:tblW w:w="918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39"/>
        <w:gridCol w:w="2871"/>
        <w:gridCol w:w="2401"/>
        <w:gridCol w:w="20"/>
        <w:gridCol w:w="21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184" w:type="dxa"/>
            <w:gridSpan w:val="5"/>
            <w:vAlign w:val="center"/>
          </w:tcPr>
          <w:p>
            <w:pPr>
              <w:spacing w:line="360" w:lineRule="exact"/>
              <w:rPr>
                <w:bCs/>
                <w:szCs w:val="21"/>
              </w:rPr>
            </w:pPr>
            <w:r>
              <w:rPr>
                <w:bCs/>
                <w:szCs w:val="21"/>
              </w:rPr>
              <w:t>第一部分    危险性概述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Cs/>
                <w:szCs w:val="21"/>
              </w:rPr>
            </w:pPr>
            <w:r>
              <w:rPr>
                <w:bCs/>
                <w:szCs w:val="21"/>
              </w:rPr>
              <w:t>危险性类别：</w:t>
            </w:r>
          </w:p>
        </w:tc>
        <w:tc>
          <w:tcPr>
            <w:tcW w:w="2871" w:type="dxa"/>
            <w:vAlign w:val="center"/>
          </w:tcPr>
          <w:p>
            <w:pPr>
              <w:spacing w:line="360" w:lineRule="exact"/>
              <w:rPr>
                <w:bCs/>
                <w:szCs w:val="21"/>
              </w:rPr>
            </w:pPr>
            <w:r>
              <w:rPr>
                <w:bCs/>
                <w:szCs w:val="21"/>
              </w:rPr>
              <w:t>4（易燃气体）。</w:t>
            </w:r>
          </w:p>
        </w:tc>
        <w:tc>
          <w:tcPr>
            <w:tcW w:w="2401" w:type="dxa"/>
            <w:vAlign w:val="center"/>
          </w:tcPr>
          <w:p>
            <w:pPr>
              <w:spacing w:line="360" w:lineRule="exact"/>
              <w:rPr>
                <w:bCs/>
                <w:szCs w:val="21"/>
              </w:rPr>
            </w:pPr>
            <w:r>
              <w:rPr>
                <w:bCs/>
                <w:szCs w:val="21"/>
              </w:rPr>
              <w:t>燃爆危险：</w:t>
            </w:r>
          </w:p>
        </w:tc>
        <w:tc>
          <w:tcPr>
            <w:tcW w:w="2173" w:type="dxa"/>
            <w:gridSpan w:val="2"/>
            <w:vAlign w:val="center"/>
          </w:tcPr>
          <w:p>
            <w:pPr>
              <w:spacing w:line="360" w:lineRule="exact"/>
              <w:rPr>
                <w:bCs/>
                <w:szCs w:val="21"/>
              </w:rPr>
            </w:pPr>
            <w:r>
              <w:rPr>
                <w:bCs/>
                <w:szCs w:val="21"/>
              </w:rPr>
              <w:t>易燃。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Cs/>
                <w:szCs w:val="21"/>
              </w:rPr>
            </w:pPr>
            <w:r>
              <w:rPr>
                <w:bCs/>
                <w:szCs w:val="21"/>
              </w:rPr>
              <w:t>侵入途径：</w:t>
            </w:r>
          </w:p>
        </w:tc>
        <w:tc>
          <w:tcPr>
            <w:tcW w:w="2871" w:type="dxa"/>
            <w:vAlign w:val="center"/>
          </w:tcPr>
          <w:p>
            <w:pPr>
              <w:spacing w:line="360" w:lineRule="exact"/>
              <w:rPr>
                <w:bCs/>
                <w:szCs w:val="21"/>
              </w:rPr>
            </w:pPr>
            <w:r>
              <w:rPr>
                <w:bCs/>
                <w:szCs w:val="21"/>
              </w:rPr>
              <w:t>吸入</w:t>
            </w:r>
          </w:p>
        </w:tc>
        <w:tc>
          <w:tcPr>
            <w:tcW w:w="2401" w:type="dxa"/>
            <w:vAlign w:val="center"/>
          </w:tcPr>
          <w:p>
            <w:pPr>
              <w:spacing w:line="360" w:lineRule="exact"/>
              <w:rPr>
                <w:bCs/>
                <w:szCs w:val="21"/>
              </w:rPr>
            </w:pPr>
            <w:r>
              <w:rPr>
                <w:bCs/>
                <w:szCs w:val="21"/>
              </w:rPr>
              <w:t>有害燃烧产物：</w:t>
            </w:r>
          </w:p>
        </w:tc>
        <w:tc>
          <w:tcPr>
            <w:tcW w:w="2173" w:type="dxa"/>
            <w:gridSpan w:val="2"/>
            <w:vAlign w:val="center"/>
          </w:tcPr>
          <w:p>
            <w:pPr>
              <w:spacing w:line="360" w:lineRule="exact"/>
              <w:rPr>
                <w:bCs/>
                <w:szCs w:val="21"/>
              </w:rPr>
            </w:pPr>
            <w:r>
              <w:rPr>
                <w:bCs/>
                <w:szCs w:val="21"/>
              </w:rPr>
              <w:t>一氧化碳、二氧化碳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Cs/>
                <w:szCs w:val="21"/>
              </w:rPr>
            </w:pPr>
            <w:r>
              <w:rPr>
                <w:bCs/>
                <w:szCs w:val="21"/>
              </w:rPr>
              <w:t>健康危害：</w:t>
            </w:r>
          </w:p>
        </w:tc>
        <w:tc>
          <w:tcPr>
            <w:tcW w:w="7445" w:type="dxa"/>
            <w:gridSpan w:val="4"/>
            <w:vAlign w:val="center"/>
          </w:tcPr>
          <w:p>
            <w:pPr>
              <w:spacing w:line="360" w:lineRule="exact"/>
              <w:rPr>
                <w:bCs/>
                <w:szCs w:val="21"/>
              </w:rPr>
            </w:pPr>
            <w:r>
              <w:rPr>
                <w:bCs/>
                <w:szCs w:val="21"/>
              </w:rPr>
              <w:t>甲烷对人基本无毒，但浓度过高时，使空气中氧含量明显降低，使人窒息。当空气中甲烷达25%~30%时，可引起头痛、头晕、乏力、注意力不集中、呼吸和心跳加速、共济失调。若不及时脱离，可致窒息死亡。皮肤接触液化本品，可致冻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184" w:type="dxa"/>
            <w:gridSpan w:val="5"/>
            <w:vAlign w:val="center"/>
          </w:tcPr>
          <w:p>
            <w:pPr>
              <w:spacing w:line="360" w:lineRule="exact"/>
              <w:rPr>
                <w:bCs/>
                <w:szCs w:val="21"/>
              </w:rPr>
            </w:pPr>
            <w:r>
              <w:rPr>
                <w:bCs/>
                <w:szCs w:val="21"/>
              </w:rPr>
              <w:t>第二部分   理化特性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Cs/>
                <w:szCs w:val="21"/>
              </w:rPr>
            </w:pPr>
            <w:r>
              <w:rPr>
                <w:bCs/>
                <w:szCs w:val="21"/>
              </w:rPr>
              <w:t>外观及性状：</w:t>
            </w:r>
          </w:p>
        </w:tc>
        <w:tc>
          <w:tcPr>
            <w:tcW w:w="7445" w:type="dxa"/>
            <w:gridSpan w:val="4"/>
            <w:vAlign w:val="center"/>
          </w:tcPr>
          <w:p>
            <w:pPr>
              <w:spacing w:line="360" w:lineRule="exact"/>
              <w:rPr>
                <w:bCs/>
                <w:szCs w:val="21"/>
              </w:rPr>
            </w:pPr>
            <w:r>
              <w:rPr>
                <w:bCs/>
                <w:szCs w:val="21"/>
              </w:rPr>
              <w:t>无色无臭气体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Cs/>
                <w:szCs w:val="21"/>
              </w:rPr>
            </w:pPr>
            <w:r>
              <w:rPr>
                <w:bCs/>
                <w:szCs w:val="21"/>
              </w:rPr>
              <w:t>熔点（</w:t>
            </w:r>
            <w:r>
              <w:rPr>
                <w:rFonts w:hint="eastAsia" w:ascii="宋体" w:hAnsi="宋体" w:cs="宋体"/>
                <w:bCs/>
                <w:szCs w:val="21"/>
              </w:rPr>
              <w:t>℃</w:t>
            </w:r>
            <w:r>
              <w:rPr>
                <w:bCs/>
                <w:szCs w:val="21"/>
              </w:rPr>
              <w:t>）：</w:t>
            </w:r>
          </w:p>
        </w:tc>
        <w:tc>
          <w:tcPr>
            <w:tcW w:w="2871" w:type="dxa"/>
            <w:vAlign w:val="center"/>
          </w:tcPr>
          <w:p>
            <w:pPr>
              <w:spacing w:line="360" w:lineRule="exact"/>
              <w:rPr>
                <w:bCs/>
                <w:szCs w:val="21"/>
              </w:rPr>
            </w:pPr>
            <w:r>
              <w:rPr>
                <w:bCs/>
                <w:szCs w:val="21"/>
              </w:rPr>
              <w:t>&lt;-182.5</w:t>
            </w:r>
            <w:r>
              <w:rPr>
                <w:bCs/>
                <w:szCs w:val="21"/>
                <w:vertAlign w:val="superscript"/>
              </w:rPr>
              <w:t>0</w:t>
            </w:r>
            <w:r>
              <w:rPr>
                <w:bCs/>
                <w:szCs w:val="21"/>
              </w:rPr>
              <w:t>C</w:t>
            </w:r>
          </w:p>
        </w:tc>
        <w:tc>
          <w:tcPr>
            <w:tcW w:w="2401" w:type="dxa"/>
            <w:vAlign w:val="center"/>
          </w:tcPr>
          <w:p>
            <w:pPr>
              <w:spacing w:line="360" w:lineRule="exact"/>
              <w:rPr>
                <w:bCs/>
                <w:szCs w:val="21"/>
              </w:rPr>
            </w:pPr>
            <w:r>
              <w:rPr>
                <w:bCs/>
                <w:szCs w:val="21"/>
              </w:rPr>
              <w:t>相对密度（水＝1）</w:t>
            </w:r>
          </w:p>
        </w:tc>
        <w:tc>
          <w:tcPr>
            <w:tcW w:w="2173" w:type="dxa"/>
            <w:gridSpan w:val="2"/>
            <w:vAlign w:val="center"/>
          </w:tcPr>
          <w:p>
            <w:pPr>
              <w:spacing w:line="360" w:lineRule="exact"/>
              <w:rPr>
                <w:bCs/>
                <w:szCs w:val="21"/>
              </w:rPr>
            </w:pPr>
            <w:r>
              <w:rPr>
                <w:bCs/>
                <w:szCs w:val="21"/>
              </w:rPr>
              <w:t>0.42（-164</w:t>
            </w:r>
            <w:r>
              <w:rPr>
                <w:bCs/>
                <w:szCs w:val="21"/>
                <w:vertAlign w:val="superscript"/>
              </w:rPr>
              <w:t>0</w:t>
            </w:r>
            <w:r>
              <w:rPr>
                <w:bCs/>
                <w:szCs w:val="21"/>
              </w:rPr>
              <w:t>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Cs/>
                <w:szCs w:val="21"/>
              </w:rPr>
            </w:pPr>
            <w:r>
              <w:rPr>
                <w:bCs/>
                <w:szCs w:val="21"/>
              </w:rPr>
              <w:t>闪点（</w:t>
            </w:r>
            <w:r>
              <w:rPr>
                <w:rFonts w:hint="eastAsia" w:ascii="宋体" w:hAnsi="宋体" w:cs="宋体"/>
                <w:bCs/>
                <w:szCs w:val="21"/>
              </w:rPr>
              <w:t>℃</w:t>
            </w:r>
            <w:r>
              <w:rPr>
                <w:bCs/>
                <w:szCs w:val="21"/>
              </w:rPr>
              <w:t>）：</w:t>
            </w:r>
          </w:p>
        </w:tc>
        <w:tc>
          <w:tcPr>
            <w:tcW w:w="2871" w:type="dxa"/>
            <w:vAlign w:val="center"/>
          </w:tcPr>
          <w:p>
            <w:pPr>
              <w:spacing w:line="360" w:lineRule="exact"/>
              <w:rPr>
                <w:bCs/>
                <w:szCs w:val="21"/>
              </w:rPr>
            </w:pPr>
            <w:r>
              <w:rPr>
                <w:bCs/>
                <w:szCs w:val="21"/>
              </w:rPr>
              <w:t>-18842%浓度×60分钟</w:t>
            </w:r>
          </w:p>
        </w:tc>
        <w:tc>
          <w:tcPr>
            <w:tcW w:w="2401" w:type="dxa"/>
            <w:vAlign w:val="center"/>
          </w:tcPr>
          <w:p>
            <w:pPr>
              <w:spacing w:line="360" w:lineRule="exact"/>
              <w:rPr>
                <w:bCs/>
                <w:szCs w:val="21"/>
              </w:rPr>
            </w:pPr>
            <w:r>
              <w:rPr>
                <w:bCs/>
                <w:szCs w:val="21"/>
              </w:rPr>
              <w:t>相对密度（空气=1）</w:t>
            </w:r>
          </w:p>
        </w:tc>
        <w:tc>
          <w:tcPr>
            <w:tcW w:w="2173" w:type="dxa"/>
            <w:gridSpan w:val="2"/>
            <w:vAlign w:val="center"/>
          </w:tcPr>
          <w:p>
            <w:pPr>
              <w:spacing w:line="360" w:lineRule="exact"/>
              <w:rPr>
                <w:bCs/>
                <w:szCs w:val="21"/>
              </w:rPr>
            </w:pPr>
            <w:r>
              <w:rPr>
                <w:bCs/>
                <w:szCs w:val="21"/>
              </w:rPr>
              <w:t>0.55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Cs/>
                <w:szCs w:val="21"/>
              </w:rPr>
            </w:pPr>
            <w:r>
              <w:rPr>
                <w:bCs/>
                <w:szCs w:val="21"/>
              </w:rPr>
              <w:t>最低点火能量</w:t>
            </w:r>
          </w:p>
        </w:tc>
        <w:tc>
          <w:tcPr>
            <w:tcW w:w="2871" w:type="dxa"/>
            <w:vAlign w:val="center"/>
          </w:tcPr>
          <w:p>
            <w:pPr>
              <w:spacing w:line="360" w:lineRule="exact"/>
              <w:rPr>
                <w:bCs/>
                <w:szCs w:val="21"/>
              </w:rPr>
            </w:pPr>
            <w:r>
              <w:rPr>
                <w:bCs/>
                <w:szCs w:val="21"/>
              </w:rPr>
              <w:t>0.28mj</w:t>
            </w:r>
          </w:p>
        </w:tc>
        <w:tc>
          <w:tcPr>
            <w:tcW w:w="2401" w:type="dxa"/>
            <w:vAlign w:val="center"/>
          </w:tcPr>
          <w:p>
            <w:pPr>
              <w:spacing w:line="360" w:lineRule="exact"/>
              <w:rPr>
                <w:bCs/>
                <w:szCs w:val="21"/>
              </w:rPr>
            </w:pPr>
            <w:r>
              <w:rPr>
                <w:bCs/>
                <w:szCs w:val="21"/>
              </w:rPr>
              <w:t>爆炸上限％（V/V）：</w:t>
            </w:r>
          </w:p>
        </w:tc>
        <w:tc>
          <w:tcPr>
            <w:tcW w:w="2173" w:type="dxa"/>
            <w:gridSpan w:val="2"/>
            <w:vAlign w:val="center"/>
          </w:tcPr>
          <w:p>
            <w:pPr>
              <w:spacing w:line="360" w:lineRule="exact"/>
              <w:rPr>
                <w:bCs/>
                <w:szCs w:val="21"/>
              </w:rPr>
            </w:pPr>
            <w:r>
              <w:rPr>
                <w:bCs/>
                <w:szCs w:val="21"/>
              </w:rPr>
              <w:t>15%（体积百分比）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Cs/>
                <w:szCs w:val="21"/>
              </w:rPr>
            </w:pPr>
            <w:r>
              <w:rPr>
                <w:bCs/>
                <w:szCs w:val="21"/>
              </w:rPr>
              <w:t>沸点（</w:t>
            </w:r>
            <w:r>
              <w:rPr>
                <w:rFonts w:hint="eastAsia" w:ascii="宋体" w:hAnsi="宋体" w:cs="宋体"/>
                <w:bCs/>
                <w:szCs w:val="21"/>
              </w:rPr>
              <w:t>℃</w:t>
            </w:r>
            <w:r>
              <w:rPr>
                <w:bCs/>
                <w:szCs w:val="21"/>
              </w:rPr>
              <w:t>）：</w:t>
            </w:r>
          </w:p>
        </w:tc>
        <w:tc>
          <w:tcPr>
            <w:tcW w:w="2871" w:type="dxa"/>
            <w:vAlign w:val="center"/>
          </w:tcPr>
          <w:p>
            <w:pPr>
              <w:spacing w:line="360" w:lineRule="exact"/>
              <w:rPr>
                <w:bCs/>
                <w:szCs w:val="21"/>
              </w:rPr>
            </w:pPr>
            <w:r>
              <w:rPr>
                <w:bCs/>
                <w:szCs w:val="21"/>
              </w:rPr>
              <w:t>-161.5</w:t>
            </w:r>
            <w:r>
              <w:rPr>
                <w:bCs/>
                <w:szCs w:val="21"/>
                <w:vertAlign w:val="superscript"/>
              </w:rPr>
              <w:t>0</w:t>
            </w:r>
            <w:r>
              <w:rPr>
                <w:bCs/>
                <w:szCs w:val="21"/>
              </w:rPr>
              <w:t>C</w:t>
            </w:r>
          </w:p>
        </w:tc>
        <w:tc>
          <w:tcPr>
            <w:tcW w:w="2401" w:type="dxa"/>
            <w:vAlign w:val="center"/>
          </w:tcPr>
          <w:p>
            <w:pPr>
              <w:spacing w:line="360" w:lineRule="exact"/>
              <w:rPr>
                <w:bCs/>
                <w:szCs w:val="21"/>
              </w:rPr>
            </w:pPr>
            <w:r>
              <w:rPr>
                <w:bCs/>
                <w:szCs w:val="21"/>
              </w:rPr>
              <w:t>爆炸下限％（V/V）：</w:t>
            </w:r>
          </w:p>
        </w:tc>
        <w:tc>
          <w:tcPr>
            <w:tcW w:w="2173" w:type="dxa"/>
            <w:gridSpan w:val="2"/>
            <w:vAlign w:val="center"/>
          </w:tcPr>
          <w:p>
            <w:pPr>
              <w:spacing w:line="360" w:lineRule="exact"/>
              <w:rPr>
                <w:bCs/>
                <w:szCs w:val="21"/>
              </w:rPr>
            </w:pPr>
            <w:r>
              <w:rPr>
                <w:bCs/>
                <w:szCs w:val="21"/>
              </w:rPr>
              <w:t>5.15%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Cs/>
                <w:szCs w:val="21"/>
              </w:rPr>
            </w:pPr>
            <w:r>
              <w:rPr>
                <w:bCs/>
                <w:szCs w:val="21"/>
              </w:rPr>
              <w:t>溶解性：</w:t>
            </w:r>
          </w:p>
        </w:tc>
        <w:tc>
          <w:tcPr>
            <w:tcW w:w="7445" w:type="dxa"/>
            <w:gridSpan w:val="4"/>
            <w:vAlign w:val="center"/>
          </w:tcPr>
          <w:p>
            <w:pPr>
              <w:spacing w:line="360" w:lineRule="exact"/>
              <w:rPr>
                <w:bCs/>
                <w:szCs w:val="21"/>
              </w:rPr>
            </w:pPr>
            <w:r>
              <w:rPr>
                <w:bCs/>
                <w:szCs w:val="21"/>
              </w:rPr>
              <w:t>微溶于水、溶于醇、乙醚。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Cs/>
                <w:szCs w:val="21"/>
              </w:rPr>
            </w:pPr>
            <w:r>
              <w:rPr>
                <w:bCs/>
                <w:szCs w:val="21"/>
              </w:rPr>
              <w:t>主要用途：</w:t>
            </w:r>
          </w:p>
        </w:tc>
        <w:tc>
          <w:tcPr>
            <w:tcW w:w="7445" w:type="dxa"/>
            <w:gridSpan w:val="4"/>
            <w:vAlign w:val="center"/>
          </w:tcPr>
          <w:p>
            <w:pPr>
              <w:spacing w:line="360" w:lineRule="exact"/>
              <w:rPr>
                <w:bCs/>
                <w:szCs w:val="21"/>
              </w:rPr>
            </w:pPr>
            <w:r>
              <w:rPr>
                <w:bCs/>
                <w:szCs w:val="21"/>
              </w:rPr>
              <w:t>主要用作燃料和用于炭黑、氢、乙炔、甲醛等的制造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184" w:type="dxa"/>
            <w:gridSpan w:val="5"/>
            <w:vAlign w:val="center"/>
          </w:tcPr>
          <w:p>
            <w:pPr>
              <w:spacing w:line="360" w:lineRule="exact"/>
              <w:rPr>
                <w:bCs/>
                <w:szCs w:val="21"/>
              </w:rPr>
            </w:pPr>
            <w:r>
              <w:rPr>
                <w:bCs/>
                <w:szCs w:val="21"/>
              </w:rPr>
              <w:t>第三部分   稳定性及化学活性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Cs/>
                <w:szCs w:val="21"/>
              </w:rPr>
            </w:pPr>
            <w:r>
              <w:rPr>
                <w:bCs/>
                <w:szCs w:val="21"/>
              </w:rPr>
              <w:t>稳定性：</w:t>
            </w:r>
          </w:p>
        </w:tc>
        <w:tc>
          <w:tcPr>
            <w:tcW w:w="2871" w:type="dxa"/>
            <w:vAlign w:val="center"/>
          </w:tcPr>
          <w:p>
            <w:pPr>
              <w:spacing w:line="360" w:lineRule="exact"/>
              <w:rPr>
                <w:bCs/>
                <w:szCs w:val="21"/>
              </w:rPr>
            </w:pPr>
            <w:r>
              <w:rPr>
                <w:bCs/>
                <w:szCs w:val="21"/>
              </w:rPr>
              <w:t>稳定</w:t>
            </w:r>
          </w:p>
        </w:tc>
        <w:tc>
          <w:tcPr>
            <w:tcW w:w="2421" w:type="dxa"/>
            <w:gridSpan w:val="2"/>
            <w:vAlign w:val="center"/>
          </w:tcPr>
          <w:p>
            <w:pPr>
              <w:spacing w:line="360" w:lineRule="exact"/>
              <w:rPr>
                <w:bCs/>
                <w:szCs w:val="21"/>
              </w:rPr>
            </w:pPr>
            <w:r>
              <w:rPr>
                <w:bCs/>
                <w:szCs w:val="21"/>
              </w:rPr>
              <w:t>避免接触的条件：</w:t>
            </w:r>
          </w:p>
        </w:tc>
        <w:tc>
          <w:tcPr>
            <w:tcW w:w="2153" w:type="dxa"/>
            <w:vAlign w:val="center"/>
          </w:tcPr>
          <w:p>
            <w:pPr>
              <w:spacing w:line="360" w:lineRule="exact"/>
              <w:rPr>
                <w:bCs/>
                <w:szCs w:val="21"/>
              </w:rPr>
            </w:pPr>
            <w:r>
              <w:rPr>
                <w:bCs/>
                <w:szCs w:val="21"/>
              </w:rPr>
              <w:t>明火、高热。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Cs/>
                <w:szCs w:val="21"/>
              </w:rPr>
            </w:pPr>
            <w:r>
              <w:rPr>
                <w:bCs/>
                <w:szCs w:val="21"/>
              </w:rPr>
              <w:t>禁配物：</w:t>
            </w:r>
          </w:p>
        </w:tc>
        <w:tc>
          <w:tcPr>
            <w:tcW w:w="2871" w:type="dxa"/>
            <w:vAlign w:val="center"/>
          </w:tcPr>
          <w:p>
            <w:pPr>
              <w:spacing w:line="360" w:lineRule="exact"/>
              <w:rPr>
                <w:bCs/>
                <w:szCs w:val="21"/>
              </w:rPr>
            </w:pPr>
            <w:r>
              <w:rPr>
                <w:bCs/>
                <w:szCs w:val="21"/>
              </w:rPr>
              <w:t>强氧化剂</w:t>
            </w:r>
          </w:p>
        </w:tc>
        <w:tc>
          <w:tcPr>
            <w:tcW w:w="2421" w:type="dxa"/>
            <w:gridSpan w:val="2"/>
            <w:vAlign w:val="center"/>
          </w:tcPr>
          <w:p>
            <w:pPr>
              <w:spacing w:line="360" w:lineRule="exact"/>
              <w:rPr>
                <w:bCs/>
                <w:szCs w:val="21"/>
              </w:rPr>
            </w:pPr>
            <w:r>
              <w:rPr>
                <w:bCs/>
                <w:szCs w:val="21"/>
              </w:rPr>
              <w:t>聚合危害：</w:t>
            </w:r>
          </w:p>
        </w:tc>
        <w:tc>
          <w:tcPr>
            <w:tcW w:w="2153" w:type="dxa"/>
            <w:vAlign w:val="center"/>
          </w:tcPr>
          <w:p>
            <w:pPr>
              <w:spacing w:line="360" w:lineRule="exact"/>
              <w:rPr>
                <w:bCs/>
                <w:szCs w:val="21"/>
              </w:rPr>
            </w:pPr>
            <w:r>
              <w:rPr>
                <w:bCs/>
                <w:szCs w:val="21"/>
              </w:rPr>
              <w:t>不聚合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Cs/>
                <w:szCs w:val="21"/>
              </w:rPr>
            </w:pPr>
            <w:r>
              <w:rPr>
                <w:bCs/>
                <w:szCs w:val="21"/>
              </w:rPr>
              <w:t>分解产物：</w:t>
            </w:r>
          </w:p>
        </w:tc>
        <w:tc>
          <w:tcPr>
            <w:tcW w:w="7445" w:type="dxa"/>
            <w:gridSpan w:val="4"/>
            <w:vAlign w:val="center"/>
          </w:tcPr>
          <w:p>
            <w:pPr>
              <w:spacing w:line="360" w:lineRule="exact"/>
              <w:rPr>
                <w:bCs/>
                <w:szCs w:val="21"/>
              </w:rPr>
            </w:pPr>
            <w:r>
              <w:rPr>
                <w:bCs/>
                <w:szCs w:val="21"/>
              </w:rPr>
              <w:t>一氧化碳、二氧化碳。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184" w:type="dxa"/>
            <w:gridSpan w:val="5"/>
            <w:vAlign w:val="center"/>
          </w:tcPr>
          <w:p>
            <w:pPr>
              <w:spacing w:line="360" w:lineRule="exact"/>
              <w:rPr>
                <w:bCs/>
                <w:szCs w:val="21"/>
              </w:rPr>
            </w:pPr>
            <w:r>
              <w:rPr>
                <w:bCs/>
                <w:szCs w:val="21"/>
              </w:rPr>
              <w:t>第四部分  毒理学资料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Cs/>
                <w:szCs w:val="21"/>
              </w:rPr>
            </w:pPr>
            <w:r>
              <w:rPr>
                <w:bCs/>
                <w:szCs w:val="21"/>
              </w:rPr>
              <w:t>急性毒性：</w:t>
            </w:r>
          </w:p>
        </w:tc>
        <w:tc>
          <w:tcPr>
            <w:tcW w:w="7445" w:type="dxa"/>
            <w:gridSpan w:val="4"/>
            <w:vAlign w:val="center"/>
          </w:tcPr>
          <w:p>
            <w:pPr>
              <w:spacing w:line="360" w:lineRule="exact"/>
              <w:rPr>
                <w:bCs/>
                <w:szCs w:val="21"/>
              </w:rPr>
            </w:pPr>
            <w:r>
              <w:rPr>
                <w:bCs/>
                <w:szCs w:val="21"/>
              </w:rPr>
              <w:t>小鼠系入42%浓度×60分钟，麻醉作用；兔吸入42%浓度×60分钟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Cs/>
                <w:szCs w:val="21"/>
              </w:rPr>
            </w:pPr>
            <w:r>
              <w:rPr>
                <w:bCs/>
                <w:szCs w:val="21"/>
              </w:rPr>
              <w:t>毒性：</w:t>
            </w:r>
          </w:p>
        </w:tc>
        <w:tc>
          <w:tcPr>
            <w:tcW w:w="7445" w:type="dxa"/>
            <w:gridSpan w:val="4"/>
            <w:vAlign w:val="center"/>
          </w:tcPr>
          <w:p>
            <w:pPr>
              <w:spacing w:line="360" w:lineRule="exact"/>
              <w:rPr>
                <w:bCs/>
                <w:szCs w:val="21"/>
              </w:rPr>
            </w:pPr>
            <w:r>
              <w:rPr>
                <w:bCs/>
                <w:szCs w:val="21"/>
              </w:rPr>
              <w:t>属微毒类。允许气体安全地扩散到大气中或当作燃料使用。有单纯性窒息作用，在高浓度时因缺氧窒息而引起中毒。空气中达到25%~30%出现头昏、呼吸加速、运动失调。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739" w:type="dxa"/>
            <w:vAlign w:val="center"/>
          </w:tcPr>
          <w:p>
            <w:pPr>
              <w:spacing w:line="360" w:lineRule="exact"/>
              <w:rPr>
                <w:bCs/>
                <w:szCs w:val="21"/>
              </w:rPr>
            </w:pPr>
            <w:r>
              <w:rPr>
                <w:bCs/>
                <w:szCs w:val="21"/>
              </w:rPr>
              <w:t>最高容许浓度</w:t>
            </w:r>
          </w:p>
        </w:tc>
        <w:tc>
          <w:tcPr>
            <w:tcW w:w="7445" w:type="dxa"/>
            <w:gridSpan w:val="4"/>
            <w:vAlign w:val="center"/>
          </w:tcPr>
          <w:p>
            <w:pPr>
              <w:spacing w:line="360" w:lineRule="exact"/>
              <w:rPr>
                <w:bCs/>
                <w:szCs w:val="21"/>
              </w:rPr>
            </w:pPr>
            <w:r>
              <w:rPr>
                <w:bCs/>
                <w:szCs w:val="21"/>
              </w:rPr>
              <w:t>300mg/m</w:t>
            </w:r>
            <w:r>
              <w:rPr>
                <w:bCs/>
                <w:szCs w:val="21"/>
                <w:vertAlign w:val="superscript"/>
              </w:rPr>
              <w:t>3</w:t>
            </w:r>
          </w:p>
        </w:tc>
      </w:tr>
    </w:tbl>
    <w:p>
      <w:pPr>
        <w:spacing w:line="520" w:lineRule="exact"/>
        <w:ind w:firstLine="480" w:firstLineChars="200"/>
        <w:rPr>
          <w:bCs/>
          <w:sz w:val="24"/>
          <w:szCs w:val="28"/>
        </w:rPr>
      </w:pPr>
      <w:r>
        <w:rPr>
          <w:bCs/>
          <w:sz w:val="24"/>
          <w:szCs w:val="28"/>
        </w:rPr>
        <w:t>由上表可见，本工程所涉及的危险性物质主要危险特性为易燃、爆炸性。</w:t>
      </w:r>
    </w:p>
    <w:p>
      <w:pPr>
        <w:tabs>
          <w:tab w:val="right" w:leader="dot" w:pos="8647"/>
        </w:tabs>
        <w:adjustRightInd w:val="0"/>
        <w:snapToGrid w:val="0"/>
        <w:spacing w:line="500" w:lineRule="exact"/>
        <w:rPr>
          <w:bCs/>
          <w:color w:val="000000"/>
          <w:sz w:val="24"/>
        </w:rPr>
      </w:pPr>
      <w:r>
        <w:rPr>
          <w:bCs/>
          <w:color w:val="000000"/>
          <w:sz w:val="24"/>
        </w:rPr>
        <w:t>4.2.7.2.2 环境风险事故分析</w:t>
      </w:r>
    </w:p>
    <w:p>
      <w:pPr>
        <w:tabs>
          <w:tab w:val="left" w:pos="2709"/>
        </w:tabs>
        <w:spacing w:line="520" w:lineRule="exact"/>
        <w:ind w:firstLine="480" w:firstLineChars="200"/>
        <w:rPr>
          <w:bCs/>
          <w:sz w:val="24"/>
          <w:szCs w:val="28"/>
        </w:rPr>
      </w:pPr>
      <w:r>
        <w:rPr>
          <w:bCs/>
          <w:sz w:val="24"/>
          <w:szCs w:val="28"/>
        </w:rPr>
        <w:t>对关键单元的重点部位及其薄弱环节分析，见表4-31。</w:t>
      </w:r>
    </w:p>
    <w:p>
      <w:pPr>
        <w:tabs>
          <w:tab w:val="left" w:pos="2709"/>
        </w:tabs>
        <w:spacing w:line="520" w:lineRule="exact"/>
        <w:jc w:val="center"/>
        <w:rPr>
          <w:b/>
          <w:sz w:val="24"/>
          <w:szCs w:val="28"/>
        </w:rPr>
      </w:pPr>
      <w:r>
        <w:rPr>
          <w:b/>
          <w:sz w:val="24"/>
          <w:szCs w:val="28"/>
        </w:rPr>
        <w:t>表4-31 重点部位及其薄弱环节</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277"/>
        <w:gridCol w:w="1707"/>
        <w:gridCol w:w="1277"/>
        <w:gridCol w:w="1764"/>
        <w:gridCol w:w="19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71" w:type="dxa"/>
            <w:vMerge w:val="restart"/>
            <w:vAlign w:val="center"/>
          </w:tcPr>
          <w:p>
            <w:pPr>
              <w:tabs>
                <w:tab w:val="left" w:pos="2709"/>
              </w:tabs>
              <w:jc w:val="center"/>
              <w:rPr>
                <w:bCs/>
                <w:sz w:val="24"/>
              </w:rPr>
            </w:pPr>
            <w:r>
              <w:rPr>
                <w:bCs/>
                <w:sz w:val="24"/>
              </w:rPr>
              <w:t>重点</w:t>
            </w:r>
          </w:p>
          <w:p>
            <w:pPr>
              <w:tabs>
                <w:tab w:val="left" w:pos="2709"/>
              </w:tabs>
              <w:jc w:val="center"/>
              <w:rPr>
                <w:bCs/>
                <w:sz w:val="24"/>
              </w:rPr>
            </w:pPr>
            <w:r>
              <w:rPr>
                <w:bCs/>
                <w:sz w:val="24"/>
              </w:rPr>
              <w:t>部位</w:t>
            </w:r>
          </w:p>
        </w:tc>
        <w:tc>
          <w:tcPr>
            <w:tcW w:w="1277" w:type="dxa"/>
            <w:vMerge w:val="restart"/>
            <w:vAlign w:val="center"/>
          </w:tcPr>
          <w:p>
            <w:pPr>
              <w:tabs>
                <w:tab w:val="left" w:pos="2709"/>
              </w:tabs>
              <w:jc w:val="center"/>
              <w:rPr>
                <w:bCs/>
                <w:sz w:val="24"/>
              </w:rPr>
            </w:pPr>
            <w:r>
              <w:rPr>
                <w:bCs/>
                <w:sz w:val="24"/>
              </w:rPr>
              <w:t>典型设备及特点</w:t>
            </w:r>
          </w:p>
        </w:tc>
        <w:tc>
          <w:tcPr>
            <w:tcW w:w="1707" w:type="dxa"/>
            <w:vMerge w:val="restart"/>
            <w:vAlign w:val="center"/>
          </w:tcPr>
          <w:p>
            <w:pPr>
              <w:tabs>
                <w:tab w:val="left" w:pos="2709"/>
              </w:tabs>
              <w:jc w:val="center"/>
              <w:rPr>
                <w:bCs/>
                <w:sz w:val="24"/>
              </w:rPr>
            </w:pPr>
            <w:r>
              <w:rPr>
                <w:bCs/>
                <w:sz w:val="24"/>
              </w:rPr>
              <w:t>薄弱环节</w:t>
            </w:r>
          </w:p>
        </w:tc>
        <w:tc>
          <w:tcPr>
            <w:tcW w:w="4991" w:type="dxa"/>
            <w:gridSpan w:val="3"/>
            <w:vAlign w:val="center"/>
          </w:tcPr>
          <w:p>
            <w:pPr>
              <w:tabs>
                <w:tab w:val="left" w:pos="2709"/>
              </w:tabs>
              <w:jc w:val="center"/>
              <w:rPr>
                <w:bCs/>
                <w:sz w:val="24"/>
              </w:rPr>
            </w:pPr>
            <w:r>
              <w:rPr>
                <w:bCs/>
                <w:sz w:val="24"/>
              </w:rPr>
              <w:t>可能发生的事故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71" w:type="dxa"/>
            <w:vMerge w:val="continue"/>
            <w:vAlign w:val="center"/>
          </w:tcPr>
          <w:p>
            <w:pPr>
              <w:tabs>
                <w:tab w:val="left" w:pos="2709"/>
              </w:tabs>
              <w:jc w:val="center"/>
              <w:rPr>
                <w:bCs/>
                <w:sz w:val="24"/>
              </w:rPr>
            </w:pPr>
          </w:p>
        </w:tc>
        <w:tc>
          <w:tcPr>
            <w:tcW w:w="1277" w:type="dxa"/>
            <w:vMerge w:val="continue"/>
            <w:vAlign w:val="center"/>
          </w:tcPr>
          <w:p>
            <w:pPr>
              <w:tabs>
                <w:tab w:val="left" w:pos="2709"/>
              </w:tabs>
              <w:jc w:val="center"/>
              <w:rPr>
                <w:bCs/>
                <w:sz w:val="24"/>
              </w:rPr>
            </w:pPr>
          </w:p>
        </w:tc>
        <w:tc>
          <w:tcPr>
            <w:tcW w:w="1707" w:type="dxa"/>
            <w:vMerge w:val="continue"/>
            <w:vAlign w:val="center"/>
          </w:tcPr>
          <w:p>
            <w:pPr>
              <w:tabs>
                <w:tab w:val="left" w:pos="2709"/>
              </w:tabs>
              <w:jc w:val="center"/>
              <w:rPr>
                <w:bCs/>
                <w:sz w:val="24"/>
              </w:rPr>
            </w:pPr>
          </w:p>
        </w:tc>
        <w:tc>
          <w:tcPr>
            <w:tcW w:w="1277" w:type="dxa"/>
            <w:vAlign w:val="center"/>
          </w:tcPr>
          <w:p>
            <w:pPr>
              <w:tabs>
                <w:tab w:val="left" w:pos="2709"/>
              </w:tabs>
              <w:jc w:val="center"/>
              <w:rPr>
                <w:bCs/>
                <w:sz w:val="24"/>
              </w:rPr>
            </w:pPr>
            <w:r>
              <w:rPr>
                <w:bCs/>
                <w:sz w:val="24"/>
              </w:rPr>
              <w:t>原因</w:t>
            </w:r>
          </w:p>
        </w:tc>
        <w:tc>
          <w:tcPr>
            <w:tcW w:w="1764" w:type="dxa"/>
            <w:vAlign w:val="center"/>
          </w:tcPr>
          <w:p>
            <w:pPr>
              <w:tabs>
                <w:tab w:val="left" w:pos="2709"/>
              </w:tabs>
              <w:jc w:val="center"/>
              <w:rPr>
                <w:bCs/>
                <w:sz w:val="24"/>
              </w:rPr>
            </w:pPr>
            <w:r>
              <w:rPr>
                <w:bCs/>
                <w:sz w:val="24"/>
              </w:rPr>
              <w:t>类型</w:t>
            </w:r>
          </w:p>
        </w:tc>
        <w:tc>
          <w:tcPr>
            <w:tcW w:w="1950" w:type="dxa"/>
            <w:vAlign w:val="center"/>
          </w:tcPr>
          <w:p>
            <w:pPr>
              <w:tabs>
                <w:tab w:val="left" w:pos="2709"/>
              </w:tabs>
              <w:jc w:val="center"/>
              <w:rPr>
                <w:bCs/>
                <w:sz w:val="24"/>
              </w:rPr>
            </w:pPr>
            <w:r>
              <w:rPr>
                <w:bCs/>
                <w:sz w:val="24"/>
              </w:rPr>
              <w:t>后果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Align w:val="center"/>
          </w:tcPr>
          <w:p>
            <w:pPr>
              <w:tabs>
                <w:tab w:val="left" w:pos="2709"/>
              </w:tabs>
              <w:jc w:val="center"/>
              <w:rPr>
                <w:bCs/>
                <w:sz w:val="24"/>
              </w:rPr>
            </w:pPr>
            <w:r>
              <w:rPr>
                <w:bCs/>
                <w:sz w:val="24"/>
              </w:rPr>
              <w:t>发酵</w:t>
            </w:r>
          </w:p>
        </w:tc>
        <w:tc>
          <w:tcPr>
            <w:tcW w:w="1277" w:type="dxa"/>
            <w:vAlign w:val="center"/>
          </w:tcPr>
          <w:p>
            <w:pPr>
              <w:tabs>
                <w:tab w:val="left" w:pos="2709"/>
              </w:tabs>
              <w:jc w:val="center"/>
              <w:rPr>
                <w:bCs/>
                <w:szCs w:val="21"/>
              </w:rPr>
            </w:pPr>
            <w:r>
              <w:rPr>
                <w:bCs/>
                <w:szCs w:val="21"/>
              </w:rPr>
              <w:t>盖泻湖沼气池</w:t>
            </w:r>
          </w:p>
        </w:tc>
        <w:tc>
          <w:tcPr>
            <w:tcW w:w="1707" w:type="dxa"/>
            <w:vAlign w:val="center"/>
          </w:tcPr>
          <w:p>
            <w:pPr>
              <w:tabs>
                <w:tab w:val="left" w:pos="2709"/>
              </w:tabs>
              <w:jc w:val="center"/>
              <w:rPr>
                <w:bCs/>
                <w:szCs w:val="21"/>
              </w:rPr>
            </w:pPr>
            <w:r>
              <w:rPr>
                <w:bCs/>
                <w:szCs w:val="21"/>
              </w:rPr>
              <w:t>盖泻湖沼气池、管线</w:t>
            </w:r>
          </w:p>
        </w:tc>
        <w:tc>
          <w:tcPr>
            <w:tcW w:w="1277" w:type="dxa"/>
            <w:vAlign w:val="center"/>
          </w:tcPr>
          <w:p>
            <w:pPr>
              <w:tabs>
                <w:tab w:val="left" w:pos="2709"/>
              </w:tabs>
              <w:jc w:val="center"/>
              <w:rPr>
                <w:bCs/>
                <w:szCs w:val="21"/>
              </w:rPr>
            </w:pPr>
            <w:r>
              <w:rPr>
                <w:bCs/>
                <w:szCs w:val="21"/>
              </w:rPr>
              <w:t>维护保养不当</w:t>
            </w:r>
          </w:p>
        </w:tc>
        <w:tc>
          <w:tcPr>
            <w:tcW w:w="1764" w:type="dxa"/>
            <w:vAlign w:val="center"/>
          </w:tcPr>
          <w:p>
            <w:pPr>
              <w:tabs>
                <w:tab w:val="left" w:pos="2709"/>
              </w:tabs>
              <w:jc w:val="center"/>
              <w:rPr>
                <w:bCs/>
                <w:szCs w:val="21"/>
              </w:rPr>
            </w:pPr>
            <w:r>
              <w:rPr>
                <w:bCs/>
                <w:szCs w:val="21"/>
              </w:rPr>
              <w:t>盖泻湖沼气池破裂、管线损坏</w:t>
            </w:r>
          </w:p>
        </w:tc>
        <w:tc>
          <w:tcPr>
            <w:tcW w:w="1950" w:type="dxa"/>
            <w:vAlign w:val="center"/>
          </w:tcPr>
          <w:p>
            <w:pPr>
              <w:tabs>
                <w:tab w:val="left" w:pos="2709"/>
              </w:tabs>
              <w:jc w:val="center"/>
              <w:rPr>
                <w:bCs/>
                <w:szCs w:val="21"/>
              </w:rPr>
            </w:pPr>
            <w:r>
              <w:rPr>
                <w:bCs/>
                <w:szCs w:val="21"/>
              </w:rPr>
              <w:t>沼气泄漏，遇火源发生火灾、爆炸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Align w:val="center"/>
          </w:tcPr>
          <w:p>
            <w:pPr>
              <w:tabs>
                <w:tab w:val="left" w:pos="2709"/>
              </w:tabs>
              <w:jc w:val="center"/>
              <w:rPr>
                <w:bCs/>
                <w:sz w:val="24"/>
              </w:rPr>
            </w:pPr>
            <w:r>
              <w:rPr>
                <w:bCs/>
                <w:sz w:val="24"/>
              </w:rPr>
              <w:t>运输</w:t>
            </w:r>
          </w:p>
        </w:tc>
        <w:tc>
          <w:tcPr>
            <w:tcW w:w="1277" w:type="dxa"/>
            <w:vAlign w:val="center"/>
          </w:tcPr>
          <w:p>
            <w:pPr>
              <w:tabs>
                <w:tab w:val="left" w:pos="2709"/>
              </w:tabs>
              <w:jc w:val="center"/>
              <w:rPr>
                <w:bCs/>
                <w:szCs w:val="21"/>
              </w:rPr>
            </w:pPr>
            <w:r>
              <w:rPr>
                <w:bCs/>
                <w:szCs w:val="21"/>
              </w:rPr>
              <w:t>管线</w:t>
            </w:r>
          </w:p>
        </w:tc>
        <w:tc>
          <w:tcPr>
            <w:tcW w:w="1707" w:type="dxa"/>
            <w:vAlign w:val="center"/>
          </w:tcPr>
          <w:p>
            <w:pPr>
              <w:tabs>
                <w:tab w:val="left" w:pos="2709"/>
              </w:tabs>
              <w:jc w:val="center"/>
              <w:rPr>
                <w:bCs/>
                <w:szCs w:val="21"/>
              </w:rPr>
            </w:pPr>
            <w:r>
              <w:rPr>
                <w:bCs/>
                <w:szCs w:val="21"/>
              </w:rPr>
              <w:t>管线</w:t>
            </w:r>
          </w:p>
        </w:tc>
        <w:tc>
          <w:tcPr>
            <w:tcW w:w="1277" w:type="dxa"/>
            <w:vAlign w:val="center"/>
          </w:tcPr>
          <w:p>
            <w:pPr>
              <w:tabs>
                <w:tab w:val="left" w:pos="2709"/>
              </w:tabs>
              <w:jc w:val="center"/>
              <w:rPr>
                <w:bCs/>
                <w:szCs w:val="21"/>
              </w:rPr>
            </w:pPr>
            <w:r>
              <w:rPr>
                <w:bCs/>
                <w:szCs w:val="21"/>
              </w:rPr>
              <w:t>维护保养不当</w:t>
            </w:r>
          </w:p>
        </w:tc>
        <w:tc>
          <w:tcPr>
            <w:tcW w:w="1764" w:type="dxa"/>
            <w:vAlign w:val="center"/>
          </w:tcPr>
          <w:p>
            <w:pPr>
              <w:tabs>
                <w:tab w:val="left" w:pos="2709"/>
              </w:tabs>
              <w:jc w:val="center"/>
              <w:rPr>
                <w:bCs/>
                <w:szCs w:val="21"/>
              </w:rPr>
            </w:pPr>
            <w:r>
              <w:rPr>
                <w:bCs/>
                <w:szCs w:val="21"/>
              </w:rPr>
              <w:t>管线损坏，接口不严</w:t>
            </w:r>
          </w:p>
        </w:tc>
        <w:tc>
          <w:tcPr>
            <w:tcW w:w="1950" w:type="dxa"/>
            <w:vAlign w:val="center"/>
          </w:tcPr>
          <w:p>
            <w:pPr>
              <w:tabs>
                <w:tab w:val="left" w:pos="2709"/>
              </w:tabs>
              <w:jc w:val="center"/>
              <w:rPr>
                <w:bCs/>
                <w:szCs w:val="21"/>
              </w:rPr>
            </w:pPr>
            <w:r>
              <w:rPr>
                <w:bCs/>
                <w:szCs w:val="21"/>
              </w:rPr>
              <w:t>沼气泄漏，遇火源发生火灾、爆炸</w:t>
            </w:r>
          </w:p>
        </w:tc>
      </w:tr>
    </w:tbl>
    <w:p>
      <w:pPr>
        <w:tabs>
          <w:tab w:val="left" w:pos="2709"/>
        </w:tabs>
        <w:spacing w:line="520" w:lineRule="exact"/>
        <w:ind w:firstLine="480" w:firstLineChars="200"/>
        <w:rPr>
          <w:bCs/>
          <w:sz w:val="24"/>
        </w:rPr>
      </w:pPr>
      <w:r>
        <w:rPr>
          <w:bCs/>
          <w:sz w:val="24"/>
        </w:rPr>
        <w:t>火灾爆炸事故的主要原因：制度不健全或者不执行；工艺设计和技术缺陷；设备缺陷；违反操作规程或者违章指挥；缺乏安全意识和防火防爆技术知识；缺乏检查和维修保养；引火源控制不当；沼气使用不当。</w:t>
      </w:r>
    </w:p>
    <w:p>
      <w:pPr>
        <w:tabs>
          <w:tab w:val="right" w:leader="dot" w:pos="8647"/>
        </w:tabs>
        <w:adjustRightInd w:val="0"/>
        <w:snapToGrid w:val="0"/>
        <w:spacing w:line="500" w:lineRule="exact"/>
        <w:rPr>
          <w:bCs/>
          <w:color w:val="000000"/>
          <w:sz w:val="24"/>
        </w:rPr>
      </w:pPr>
      <w:r>
        <w:rPr>
          <w:bCs/>
          <w:color w:val="000000"/>
          <w:sz w:val="24"/>
        </w:rPr>
        <w:t>4.2.7.2.3环境风险评价等级</w:t>
      </w:r>
    </w:p>
    <w:p>
      <w:pPr>
        <w:tabs>
          <w:tab w:val="left" w:pos="2709"/>
        </w:tabs>
        <w:spacing w:line="520" w:lineRule="exact"/>
        <w:ind w:firstLine="480" w:firstLineChars="200"/>
        <w:rPr>
          <w:bCs/>
          <w:sz w:val="24"/>
        </w:rPr>
      </w:pPr>
      <w:r>
        <w:rPr>
          <w:bCs/>
          <w:sz w:val="24"/>
        </w:rPr>
        <w:t>根据《建设项目环境风险评价技术导则》（HJ169-2018），环境风险评价工作等级划分为一级、二级、三级。根据建设项目涉及的物质及工艺系统危险性和所在地的环境敏感性确定环境风险潜势，按照表1确定评价工作等级。风险潜势为</w:t>
      </w:r>
      <w:r>
        <w:rPr>
          <w:rFonts w:hint="eastAsia" w:ascii="宋体" w:hAnsi="宋体" w:cs="宋体"/>
          <w:bCs/>
          <w:sz w:val="24"/>
        </w:rPr>
        <w:t>Ⅳ</w:t>
      </w:r>
      <w:r>
        <w:rPr>
          <w:bCs/>
          <w:sz w:val="24"/>
        </w:rPr>
        <w:t>及以上，进行一级评价；风险潜势为</w:t>
      </w:r>
      <w:r>
        <w:rPr>
          <w:rFonts w:hint="eastAsia" w:ascii="宋体" w:hAnsi="宋体" w:cs="宋体"/>
          <w:bCs/>
          <w:sz w:val="24"/>
        </w:rPr>
        <w:t>Ⅲ</w:t>
      </w:r>
      <w:r>
        <w:rPr>
          <w:bCs/>
          <w:sz w:val="24"/>
        </w:rPr>
        <w:t>，进行二级评价；风险潜势为</w:t>
      </w:r>
      <w:r>
        <w:rPr>
          <w:rFonts w:hint="eastAsia" w:ascii="宋体" w:hAnsi="宋体" w:cs="宋体"/>
          <w:bCs/>
          <w:sz w:val="24"/>
        </w:rPr>
        <w:t>Ⅱ</w:t>
      </w:r>
      <w:r>
        <w:rPr>
          <w:bCs/>
          <w:sz w:val="24"/>
        </w:rPr>
        <w:t>，进行三级评价；风险潜 势为</w:t>
      </w:r>
      <w:r>
        <w:rPr>
          <w:rFonts w:hint="eastAsia" w:ascii="宋体" w:hAnsi="宋体" w:cs="宋体"/>
          <w:bCs/>
          <w:sz w:val="24"/>
        </w:rPr>
        <w:t>Ⅰ</w:t>
      </w:r>
      <w:r>
        <w:rPr>
          <w:bCs/>
          <w:sz w:val="24"/>
        </w:rPr>
        <w:t>，可开展简单分析。评价级别见下表4-32。</w:t>
      </w:r>
    </w:p>
    <w:p>
      <w:pPr>
        <w:adjustRightInd w:val="0"/>
        <w:snapToGrid w:val="0"/>
        <w:spacing w:line="520" w:lineRule="exact"/>
        <w:jc w:val="center"/>
        <w:rPr>
          <w:b/>
          <w:sz w:val="24"/>
        </w:rPr>
      </w:pPr>
      <w:r>
        <w:rPr>
          <w:b/>
          <w:sz w:val="24"/>
        </w:rPr>
        <w:t>表4-32  评价工作等级划分</w:t>
      </w:r>
    </w:p>
    <w:tbl>
      <w:tblPr>
        <w:tblStyle w:val="44"/>
        <w:tblW w:w="85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1568"/>
        <w:gridCol w:w="1546"/>
        <w:gridCol w:w="2063"/>
        <w:gridCol w:w="13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8" w:type="dxa"/>
            <w:tcBorders>
              <w:top w:val="single" w:color="auto" w:sz="4" w:space="0"/>
              <w:left w:val="single" w:color="auto" w:sz="12" w:space="0"/>
              <w:bottom w:val="single" w:color="auto" w:sz="4" w:space="0"/>
            </w:tcBorders>
            <w:vAlign w:val="center"/>
          </w:tcPr>
          <w:p>
            <w:pPr>
              <w:pStyle w:val="22"/>
              <w:snapToGrid w:val="0"/>
              <w:jc w:val="center"/>
              <w:rPr>
                <w:rFonts w:hAnsi="宋体" w:cs="宋体"/>
                <w:bCs/>
                <w:sz w:val="21"/>
              </w:rPr>
            </w:pPr>
            <w:r>
              <w:rPr>
                <w:rFonts w:hint="eastAsia" w:hAnsi="宋体" w:cs="宋体"/>
                <w:bCs/>
                <w:sz w:val="21"/>
              </w:rPr>
              <w:t>环境风险潜势</w:t>
            </w:r>
          </w:p>
        </w:tc>
        <w:tc>
          <w:tcPr>
            <w:tcW w:w="1568" w:type="dxa"/>
            <w:tcBorders>
              <w:top w:val="single" w:color="auto" w:sz="4" w:space="0"/>
              <w:bottom w:val="single" w:color="auto" w:sz="4" w:space="0"/>
            </w:tcBorders>
            <w:vAlign w:val="center"/>
          </w:tcPr>
          <w:p>
            <w:pPr>
              <w:pStyle w:val="22"/>
              <w:snapToGrid w:val="0"/>
              <w:jc w:val="center"/>
              <w:rPr>
                <w:rFonts w:hAnsi="宋体" w:cs="宋体"/>
                <w:bCs/>
                <w:sz w:val="21"/>
              </w:rPr>
            </w:pPr>
            <w:r>
              <w:rPr>
                <w:rFonts w:hint="eastAsia" w:hAnsi="宋体" w:cs="宋体"/>
                <w:bCs/>
                <w:sz w:val="21"/>
              </w:rPr>
              <w:t>Ⅳ、Ⅳ+</w:t>
            </w:r>
          </w:p>
        </w:tc>
        <w:tc>
          <w:tcPr>
            <w:tcW w:w="1546" w:type="dxa"/>
            <w:tcBorders>
              <w:top w:val="single" w:color="auto" w:sz="4" w:space="0"/>
              <w:bottom w:val="single" w:color="auto" w:sz="4" w:space="0"/>
            </w:tcBorders>
            <w:vAlign w:val="center"/>
          </w:tcPr>
          <w:p>
            <w:pPr>
              <w:pStyle w:val="22"/>
              <w:snapToGrid w:val="0"/>
              <w:jc w:val="center"/>
              <w:rPr>
                <w:rFonts w:hAnsi="宋体" w:cs="宋体"/>
                <w:bCs/>
                <w:sz w:val="21"/>
              </w:rPr>
            </w:pPr>
            <w:r>
              <w:rPr>
                <w:rFonts w:hint="eastAsia" w:hAnsi="宋体" w:cs="宋体"/>
                <w:bCs/>
                <w:sz w:val="21"/>
              </w:rPr>
              <w:t>Ⅲ</w:t>
            </w:r>
          </w:p>
        </w:tc>
        <w:tc>
          <w:tcPr>
            <w:tcW w:w="2063" w:type="dxa"/>
            <w:tcBorders>
              <w:top w:val="single" w:color="auto" w:sz="4" w:space="0"/>
              <w:bottom w:val="single" w:color="auto" w:sz="4" w:space="0"/>
            </w:tcBorders>
            <w:vAlign w:val="center"/>
          </w:tcPr>
          <w:p>
            <w:pPr>
              <w:pStyle w:val="22"/>
              <w:snapToGrid w:val="0"/>
              <w:jc w:val="center"/>
              <w:rPr>
                <w:rFonts w:hAnsi="宋体" w:cs="宋体"/>
                <w:bCs/>
                <w:sz w:val="21"/>
              </w:rPr>
            </w:pPr>
            <w:r>
              <w:rPr>
                <w:rFonts w:hint="eastAsia" w:hAnsi="宋体" w:cs="宋体"/>
                <w:bCs/>
                <w:sz w:val="21"/>
              </w:rPr>
              <w:t>Ⅱ</w:t>
            </w:r>
          </w:p>
        </w:tc>
        <w:tc>
          <w:tcPr>
            <w:tcW w:w="1380" w:type="dxa"/>
            <w:tcBorders>
              <w:top w:val="single" w:color="auto" w:sz="4" w:space="0"/>
              <w:bottom w:val="single" w:color="auto" w:sz="4" w:space="0"/>
              <w:right w:val="single" w:color="auto" w:sz="12" w:space="0"/>
            </w:tcBorders>
            <w:vAlign w:val="center"/>
          </w:tcPr>
          <w:p>
            <w:pPr>
              <w:pStyle w:val="22"/>
              <w:snapToGrid w:val="0"/>
              <w:jc w:val="center"/>
              <w:rPr>
                <w:rFonts w:hAnsi="宋体" w:cs="宋体"/>
                <w:bCs/>
                <w:sz w:val="21"/>
              </w:rPr>
            </w:pPr>
            <w:r>
              <w:rPr>
                <w:rFonts w:hint="eastAsia" w:hAnsi="宋体" w:cs="宋体"/>
                <w:bCs/>
                <w:sz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48" w:type="dxa"/>
            <w:tcBorders>
              <w:top w:val="single" w:color="auto" w:sz="4" w:space="0"/>
              <w:left w:val="single" w:color="auto" w:sz="12" w:space="0"/>
              <w:bottom w:val="single" w:color="auto" w:sz="4" w:space="0"/>
            </w:tcBorders>
            <w:vAlign w:val="center"/>
          </w:tcPr>
          <w:p>
            <w:pPr>
              <w:pStyle w:val="22"/>
              <w:snapToGrid w:val="0"/>
              <w:jc w:val="center"/>
              <w:rPr>
                <w:rFonts w:hAnsi="宋体" w:cs="宋体"/>
                <w:bCs/>
                <w:sz w:val="21"/>
              </w:rPr>
            </w:pPr>
            <w:r>
              <w:rPr>
                <w:rFonts w:hint="eastAsia" w:hAnsi="宋体" w:cs="宋体"/>
                <w:bCs/>
                <w:sz w:val="21"/>
              </w:rPr>
              <w:t>评价等级</w:t>
            </w:r>
          </w:p>
        </w:tc>
        <w:tc>
          <w:tcPr>
            <w:tcW w:w="1568" w:type="dxa"/>
            <w:tcBorders>
              <w:top w:val="single" w:color="auto" w:sz="4" w:space="0"/>
              <w:bottom w:val="single" w:color="auto" w:sz="4" w:space="0"/>
            </w:tcBorders>
            <w:vAlign w:val="center"/>
          </w:tcPr>
          <w:p>
            <w:pPr>
              <w:pStyle w:val="22"/>
              <w:snapToGrid w:val="0"/>
              <w:jc w:val="center"/>
              <w:rPr>
                <w:rFonts w:hAnsi="宋体" w:cs="宋体"/>
                <w:bCs/>
                <w:sz w:val="21"/>
              </w:rPr>
            </w:pPr>
            <w:r>
              <w:rPr>
                <w:rFonts w:hint="eastAsia" w:hAnsi="宋体" w:cs="宋体"/>
                <w:bCs/>
                <w:sz w:val="21"/>
              </w:rPr>
              <w:t>一</w:t>
            </w:r>
          </w:p>
        </w:tc>
        <w:tc>
          <w:tcPr>
            <w:tcW w:w="1546" w:type="dxa"/>
            <w:tcBorders>
              <w:top w:val="single" w:color="auto" w:sz="4" w:space="0"/>
              <w:bottom w:val="single" w:color="auto" w:sz="4" w:space="0"/>
            </w:tcBorders>
            <w:vAlign w:val="center"/>
          </w:tcPr>
          <w:p>
            <w:pPr>
              <w:pStyle w:val="22"/>
              <w:snapToGrid w:val="0"/>
              <w:jc w:val="center"/>
              <w:rPr>
                <w:rFonts w:hAnsi="宋体" w:cs="宋体"/>
                <w:bCs/>
                <w:sz w:val="21"/>
              </w:rPr>
            </w:pPr>
            <w:r>
              <w:rPr>
                <w:rFonts w:hint="eastAsia" w:hAnsi="宋体" w:cs="宋体"/>
                <w:bCs/>
                <w:sz w:val="21"/>
              </w:rPr>
              <w:t>二</w:t>
            </w:r>
          </w:p>
        </w:tc>
        <w:tc>
          <w:tcPr>
            <w:tcW w:w="2063" w:type="dxa"/>
            <w:tcBorders>
              <w:top w:val="single" w:color="auto" w:sz="4" w:space="0"/>
              <w:bottom w:val="single" w:color="auto" w:sz="4" w:space="0"/>
            </w:tcBorders>
            <w:vAlign w:val="center"/>
          </w:tcPr>
          <w:p>
            <w:pPr>
              <w:pStyle w:val="22"/>
              <w:snapToGrid w:val="0"/>
              <w:jc w:val="center"/>
              <w:rPr>
                <w:rFonts w:hAnsi="宋体" w:cs="宋体"/>
                <w:bCs/>
                <w:sz w:val="21"/>
              </w:rPr>
            </w:pPr>
            <w:r>
              <w:rPr>
                <w:rFonts w:hint="eastAsia" w:hAnsi="宋体" w:cs="宋体"/>
                <w:bCs/>
                <w:sz w:val="21"/>
              </w:rPr>
              <w:t>三</w:t>
            </w:r>
          </w:p>
        </w:tc>
        <w:tc>
          <w:tcPr>
            <w:tcW w:w="1380" w:type="dxa"/>
            <w:tcBorders>
              <w:top w:val="single" w:color="auto" w:sz="4" w:space="0"/>
              <w:bottom w:val="single" w:color="auto" w:sz="4" w:space="0"/>
              <w:right w:val="single" w:color="auto" w:sz="12" w:space="0"/>
            </w:tcBorders>
            <w:vAlign w:val="center"/>
          </w:tcPr>
          <w:p>
            <w:pPr>
              <w:pStyle w:val="22"/>
              <w:snapToGrid w:val="0"/>
              <w:jc w:val="center"/>
              <w:rPr>
                <w:rFonts w:hAnsi="宋体" w:cs="宋体"/>
                <w:bCs/>
                <w:sz w:val="21"/>
              </w:rPr>
            </w:pPr>
            <w:r>
              <w:rPr>
                <w:rFonts w:hint="eastAsia" w:hAnsi="宋体" w:cs="宋体"/>
                <w:bCs/>
                <w:sz w:val="21"/>
              </w:rPr>
              <w:t>简单分析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5" w:type="dxa"/>
            <w:gridSpan w:val="5"/>
            <w:tcBorders>
              <w:top w:val="single" w:color="auto" w:sz="4" w:space="0"/>
              <w:left w:val="single" w:color="auto" w:sz="12" w:space="0"/>
              <w:bottom w:val="single" w:color="auto" w:sz="12" w:space="0"/>
            </w:tcBorders>
            <w:vAlign w:val="center"/>
          </w:tcPr>
          <w:p>
            <w:pPr>
              <w:pStyle w:val="22"/>
              <w:snapToGrid w:val="0"/>
              <w:jc w:val="center"/>
              <w:rPr>
                <w:rFonts w:hAnsi="宋体" w:cs="宋体"/>
                <w:bCs/>
                <w:sz w:val="21"/>
              </w:rPr>
            </w:pPr>
            <w:r>
              <w:rPr>
                <w:rFonts w:hint="eastAsia" w:hAnsi="宋体" w:cs="宋体"/>
                <w:bCs/>
                <w:sz w:val="21"/>
              </w:rPr>
              <w:t>是相对于详细评价工作内容而言，在描述危险物质、环境影响途径、环境危害后果、风险</w:t>
            </w:r>
          </w:p>
          <w:p>
            <w:pPr>
              <w:pStyle w:val="22"/>
              <w:snapToGrid w:val="0"/>
              <w:rPr>
                <w:rFonts w:hAnsi="宋体" w:cs="宋体"/>
                <w:bCs/>
                <w:sz w:val="21"/>
              </w:rPr>
            </w:pPr>
            <w:r>
              <w:rPr>
                <w:rFonts w:hint="eastAsia" w:hAnsi="宋体" w:cs="宋体"/>
                <w:bCs/>
                <w:sz w:val="21"/>
              </w:rPr>
              <w:t>防范措施等方面给 出定性的说明。见附录 A。</w:t>
            </w:r>
          </w:p>
        </w:tc>
      </w:tr>
    </w:tbl>
    <w:p>
      <w:pPr>
        <w:tabs>
          <w:tab w:val="left" w:pos="2709"/>
        </w:tabs>
        <w:spacing w:line="520" w:lineRule="exact"/>
        <w:ind w:firstLine="480" w:firstLineChars="200"/>
        <w:rPr>
          <w:bCs/>
          <w:sz w:val="24"/>
        </w:rPr>
      </w:pPr>
      <w:r>
        <w:rPr>
          <w:bCs/>
          <w:sz w:val="24"/>
        </w:rPr>
        <w:t>本项目危险物质在事故情形下的环境影响途径主要为大气和地表水，风险潜势为</w:t>
      </w:r>
      <w:r>
        <w:rPr>
          <w:rFonts w:hint="eastAsia" w:ascii="宋体" w:hAnsi="宋体" w:cs="宋体"/>
          <w:bCs/>
          <w:sz w:val="24"/>
        </w:rPr>
        <w:t>Ⅰ</w:t>
      </w:r>
      <w:r>
        <w:rPr>
          <w:bCs/>
          <w:sz w:val="24"/>
        </w:rPr>
        <w:t>，根据《建设项目环境风险评价技术导则》（HJ/T169－2018）评价工作等级划分要求，确定本项目评价工作等级为简单分析。项目周围</w:t>
      </w:r>
      <w:r>
        <w:rPr>
          <w:rFonts w:hint="eastAsia"/>
          <w:bCs/>
          <w:sz w:val="24"/>
        </w:rPr>
        <w:t>3</w:t>
      </w:r>
      <w:r>
        <w:rPr>
          <w:bCs/>
          <w:sz w:val="24"/>
        </w:rPr>
        <w:t>00m范围内无村庄环境敏感目标。</w:t>
      </w:r>
    </w:p>
    <w:p>
      <w:pPr>
        <w:tabs>
          <w:tab w:val="right" w:leader="dot" w:pos="8647"/>
        </w:tabs>
        <w:adjustRightInd w:val="0"/>
        <w:snapToGrid w:val="0"/>
        <w:spacing w:line="500" w:lineRule="exact"/>
        <w:rPr>
          <w:bCs/>
          <w:color w:val="000000"/>
          <w:sz w:val="24"/>
        </w:rPr>
      </w:pPr>
      <w:r>
        <w:rPr>
          <w:bCs/>
          <w:color w:val="000000"/>
          <w:sz w:val="24"/>
        </w:rPr>
        <w:t>4.2.7.3源项分析</w:t>
      </w:r>
    </w:p>
    <w:p>
      <w:pPr>
        <w:tabs>
          <w:tab w:val="left" w:pos="2709"/>
        </w:tabs>
        <w:spacing w:line="520" w:lineRule="exact"/>
        <w:ind w:firstLine="480" w:firstLineChars="200"/>
        <w:rPr>
          <w:bCs/>
          <w:sz w:val="24"/>
        </w:rPr>
      </w:pPr>
      <w:r>
        <w:rPr>
          <w:bCs/>
          <w:sz w:val="24"/>
        </w:rPr>
        <w:t>风险源项分析的主要目的是确定最大可信事故的发生概率，确定危险化学品的泄漏量，一般采取类比调查、概率法或指数确定，本评价以类比调查结合《环境风险评价实用技术和方法》推荐的方法进行分析。</w:t>
      </w:r>
    </w:p>
    <w:p>
      <w:pPr>
        <w:tabs>
          <w:tab w:val="left" w:pos="2709"/>
        </w:tabs>
        <w:spacing w:line="520" w:lineRule="exact"/>
        <w:ind w:firstLine="480" w:firstLineChars="200"/>
        <w:rPr>
          <w:bCs/>
          <w:sz w:val="24"/>
        </w:rPr>
      </w:pPr>
      <w:r>
        <w:rPr>
          <w:bCs/>
          <w:sz w:val="24"/>
        </w:rPr>
        <w:t>不同事故其引发因素、伤害机制、危害时间及空间尺度上有很大区别，并相互作用和影响。由上述事故统计和风险识别可知，本项目主要危害物质具有燃烧爆炸的特性，从而决定了项目的主要危险事故为火灾、爆炸。</w:t>
      </w:r>
    </w:p>
    <w:p>
      <w:pPr>
        <w:spacing w:line="520" w:lineRule="exact"/>
        <w:ind w:firstLine="480" w:firstLineChars="200"/>
        <w:rPr>
          <w:bCs/>
          <w:sz w:val="24"/>
        </w:rPr>
      </w:pPr>
      <w:r>
        <w:rPr>
          <w:bCs/>
          <w:sz w:val="24"/>
        </w:rPr>
        <w:t>1、火灾</w:t>
      </w:r>
    </w:p>
    <w:p>
      <w:pPr>
        <w:spacing w:line="520" w:lineRule="exact"/>
        <w:ind w:firstLine="480" w:firstLineChars="200"/>
        <w:rPr>
          <w:bCs/>
          <w:sz w:val="24"/>
        </w:rPr>
      </w:pPr>
      <w:r>
        <w:rPr>
          <w:bCs/>
          <w:sz w:val="24"/>
        </w:rPr>
        <w:t>经类比，项目火灾危害级别对应的距离见表4-33。</w:t>
      </w:r>
    </w:p>
    <w:p>
      <w:pPr>
        <w:adjustRightInd w:val="0"/>
        <w:snapToGrid w:val="0"/>
        <w:spacing w:line="520" w:lineRule="exact"/>
        <w:jc w:val="center"/>
        <w:rPr>
          <w:b/>
          <w:sz w:val="24"/>
        </w:rPr>
      </w:pPr>
      <w:r>
        <w:rPr>
          <w:b/>
          <w:sz w:val="24"/>
        </w:rPr>
        <w:t>表4-33  危害级别对应的距离</w:t>
      </w:r>
    </w:p>
    <w:tbl>
      <w:tblPr>
        <w:tblStyle w:val="44"/>
        <w:tblW w:w="85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200"/>
        <w:gridCol w:w="3410"/>
        <w:gridCol w:w="28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dxa"/>
            <w:vAlign w:val="center"/>
          </w:tcPr>
          <w:p>
            <w:pPr>
              <w:adjustRightInd w:val="0"/>
              <w:snapToGrid w:val="0"/>
              <w:jc w:val="center"/>
              <w:rPr>
                <w:bCs/>
                <w:szCs w:val="21"/>
              </w:rPr>
            </w:pPr>
            <w:r>
              <w:rPr>
                <w:bCs/>
                <w:szCs w:val="21"/>
              </w:rPr>
              <w:t>危害级别</w:t>
            </w:r>
          </w:p>
        </w:tc>
        <w:tc>
          <w:tcPr>
            <w:tcW w:w="1200" w:type="dxa"/>
            <w:vAlign w:val="center"/>
          </w:tcPr>
          <w:p>
            <w:pPr>
              <w:adjustRightInd w:val="0"/>
              <w:snapToGrid w:val="0"/>
              <w:jc w:val="center"/>
              <w:rPr>
                <w:bCs/>
                <w:szCs w:val="21"/>
              </w:rPr>
            </w:pPr>
            <w:r>
              <w:rPr>
                <w:bCs/>
                <w:szCs w:val="21"/>
              </w:rPr>
              <w:t>距离（m）</w:t>
            </w:r>
          </w:p>
        </w:tc>
        <w:tc>
          <w:tcPr>
            <w:tcW w:w="3410" w:type="dxa"/>
            <w:vAlign w:val="center"/>
          </w:tcPr>
          <w:p>
            <w:pPr>
              <w:adjustRightInd w:val="0"/>
              <w:snapToGrid w:val="0"/>
              <w:jc w:val="center"/>
              <w:rPr>
                <w:bCs/>
                <w:szCs w:val="21"/>
              </w:rPr>
            </w:pPr>
            <w:r>
              <w:rPr>
                <w:bCs/>
                <w:szCs w:val="21"/>
              </w:rPr>
              <w:t>对设备的损害</w:t>
            </w:r>
          </w:p>
        </w:tc>
        <w:tc>
          <w:tcPr>
            <w:tcW w:w="2837" w:type="dxa"/>
            <w:vAlign w:val="center"/>
          </w:tcPr>
          <w:p>
            <w:pPr>
              <w:adjustRightInd w:val="0"/>
              <w:snapToGrid w:val="0"/>
              <w:jc w:val="center"/>
              <w:rPr>
                <w:bCs/>
                <w:szCs w:val="21"/>
              </w:rPr>
            </w:pPr>
            <w:r>
              <w:rPr>
                <w:bCs/>
                <w:szCs w:val="21"/>
              </w:rPr>
              <w:t>对人的损害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dxa"/>
            <w:vAlign w:val="center"/>
          </w:tcPr>
          <w:p>
            <w:pPr>
              <w:adjustRightInd w:val="0"/>
              <w:snapToGrid w:val="0"/>
              <w:jc w:val="center"/>
              <w:rPr>
                <w:bCs/>
                <w:szCs w:val="21"/>
              </w:rPr>
            </w:pPr>
            <w:r>
              <w:rPr>
                <w:bCs/>
                <w:szCs w:val="21"/>
              </w:rPr>
              <w:t>A</w:t>
            </w:r>
          </w:p>
        </w:tc>
        <w:tc>
          <w:tcPr>
            <w:tcW w:w="1200" w:type="dxa"/>
            <w:vAlign w:val="center"/>
          </w:tcPr>
          <w:p>
            <w:pPr>
              <w:adjustRightInd w:val="0"/>
              <w:snapToGrid w:val="0"/>
              <w:jc w:val="center"/>
              <w:rPr>
                <w:bCs/>
                <w:szCs w:val="21"/>
              </w:rPr>
            </w:pPr>
            <w:r>
              <w:rPr>
                <w:bCs/>
                <w:szCs w:val="21"/>
              </w:rPr>
              <w:t>32.6</w:t>
            </w:r>
          </w:p>
        </w:tc>
        <w:tc>
          <w:tcPr>
            <w:tcW w:w="3410" w:type="dxa"/>
            <w:vAlign w:val="center"/>
          </w:tcPr>
          <w:p>
            <w:pPr>
              <w:adjustRightInd w:val="0"/>
              <w:snapToGrid w:val="0"/>
              <w:jc w:val="center"/>
              <w:rPr>
                <w:bCs/>
                <w:szCs w:val="21"/>
              </w:rPr>
            </w:pPr>
            <w:r>
              <w:rPr>
                <w:bCs/>
                <w:szCs w:val="21"/>
              </w:rPr>
              <w:t>操作设备全部损坏</w:t>
            </w:r>
          </w:p>
        </w:tc>
        <w:tc>
          <w:tcPr>
            <w:tcW w:w="2837" w:type="dxa"/>
            <w:vAlign w:val="center"/>
          </w:tcPr>
          <w:p>
            <w:pPr>
              <w:adjustRightInd w:val="0"/>
              <w:snapToGrid w:val="0"/>
              <w:jc w:val="center"/>
              <w:rPr>
                <w:bCs/>
                <w:szCs w:val="21"/>
              </w:rPr>
            </w:pPr>
            <w:r>
              <w:rPr>
                <w:bCs/>
                <w:szCs w:val="21"/>
              </w:rPr>
              <w:t>1%死亡/10秒</w:t>
            </w:r>
          </w:p>
          <w:p>
            <w:pPr>
              <w:adjustRightInd w:val="0"/>
              <w:snapToGrid w:val="0"/>
              <w:jc w:val="center"/>
              <w:rPr>
                <w:bCs/>
                <w:szCs w:val="21"/>
              </w:rPr>
            </w:pPr>
            <w:r>
              <w:rPr>
                <w:bCs/>
                <w:szCs w:val="21"/>
              </w:rPr>
              <w:t>100%死亡/1分钟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dxa"/>
            <w:vAlign w:val="center"/>
          </w:tcPr>
          <w:p>
            <w:pPr>
              <w:adjustRightInd w:val="0"/>
              <w:snapToGrid w:val="0"/>
              <w:jc w:val="center"/>
              <w:rPr>
                <w:bCs/>
                <w:szCs w:val="21"/>
              </w:rPr>
            </w:pPr>
            <w:r>
              <w:rPr>
                <w:bCs/>
                <w:szCs w:val="21"/>
              </w:rPr>
              <w:t>B</w:t>
            </w:r>
          </w:p>
        </w:tc>
        <w:tc>
          <w:tcPr>
            <w:tcW w:w="1200" w:type="dxa"/>
            <w:vAlign w:val="center"/>
          </w:tcPr>
          <w:p>
            <w:pPr>
              <w:adjustRightInd w:val="0"/>
              <w:snapToGrid w:val="0"/>
              <w:jc w:val="center"/>
              <w:rPr>
                <w:bCs/>
                <w:szCs w:val="21"/>
              </w:rPr>
            </w:pPr>
            <w:r>
              <w:rPr>
                <w:bCs/>
                <w:szCs w:val="21"/>
              </w:rPr>
              <w:t>39.9</w:t>
            </w:r>
          </w:p>
        </w:tc>
        <w:tc>
          <w:tcPr>
            <w:tcW w:w="3410" w:type="dxa"/>
            <w:vAlign w:val="center"/>
          </w:tcPr>
          <w:p>
            <w:pPr>
              <w:adjustRightInd w:val="0"/>
              <w:snapToGrid w:val="0"/>
              <w:jc w:val="center"/>
              <w:rPr>
                <w:bCs/>
                <w:szCs w:val="21"/>
              </w:rPr>
            </w:pPr>
            <w:r>
              <w:rPr>
                <w:bCs/>
                <w:szCs w:val="21"/>
              </w:rPr>
              <w:t>在无火焰，长时间辐射下木材燃烧的最小能量</w:t>
            </w:r>
          </w:p>
        </w:tc>
        <w:tc>
          <w:tcPr>
            <w:tcW w:w="2837" w:type="dxa"/>
            <w:vAlign w:val="center"/>
          </w:tcPr>
          <w:p>
            <w:pPr>
              <w:adjustRightInd w:val="0"/>
              <w:snapToGrid w:val="0"/>
              <w:jc w:val="center"/>
              <w:rPr>
                <w:bCs/>
                <w:szCs w:val="21"/>
              </w:rPr>
            </w:pPr>
            <w:r>
              <w:rPr>
                <w:bCs/>
                <w:szCs w:val="21"/>
              </w:rPr>
              <w:t>重大损伤亡/10秒100%死亡/1分钟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dxa"/>
            <w:vAlign w:val="center"/>
          </w:tcPr>
          <w:p>
            <w:pPr>
              <w:adjustRightInd w:val="0"/>
              <w:snapToGrid w:val="0"/>
              <w:jc w:val="center"/>
              <w:rPr>
                <w:bCs/>
                <w:szCs w:val="21"/>
              </w:rPr>
            </w:pPr>
            <w:r>
              <w:rPr>
                <w:bCs/>
                <w:szCs w:val="21"/>
              </w:rPr>
              <w:t>C</w:t>
            </w:r>
          </w:p>
        </w:tc>
        <w:tc>
          <w:tcPr>
            <w:tcW w:w="1200" w:type="dxa"/>
            <w:vAlign w:val="center"/>
          </w:tcPr>
          <w:p>
            <w:pPr>
              <w:adjustRightInd w:val="0"/>
              <w:snapToGrid w:val="0"/>
              <w:jc w:val="center"/>
              <w:rPr>
                <w:bCs/>
                <w:szCs w:val="21"/>
              </w:rPr>
            </w:pPr>
            <w:r>
              <w:rPr>
                <w:bCs/>
                <w:szCs w:val="21"/>
              </w:rPr>
              <w:t>56.4</w:t>
            </w:r>
          </w:p>
        </w:tc>
        <w:tc>
          <w:tcPr>
            <w:tcW w:w="3410" w:type="dxa"/>
            <w:vAlign w:val="center"/>
          </w:tcPr>
          <w:p>
            <w:pPr>
              <w:adjustRightInd w:val="0"/>
              <w:snapToGrid w:val="0"/>
              <w:jc w:val="center"/>
              <w:rPr>
                <w:bCs/>
                <w:szCs w:val="21"/>
              </w:rPr>
            </w:pPr>
            <w:r>
              <w:rPr>
                <w:bCs/>
                <w:szCs w:val="21"/>
              </w:rPr>
              <w:t>在无火焰，木材燃烧，塑料熔化的最低能量</w:t>
            </w:r>
          </w:p>
        </w:tc>
        <w:tc>
          <w:tcPr>
            <w:tcW w:w="2837" w:type="dxa"/>
            <w:vAlign w:val="center"/>
          </w:tcPr>
          <w:p>
            <w:pPr>
              <w:adjustRightInd w:val="0"/>
              <w:snapToGrid w:val="0"/>
              <w:jc w:val="center"/>
              <w:rPr>
                <w:bCs/>
                <w:szCs w:val="21"/>
              </w:rPr>
            </w:pPr>
            <w:r>
              <w:rPr>
                <w:bCs/>
                <w:szCs w:val="21"/>
              </w:rPr>
              <w:t>1度烧伤/10秒</w:t>
            </w:r>
          </w:p>
          <w:p>
            <w:pPr>
              <w:adjustRightInd w:val="0"/>
              <w:snapToGrid w:val="0"/>
              <w:jc w:val="center"/>
              <w:rPr>
                <w:bCs/>
                <w:szCs w:val="21"/>
              </w:rPr>
            </w:pPr>
            <w:r>
              <w:rPr>
                <w:bCs/>
                <w:szCs w:val="21"/>
              </w:rPr>
              <w:t>1%死亡/1分钟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dxa"/>
            <w:vAlign w:val="center"/>
          </w:tcPr>
          <w:p>
            <w:pPr>
              <w:adjustRightInd w:val="0"/>
              <w:snapToGrid w:val="0"/>
              <w:jc w:val="center"/>
              <w:rPr>
                <w:bCs/>
                <w:szCs w:val="21"/>
              </w:rPr>
            </w:pPr>
            <w:r>
              <w:rPr>
                <w:bCs/>
                <w:szCs w:val="21"/>
              </w:rPr>
              <w:t>D</w:t>
            </w:r>
          </w:p>
        </w:tc>
        <w:tc>
          <w:tcPr>
            <w:tcW w:w="1200" w:type="dxa"/>
            <w:vAlign w:val="center"/>
          </w:tcPr>
          <w:p>
            <w:pPr>
              <w:adjustRightInd w:val="0"/>
              <w:snapToGrid w:val="0"/>
              <w:jc w:val="center"/>
              <w:rPr>
                <w:bCs/>
                <w:szCs w:val="21"/>
              </w:rPr>
            </w:pPr>
            <w:r>
              <w:rPr>
                <w:bCs/>
                <w:szCs w:val="21"/>
              </w:rPr>
              <w:t>99.7</w:t>
            </w:r>
          </w:p>
        </w:tc>
        <w:tc>
          <w:tcPr>
            <w:tcW w:w="3410" w:type="dxa"/>
            <w:vMerge w:val="restart"/>
            <w:vAlign w:val="center"/>
          </w:tcPr>
          <w:p>
            <w:pPr>
              <w:adjustRightInd w:val="0"/>
              <w:snapToGrid w:val="0"/>
              <w:jc w:val="center"/>
              <w:rPr>
                <w:bCs/>
                <w:szCs w:val="21"/>
              </w:rPr>
            </w:pPr>
            <w:r>
              <w:rPr>
                <w:bCs/>
                <w:szCs w:val="21"/>
              </w:rPr>
              <w:t>没有什么损坏</w:t>
            </w:r>
          </w:p>
        </w:tc>
        <w:tc>
          <w:tcPr>
            <w:tcW w:w="2837" w:type="dxa"/>
            <w:vAlign w:val="center"/>
          </w:tcPr>
          <w:p>
            <w:pPr>
              <w:adjustRightInd w:val="0"/>
              <w:snapToGrid w:val="0"/>
              <w:jc w:val="center"/>
              <w:rPr>
                <w:bCs/>
                <w:szCs w:val="21"/>
              </w:rPr>
            </w:pPr>
            <w:r>
              <w:rPr>
                <w:bCs/>
                <w:szCs w:val="21"/>
              </w:rPr>
              <w:t>20秒以上感觉疼痛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8" w:type="dxa"/>
            <w:vAlign w:val="center"/>
          </w:tcPr>
          <w:p>
            <w:pPr>
              <w:adjustRightInd w:val="0"/>
              <w:snapToGrid w:val="0"/>
              <w:jc w:val="center"/>
              <w:rPr>
                <w:bCs/>
                <w:szCs w:val="21"/>
              </w:rPr>
            </w:pPr>
            <w:r>
              <w:rPr>
                <w:bCs/>
                <w:szCs w:val="21"/>
              </w:rPr>
              <w:t>E</w:t>
            </w:r>
          </w:p>
        </w:tc>
        <w:tc>
          <w:tcPr>
            <w:tcW w:w="1200" w:type="dxa"/>
            <w:vAlign w:val="center"/>
          </w:tcPr>
          <w:p>
            <w:pPr>
              <w:adjustRightInd w:val="0"/>
              <w:snapToGrid w:val="0"/>
              <w:jc w:val="center"/>
              <w:rPr>
                <w:bCs/>
                <w:szCs w:val="21"/>
              </w:rPr>
            </w:pPr>
            <w:r>
              <w:rPr>
                <w:bCs/>
                <w:szCs w:val="21"/>
              </w:rPr>
              <w:t>157.7</w:t>
            </w:r>
          </w:p>
        </w:tc>
        <w:tc>
          <w:tcPr>
            <w:tcW w:w="3410" w:type="dxa"/>
            <w:vMerge w:val="continue"/>
            <w:vAlign w:val="center"/>
          </w:tcPr>
          <w:p>
            <w:pPr>
              <w:adjustRightInd w:val="0"/>
              <w:snapToGrid w:val="0"/>
              <w:jc w:val="center"/>
              <w:rPr>
                <w:bCs/>
                <w:szCs w:val="21"/>
              </w:rPr>
            </w:pPr>
          </w:p>
        </w:tc>
        <w:tc>
          <w:tcPr>
            <w:tcW w:w="2837" w:type="dxa"/>
            <w:vAlign w:val="center"/>
          </w:tcPr>
          <w:p>
            <w:pPr>
              <w:adjustRightInd w:val="0"/>
              <w:snapToGrid w:val="0"/>
              <w:jc w:val="center"/>
              <w:rPr>
                <w:bCs/>
                <w:szCs w:val="21"/>
              </w:rPr>
            </w:pPr>
            <w:r>
              <w:rPr>
                <w:bCs/>
                <w:szCs w:val="21"/>
              </w:rPr>
              <w:t>长期辐射，无不舒服感</w:t>
            </w:r>
          </w:p>
        </w:tc>
      </w:tr>
    </w:tbl>
    <w:p>
      <w:pPr>
        <w:spacing w:line="360" w:lineRule="auto"/>
        <w:ind w:firstLine="480" w:firstLineChars="200"/>
        <w:rPr>
          <w:bCs/>
          <w:sz w:val="24"/>
        </w:rPr>
      </w:pPr>
      <w:r>
        <w:rPr>
          <w:bCs/>
          <w:sz w:val="24"/>
        </w:rPr>
        <w:t>根据场区平面图可知，盖泻湖沼气池与最近猪舍的距离为50m，因此沼气着火时对猪舍的影响危害等级介于B、C级之间，猪舍内猪死亡概率很低。此外，盖泻湖沼气池与最近生活管理区相距为</w:t>
      </w:r>
      <w:r>
        <w:rPr>
          <w:rFonts w:hint="eastAsia"/>
          <w:bCs/>
          <w:sz w:val="24"/>
        </w:rPr>
        <w:t>4</w:t>
      </w:r>
      <w:r>
        <w:rPr>
          <w:bCs/>
          <w:sz w:val="24"/>
        </w:rPr>
        <w:t>50m，对人不会造成伤害。</w:t>
      </w:r>
    </w:p>
    <w:p>
      <w:pPr>
        <w:spacing w:line="360" w:lineRule="auto"/>
        <w:ind w:firstLine="480" w:firstLineChars="200"/>
        <w:rPr>
          <w:bCs/>
          <w:sz w:val="24"/>
        </w:rPr>
      </w:pPr>
      <w:r>
        <w:rPr>
          <w:bCs/>
          <w:sz w:val="24"/>
        </w:rPr>
        <w:t>2、爆炸冲击波</w:t>
      </w:r>
    </w:p>
    <w:p>
      <w:pPr>
        <w:spacing w:line="360" w:lineRule="auto"/>
        <w:ind w:firstLine="480" w:firstLineChars="200"/>
        <w:rPr>
          <w:bCs/>
          <w:sz w:val="24"/>
        </w:rPr>
      </w:pPr>
      <w:r>
        <w:rPr>
          <w:bCs/>
          <w:sz w:val="24"/>
        </w:rPr>
        <w:t>冲击波损害等级对应距离见表4-34。</w:t>
      </w:r>
    </w:p>
    <w:p>
      <w:pPr>
        <w:adjustRightInd w:val="0"/>
        <w:snapToGrid w:val="0"/>
        <w:spacing w:line="520" w:lineRule="exact"/>
        <w:jc w:val="center"/>
        <w:rPr>
          <w:b/>
          <w:sz w:val="24"/>
        </w:rPr>
      </w:pPr>
      <w:r>
        <w:rPr>
          <w:b/>
          <w:sz w:val="24"/>
        </w:rPr>
        <w:t>表4-34   冲击波危害级别对应的距离</w:t>
      </w:r>
    </w:p>
    <w:tbl>
      <w:tblPr>
        <w:tblStyle w:val="44"/>
        <w:tblW w:w="85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34"/>
        <w:gridCol w:w="3368"/>
        <w:gridCol w:w="34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65" w:type="dxa"/>
            <w:vMerge w:val="restart"/>
            <w:vAlign w:val="center"/>
          </w:tcPr>
          <w:p>
            <w:pPr>
              <w:jc w:val="center"/>
              <w:rPr>
                <w:bCs/>
                <w:szCs w:val="21"/>
              </w:rPr>
            </w:pPr>
            <w:r>
              <w:rPr>
                <w:bCs/>
                <w:szCs w:val="21"/>
              </w:rPr>
              <w:t>损害</w:t>
            </w:r>
          </w:p>
          <w:p>
            <w:pPr>
              <w:jc w:val="center"/>
              <w:rPr>
                <w:bCs/>
                <w:szCs w:val="21"/>
              </w:rPr>
            </w:pPr>
            <w:r>
              <w:rPr>
                <w:bCs/>
                <w:szCs w:val="21"/>
              </w:rPr>
              <w:t>等级</w:t>
            </w:r>
          </w:p>
        </w:tc>
        <w:tc>
          <w:tcPr>
            <w:tcW w:w="1034" w:type="dxa"/>
            <w:vMerge w:val="restart"/>
            <w:vAlign w:val="center"/>
          </w:tcPr>
          <w:p>
            <w:pPr>
              <w:jc w:val="center"/>
              <w:rPr>
                <w:bCs/>
                <w:szCs w:val="21"/>
              </w:rPr>
            </w:pPr>
            <w:r>
              <w:rPr>
                <w:bCs/>
                <w:szCs w:val="21"/>
              </w:rPr>
              <w:t>距离（m）</w:t>
            </w:r>
          </w:p>
        </w:tc>
        <w:tc>
          <w:tcPr>
            <w:tcW w:w="6806" w:type="dxa"/>
            <w:gridSpan w:val="2"/>
            <w:vAlign w:val="center"/>
          </w:tcPr>
          <w:p>
            <w:pPr>
              <w:jc w:val="center"/>
              <w:rPr>
                <w:bCs/>
                <w:szCs w:val="21"/>
              </w:rPr>
            </w:pPr>
            <w:r>
              <w:rPr>
                <w:bCs/>
                <w:szCs w:val="21"/>
              </w:rPr>
              <w:t>爆炸损害特性</w:t>
            </w:r>
          </w:p>
        </w:tc>
      </w:tr>
      <w:tr>
        <w:tblPrEx>
          <w:tblCellMar>
            <w:top w:w="0" w:type="dxa"/>
            <w:left w:w="108" w:type="dxa"/>
            <w:bottom w:w="0" w:type="dxa"/>
            <w:right w:w="108" w:type="dxa"/>
          </w:tblCellMar>
        </w:tblPrEx>
        <w:trPr>
          <w:trHeight w:val="340" w:hRule="atLeast"/>
          <w:tblHeader/>
          <w:jc w:val="center"/>
        </w:trPr>
        <w:tc>
          <w:tcPr>
            <w:tcW w:w="665" w:type="dxa"/>
            <w:vMerge w:val="continue"/>
            <w:vAlign w:val="center"/>
          </w:tcPr>
          <w:p>
            <w:pPr>
              <w:jc w:val="center"/>
              <w:rPr>
                <w:bCs/>
                <w:szCs w:val="21"/>
              </w:rPr>
            </w:pPr>
          </w:p>
        </w:tc>
        <w:tc>
          <w:tcPr>
            <w:tcW w:w="1034" w:type="dxa"/>
            <w:vMerge w:val="continue"/>
            <w:vAlign w:val="center"/>
          </w:tcPr>
          <w:p>
            <w:pPr>
              <w:jc w:val="center"/>
              <w:rPr>
                <w:bCs/>
                <w:szCs w:val="21"/>
              </w:rPr>
            </w:pPr>
          </w:p>
        </w:tc>
        <w:tc>
          <w:tcPr>
            <w:tcW w:w="3368" w:type="dxa"/>
            <w:vAlign w:val="center"/>
          </w:tcPr>
          <w:p>
            <w:pPr>
              <w:jc w:val="center"/>
              <w:rPr>
                <w:bCs/>
                <w:szCs w:val="21"/>
              </w:rPr>
            </w:pPr>
            <w:r>
              <w:rPr>
                <w:bCs/>
                <w:szCs w:val="21"/>
              </w:rPr>
              <w:t>对设备的损害</w:t>
            </w:r>
          </w:p>
        </w:tc>
        <w:tc>
          <w:tcPr>
            <w:tcW w:w="3438" w:type="dxa"/>
            <w:vAlign w:val="center"/>
          </w:tcPr>
          <w:p>
            <w:pPr>
              <w:jc w:val="center"/>
              <w:rPr>
                <w:bCs/>
                <w:szCs w:val="21"/>
              </w:rPr>
            </w:pPr>
            <w:r>
              <w:rPr>
                <w:bCs/>
                <w:szCs w:val="21"/>
              </w:rPr>
              <w:t>对人的损害</w:t>
            </w:r>
          </w:p>
        </w:tc>
      </w:tr>
      <w:tr>
        <w:tblPrEx>
          <w:tblCellMar>
            <w:top w:w="0" w:type="dxa"/>
            <w:left w:w="108" w:type="dxa"/>
            <w:bottom w:w="0" w:type="dxa"/>
            <w:right w:w="108" w:type="dxa"/>
          </w:tblCellMar>
        </w:tblPrEx>
        <w:trPr>
          <w:trHeight w:val="340" w:hRule="atLeast"/>
          <w:jc w:val="center"/>
        </w:trPr>
        <w:tc>
          <w:tcPr>
            <w:tcW w:w="665" w:type="dxa"/>
            <w:vAlign w:val="center"/>
          </w:tcPr>
          <w:p>
            <w:pPr>
              <w:jc w:val="center"/>
              <w:rPr>
                <w:bCs/>
                <w:szCs w:val="21"/>
              </w:rPr>
            </w:pPr>
            <w:r>
              <w:rPr>
                <w:bCs/>
                <w:szCs w:val="21"/>
              </w:rPr>
              <w:t>A</w:t>
            </w:r>
          </w:p>
        </w:tc>
        <w:tc>
          <w:tcPr>
            <w:tcW w:w="1034" w:type="dxa"/>
            <w:vAlign w:val="center"/>
          </w:tcPr>
          <w:p>
            <w:pPr>
              <w:jc w:val="center"/>
              <w:rPr>
                <w:bCs/>
                <w:szCs w:val="21"/>
              </w:rPr>
            </w:pPr>
            <w:r>
              <w:rPr>
                <w:bCs/>
                <w:szCs w:val="21"/>
              </w:rPr>
              <w:t>17.2</w:t>
            </w:r>
          </w:p>
        </w:tc>
        <w:tc>
          <w:tcPr>
            <w:tcW w:w="3368" w:type="dxa"/>
            <w:vAlign w:val="center"/>
          </w:tcPr>
          <w:p>
            <w:pPr>
              <w:jc w:val="center"/>
              <w:rPr>
                <w:bCs/>
                <w:szCs w:val="21"/>
              </w:rPr>
            </w:pPr>
            <w:r>
              <w:rPr>
                <w:bCs/>
                <w:szCs w:val="21"/>
              </w:rPr>
              <w:t>重创建筑物和设备</w:t>
            </w:r>
          </w:p>
        </w:tc>
        <w:tc>
          <w:tcPr>
            <w:tcW w:w="3438" w:type="dxa"/>
            <w:vAlign w:val="center"/>
          </w:tcPr>
          <w:p>
            <w:pPr>
              <w:jc w:val="center"/>
              <w:rPr>
                <w:bCs/>
                <w:szCs w:val="21"/>
              </w:rPr>
            </w:pPr>
            <w:r>
              <w:rPr>
                <w:bCs/>
                <w:szCs w:val="21"/>
              </w:rPr>
              <w:t>1%死亡肺部损害</w:t>
            </w:r>
          </w:p>
          <w:p>
            <w:pPr>
              <w:jc w:val="center"/>
              <w:rPr>
                <w:bCs/>
                <w:szCs w:val="21"/>
              </w:rPr>
            </w:pPr>
            <w:r>
              <w:rPr>
                <w:bCs/>
                <w:szCs w:val="21"/>
              </w:rPr>
              <w:t>＞50%耳膜损害</w:t>
            </w:r>
          </w:p>
          <w:p>
            <w:pPr>
              <w:jc w:val="center"/>
              <w:rPr>
                <w:bCs/>
                <w:szCs w:val="21"/>
              </w:rPr>
            </w:pPr>
            <w:r>
              <w:rPr>
                <w:bCs/>
                <w:szCs w:val="21"/>
              </w:rPr>
              <w:t>＞50%被抛射物严重砸伤</w:t>
            </w:r>
          </w:p>
        </w:tc>
      </w:tr>
      <w:tr>
        <w:tblPrEx>
          <w:tblCellMar>
            <w:top w:w="0" w:type="dxa"/>
            <w:left w:w="108" w:type="dxa"/>
            <w:bottom w:w="0" w:type="dxa"/>
            <w:right w:w="108" w:type="dxa"/>
          </w:tblCellMar>
        </w:tblPrEx>
        <w:trPr>
          <w:trHeight w:val="340" w:hRule="atLeast"/>
          <w:jc w:val="center"/>
        </w:trPr>
        <w:tc>
          <w:tcPr>
            <w:tcW w:w="665" w:type="dxa"/>
            <w:vAlign w:val="center"/>
          </w:tcPr>
          <w:p>
            <w:pPr>
              <w:jc w:val="center"/>
              <w:rPr>
                <w:bCs/>
                <w:szCs w:val="21"/>
              </w:rPr>
            </w:pPr>
            <w:r>
              <w:rPr>
                <w:bCs/>
                <w:szCs w:val="21"/>
              </w:rPr>
              <w:t>B</w:t>
            </w:r>
          </w:p>
        </w:tc>
        <w:tc>
          <w:tcPr>
            <w:tcW w:w="1034" w:type="dxa"/>
            <w:vAlign w:val="center"/>
          </w:tcPr>
          <w:p>
            <w:pPr>
              <w:jc w:val="center"/>
              <w:rPr>
                <w:bCs/>
                <w:szCs w:val="21"/>
              </w:rPr>
            </w:pPr>
            <w:r>
              <w:rPr>
                <w:bCs/>
                <w:szCs w:val="21"/>
              </w:rPr>
              <w:t>34.3</w:t>
            </w:r>
          </w:p>
        </w:tc>
        <w:tc>
          <w:tcPr>
            <w:tcW w:w="3368" w:type="dxa"/>
            <w:vAlign w:val="center"/>
          </w:tcPr>
          <w:p>
            <w:pPr>
              <w:jc w:val="center"/>
              <w:rPr>
                <w:bCs/>
                <w:szCs w:val="21"/>
              </w:rPr>
            </w:pPr>
            <w:r>
              <w:rPr>
                <w:bCs/>
                <w:szCs w:val="21"/>
              </w:rPr>
              <w:t>对建筑物造成外表性损伤或可修复破坏</w:t>
            </w:r>
          </w:p>
        </w:tc>
        <w:tc>
          <w:tcPr>
            <w:tcW w:w="3438" w:type="dxa"/>
            <w:vAlign w:val="center"/>
          </w:tcPr>
          <w:p>
            <w:pPr>
              <w:jc w:val="center"/>
              <w:rPr>
                <w:bCs/>
                <w:szCs w:val="21"/>
              </w:rPr>
            </w:pPr>
            <w:r>
              <w:rPr>
                <w:bCs/>
                <w:szCs w:val="21"/>
              </w:rPr>
              <w:t>1%耳膜损害</w:t>
            </w:r>
          </w:p>
          <w:p>
            <w:pPr>
              <w:jc w:val="center"/>
              <w:rPr>
                <w:bCs/>
                <w:szCs w:val="21"/>
              </w:rPr>
            </w:pPr>
            <w:r>
              <w:rPr>
                <w:bCs/>
                <w:szCs w:val="21"/>
              </w:rPr>
              <w:t>1%被抛射物严重砸伤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jc w:val="center"/>
              <w:rPr>
                <w:bCs/>
                <w:szCs w:val="21"/>
              </w:rPr>
            </w:pPr>
            <w:r>
              <w:rPr>
                <w:bCs/>
                <w:szCs w:val="21"/>
              </w:rPr>
              <w:t>C</w:t>
            </w:r>
          </w:p>
        </w:tc>
        <w:tc>
          <w:tcPr>
            <w:tcW w:w="1034" w:type="dxa"/>
            <w:vAlign w:val="center"/>
          </w:tcPr>
          <w:p>
            <w:pPr>
              <w:jc w:val="center"/>
              <w:rPr>
                <w:bCs/>
                <w:szCs w:val="21"/>
              </w:rPr>
            </w:pPr>
            <w:r>
              <w:rPr>
                <w:bCs/>
                <w:szCs w:val="21"/>
              </w:rPr>
              <w:t>85.9</w:t>
            </w:r>
          </w:p>
        </w:tc>
        <w:tc>
          <w:tcPr>
            <w:tcW w:w="3368" w:type="dxa"/>
            <w:vAlign w:val="center"/>
          </w:tcPr>
          <w:p>
            <w:pPr>
              <w:jc w:val="center"/>
              <w:rPr>
                <w:bCs/>
                <w:szCs w:val="21"/>
              </w:rPr>
            </w:pPr>
            <w:r>
              <w:rPr>
                <w:bCs/>
                <w:szCs w:val="21"/>
              </w:rPr>
              <w:t>玻璃大部分破碎</w:t>
            </w:r>
          </w:p>
        </w:tc>
        <w:tc>
          <w:tcPr>
            <w:tcW w:w="3438" w:type="dxa"/>
            <w:vAlign w:val="center"/>
          </w:tcPr>
          <w:p>
            <w:pPr>
              <w:jc w:val="center"/>
              <w:rPr>
                <w:bCs/>
                <w:szCs w:val="21"/>
              </w:rPr>
            </w:pPr>
            <w:r>
              <w:rPr>
                <w:bCs/>
                <w:szCs w:val="21"/>
              </w:rPr>
              <w:t>被飞溅玻璃划伤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jc w:val="center"/>
              <w:rPr>
                <w:bCs/>
                <w:szCs w:val="21"/>
              </w:rPr>
            </w:pPr>
            <w:r>
              <w:rPr>
                <w:bCs/>
                <w:szCs w:val="21"/>
              </w:rPr>
              <w:t>D</w:t>
            </w:r>
          </w:p>
        </w:tc>
        <w:tc>
          <w:tcPr>
            <w:tcW w:w="1034" w:type="dxa"/>
            <w:vAlign w:val="center"/>
          </w:tcPr>
          <w:p>
            <w:pPr>
              <w:jc w:val="center"/>
              <w:rPr>
                <w:bCs/>
                <w:szCs w:val="21"/>
              </w:rPr>
            </w:pPr>
            <w:r>
              <w:rPr>
                <w:bCs/>
                <w:szCs w:val="21"/>
              </w:rPr>
              <w:t>229</w:t>
            </w:r>
          </w:p>
        </w:tc>
        <w:tc>
          <w:tcPr>
            <w:tcW w:w="3368" w:type="dxa"/>
            <w:vAlign w:val="center"/>
          </w:tcPr>
          <w:p>
            <w:pPr>
              <w:jc w:val="center"/>
              <w:rPr>
                <w:bCs/>
                <w:szCs w:val="21"/>
              </w:rPr>
            </w:pPr>
            <w:r>
              <w:rPr>
                <w:bCs/>
                <w:szCs w:val="21"/>
              </w:rPr>
              <w:t>10%玻璃破碎</w:t>
            </w:r>
          </w:p>
        </w:tc>
        <w:tc>
          <w:tcPr>
            <w:tcW w:w="3438" w:type="dxa"/>
            <w:vAlign w:val="center"/>
          </w:tcPr>
          <w:p>
            <w:pPr>
              <w:jc w:val="center"/>
              <w:rPr>
                <w:bCs/>
                <w:szCs w:val="21"/>
              </w:rPr>
            </w:pPr>
          </w:p>
        </w:tc>
      </w:tr>
    </w:tbl>
    <w:p>
      <w:pPr>
        <w:spacing w:line="520" w:lineRule="exact"/>
        <w:ind w:firstLine="480" w:firstLineChars="200"/>
        <w:rPr>
          <w:bCs/>
          <w:sz w:val="24"/>
        </w:rPr>
      </w:pPr>
      <w:r>
        <w:rPr>
          <w:bCs/>
          <w:sz w:val="24"/>
        </w:rPr>
        <w:t>根据场区平面图可知，盖泻湖沼气池与最近猪舍的距离为50m，因此沼气爆炸时对猪舍的影响危害等级处于A和B级之间因此沼气爆炸对猪舍的影响主要为对建筑物外表及部分设备造成破坏，对猪只的影响主要是巨大的爆炸声对猪只耳膜的损害及抛射物砸伤，而且猪只受到惊吓可能会引起相互踩踏至伤、至死。此外，盖泻湖沼气池与最近生活管理区相距</w:t>
      </w:r>
      <w:r>
        <w:rPr>
          <w:rFonts w:hint="eastAsia"/>
          <w:bCs/>
          <w:sz w:val="24"/>
        </w:rPr>
        <w:t>690</w:t>
      </w:r>
      <w:r>
        <w:rPr>
          <w:bCs/>
          <w:sz w:val="24"/>
        </w:rPr>
        <w:t>m，对人不会造成伤害。</w:t>
      </w:r>
    </w:p>
    <w:p>
      <w:pPr>
        <w:tabs>
          <w:tab w:val="right" w:leader="dot" w:pos="8647"/>
        </w:tabs>
        <w:adjustRightInd w:val="0"/>
        <w:snapToGrid w:val="0"/>
        <w:spacing w:line="500" w:lineRule="exact"/>
        <w:rPr>
          <w:bCs/>
          <w:kern w:val="0"/>
          <w:sz w:val="24"/>
        </w:rPr>
      </w:pPr>
      <w:r>
        <w:rPr>
          <w:bCs/>
          <w:color w:val="000000"/>
          <w:sz w:val="24"/>
        </w:rPr>
        <w:t>4.2.7.4最大可信事故</w:t>
      </w:r>
    </w:p>
    <w:p>
      <w:pPr>
        <w:spacing w:line="520" w:lineRule="exact"/>
        <w:ind w:firstLine="480" w:firstLineChars="200"/>
        <w:rPr>
          <w:bCs/>
          <w:sz w:val="24"/>
        </w:rPr>
      </w:pPr>
      <w:r>
        <w:rPr>
          <w:bCs/>
          <w:sz w:val="24"/>
        </w:rPr>
        <w:t>本项目最大风险源为盖泻湖沼气池、运输管线，最易燃易爆的物质是CH</w:t>
      </w:r>
      <w:r>
        <w:rPr>
          <w:bCs/>
          <w:sz w:val="24"/>
          <w:vertAlign w:val="subscript"/>
        </w:rPr>
        <w:t>4</w:t>
      </w:r>
      <w:r>
        <w:rPr>
          <w:bCs/>
          <w:sz w:val="24"/>
        </w:rPr>
        <w:t>，由于沼气中不含有毒有害物质，硫化氢含量经过脱硫器处理后，沼气燃烧后的主要产物为CO</w:t>
      </w:r>
      <w:r>
        <w:rPr>
          <w:bCs/>
          <w:sz w:val="24"/>
          <w:vertAlign w:val="subscript"/>
        </w:rPr>
        <w:t>2</w:t>
      </w:r>
      <w:r>
        <w:rPr>
          <w:bCs/>
          <w:sz w:val="24"/>
        </w:rPr>
        <w:t>，故主要风险类型为火灾、爆炸。因此本项目最大可信事故定为火灾和爆炸。</w:t>
      </w:r>
    </w:p>
    <w:p>
      <w:pPr>
        <w:spacing w:line="520" w:lineRule="exact"/>
        <w:ind w:firstLine="480" w:firstLineChars="200"/>
        <w:rPr>
          <w:bCs/>
          <w:sz w:val="24"/>
        </w:rPr>
      </w:pPr>
      <w:r>
        <w:rPr>
          <w:bCs/>
          <w:sz w:val="24"/>
        </w:rPr>
        <w:t>发生火灾、爆炸的原因及概率主要有以下几个方面：</w:t>
      </w:r>
    </w:p>
    <w:p>
      <w:pPr>
        <w:spacing w:line="520" w:lineRule="exact"/>
        <w:ind w:firstLine="480" w:firstLineChars="200"/>
        <w:rPr>
          <w:bCs/>
          <w:sz w:val="24"/>
        </w:rPr>
      </w:pPr>
      <w:r>
        <w:rPr>
          <w:bCs/>
          <w:sz w:val="24"/>
        </w:rPr>
        <w:t>（1）阀门、泵、仪表管道、盖泻湖沼气池破裂、垫片、螺栓等的损坏引起物料泄漏，遇上明火而发生火灾爆炸，这类原因占火灾爆炸事故发生原因的66.0%；</w:t>
      </w:r>
    </w:p>
    <w:p>
      <w:pPr>
        <w:spacing w:line="520" w:lineRule="exact"/>
        <w:ind w:firstLine="480" w:firstLineChars="200"/>
        <w:rPr>
          <w:bCs/>
          <w:sz w:val="24"/>
        </w:rPr>
      </w:pPr>
      <w:r>
        <w:rPr>
          <w:bCs/>
          <w:sz w:val="24"/>
        </w:rPr>
        <w:t>（2）由于接地保护装置出现问题导致积累的静电荷不能释放而引起火灾爆炸，这类原因占火灾爆炸事故发生原因的8.0%；</w:t>
      </w:r>
    </w:p>
    <w:p>
      <w:pPr>
        <w:spacing w:line="520" w:lineRule="exact"/>
        <w:ind w:firstLine="480" w:firstLineChars="200"/>
        <w:rPr>
          <w:bCs/>
          <w:sz w:val="24"/>
        </w:rPr>
      </w:pPr>
      <w:r>
        <w:rPr>
          <w:bCs/>
          <w:sz w:val="24"/>
        </w:rPr>
        <w:t>（3）泵等设备在运行发生短路产生电火花，引起火灾爆炸，这类原因占火灾爆炸事故发生原因的13.0%；</w:t>
      </w:r>
    </w:p>
    <w:p>
      <w:pPr>
        <w:spacing w:line="520" w:lineRule="exact"/>
        <w:ind w:firstLine="480" w:firstLineChars="200"/>
        <w:rPr>
          <w:bCs/>
          <w:sz w:val="24"/>
        </w:rPr>
      </w:pPr>
      <w:r>
        <w:rPr>
          <w:bCs/>
          <w:sz w:val="24"/>
        </w:rPr>
        <w:t>（4）由于雷击而发生火灾爆炸，这类原因占火灾爆炸事故发生原因的4.0%；</w:t>
      </w:r>
    </w:p>
    <w:p>
      <w:pPr>
        <w:spacing w:line="520" w:lineRule="exact"/>
        <w:ind w:firstLine="480" w:firstLineChars="200"/>
        <w:rPr>
          <w:bCs/>
          <w:color w:val="000000"/>
          <w:sz w:val="24"/>
        </w:rPr>
      </w:pPr>
      <w:r>
        <w:rPr>
          <w:bCs/>
          <w:sz w:val="24"/>
        </w:rPr>
        <w:t>（5）由于其它原因而发生火灾爆炸，这类原因占火灾爆炸事故发生原因的9%。</w:t>
      </w:r>
    </w:p>
    <w:p>
      <w:pPr>
        <w:tabs>
          <w:tab w:val="right" w:leader="dot" w:pos="8647"/>
        </w:tabs>
        <w:adjustRightInd w:val="0"/>
        <w:snapToGrid w:val="0"/>
        <w:spacing w:line="500" w:lineRule="exact"/>
        <w:rPr>
          <w:bCs/>
          <w:color w:val="000000"/>
          <w:sz w:val="24"/>
        </w:rPr>
      </w:pPr>
      <w:bookmarkStart w:id="270" w:name="_Toc445457746"/>
      <w:bookmarkStart w:id="271" w:name="_Toc802"/>
      <w:bookmarkStart w:id="272" w:name="_Toc3704"/>
      <w:r>
        <w:rPr>
          <w:bCs/>
          <w:color w:val="000000"/>
          <w:sz w:val="24"/>
        </w:rPr>
        <w:t>4.2.7.5 环境敏感点调查</w:t>
      </w:r>
      <w:bookmarkEnd w:id="270"/>
      <w:bookmarkEnd w:id="271"/>
      <w:bookmarkEnd w:id="272"/>
    </w:p>
    <w:p>
      <w:pPr>
        <w:tabs>
          <w:tab w:val="right" w:leader="dot" w:pos="8647"/>
        </w:tabs>
        <w:adjustRightInd w:val="0"/>
        <w:snapToGrid w:val="0"/>
        <w:spacing w:line="500" w:lineRule="exact"/>
        <w:rPr>
          <w:bCs/>
          <w:color w:val="000000"/>
          <w:sz w:val="24"/>
        </w:rPr>
      </w:pPr>
      <w:r>
        <w:rPr>
          <w:bCs/>
          <w:color w:val="000000"/>
          <w:sz w:val="24"/>
        </w:rPr>
        <w:t>4.2.7.5.1大气环境风险评价范围</w:t>
      </w:r>
    </w:p>
    <w:p>
      <w:pPr>
        <w:spacing w:line="500" w:lineRule="exact"/>
        <w:ind w:firstLine="480" w:firstLineChars="200"/>
        <w:rPr>
          <w:bCs/>
          <w:color w:val="000000"/>
          <w:sz w:val="24"/>
        </w:rPr>
      </w:pPr>
      <w:r>
        <w:rPr>
          <w:bCs/>
          <w:sz w:val="24"/>
          <w:szCs w:val="28"/>
        </w:rPr>
        <w:t>根据本项目评价等级确定本项目风险评价范围为距建设项目边界3km区域范围，本项目周边3km 范围内环境敏感点情况见表</w:t>
      </w:r>
      <w:r>
        <w:rPr>
          <w:bCs/>
          <w:sz w:val="24"/>
        </w:rPr>
        <w:t>4-35。</w:t>
      </w:r>
    </w:p>
    <w:p>
      <w:pPr>
        <w:topLinePunct/>
        <w:adjustRightInd w:val="0"/>
        <w:snapToGrid w:val="0"/>
        <w:spacing w:line="500" w:lineRule="exact"/>
        <w:jc w:val="center"/>
        <w:rPr>
          <w:b/>
          <w:color w:val="000000"/>
          <w:sz w:val="24"/>
        </w:rPr>
      </w:pPr>
      <w:r>
        <w:rPr>
          <w:b/>
          <w:color w:val="000000"/>
          <w:sz w:val="24"/>
        </w:rPr>
        <w:t>表4-35   本项目周边3km范围内环境敏感点情况调查表</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700"/>
        <w:gridCol w:w="1737"/>
        <w:gridCol w:w="905"/>
        <w:gridCol w:w="9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2700" w:type="dxa"/>
            <w:vAlign w:val="center"/>
          </w:tcPr>
          <w:p>
            <w:pPr>
              <w:spacing w:line="320" w:lineRule="exact"/>
              <w:jc w:val="center"/>
              <w:rPr>
                <w:b/>
                <w:szCs w:val="21"/>
                <w:u w:val="single"/>
              </w:rPr>
            </w:pPr>
            <w:r>
              <w:rPr>
                <w:b/>
                <w:szCs w:val="21"/>
                <w:u w:val="single"/>
              </w:rPr>
              <w:t>环境保护对象名称</w:t>
            </w:r>
          </w:p>
        </w:tc>
        <w:tc>
          <w:tcPr>
            <w:tcW w:w="2700" w:type="dxa"/>
            <w:vAlign w:val="center"/>
          </w:tcPr>
          <w:p>
            <w:pPr>
              <w:spacing w:line="320" w:lineRule="exact"/>
              <w:jc w:val="center"/>
              <w:rPr>
                <w:b/>
                <w:szCs w:val="21"/>
                <w:u w:val="single"/>
              </w:rPr>
            </w:pPr>
            <w:r>
              <w:rPr>
                <w:b/>
                <w:szCs w:val="21"/>
                <w:u w:val="single"/>
              </w:rPr>
              <w:t>与养殖场相对方位</w:t>
            </w:r>
          </w:p>
        </w:tc>
        <w:tc>
          <w:tcPr>
            <w:tcW w:w="1737" w:type="dxa"/>
            <w:vAlign w:val="center"/>
          </w:tcPr>
          <w:p>
            <w:pPr>
              <w:spacing w:line="320" w:lineRule="exact"/>
              <w:jc w:val="center"/>
              <w:rPr>
                <w:b/>
                <w:szCs w:val="21"/>
                <w:u w:val="single"/>
              </w:rPr>
            </w:pPr>
            <w:r>
              <w:rPr>
                <w:b/>
                <w:szCs w:val="21"/>
                <w:u w:val="single"/>
              </w:rPr>
              <w:t>距离（m）</w:t>
            </w:r>
          </w:p>
        </w:tc>
        <w:tc>
          <w:tcPr>
            <w:tcW w:w="905" w:type="dxa"/>
            <w:vAlign w:val="center"/>
          </w:tcPr>
          <w:p>
            <w:pPr>
              <w:spacing w:line="320" w:lineRule="exact"/>
              <w:jc w:val="center"/>
              <w:rPr>
                <w:b/>
                <w:szCs w:val="21"/>
                <w:u w:val="single"/>
              </w:rPr>
            </w:pPr>
            <w:r>
              <w:rPr>
                <w:b/>
                <w:szCs w:val="21"/>
                <w:u w:val="single"/>
              </w:rPr>
              <w:t>人口</w:t>
            </w:r>
          </w:p>
        </w:tc>
        <w:tc>
          <w:tcPr>
            <w:tcW w:w="904" w:type="dxa"/>
            <w:vAlign w:val="center"/>
          </w:tcPr>
          <w:p>
            <w:pPr>
              <w:spacing w:line="320" w:lineRule="exact"/>
              <w:jc w:val="center"/>
              <w:rPr>
                <w:b/>
                <w:szCs w:val="21"/>
                <w:u w:val="single"/>
              </w:rPr>
            </w:pPr>
            <w:r>
              <w:rPr>
                <w:b/>
                <w:szCs w:val="21"/>
                <w:u w:val="single"/>
              </w:rPr>
              <w:t>户数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仙翁庙村</w:t>
            </w:r>
          </w:p>
        </w:tc>
        <w:tc>
          <w:tcPr>
            <w:tcW w:w="2700" w:type="dxa"/>
            <w:vAlign w:val="center"/>
          </w:tcPr>
          <w:p>
            <w:pPr>
              <w:widowControl/>
              <w:jc w:val="center"/>
              <w:textAlignment w:val="center"/>
              <w:rPr>
                <w:b/>
                <w:color w:val="000000"/>
                <w:sz w:val="22"/>
                <w:szCs w:val="22"/>
                <w:u w:val="single"/>
              </w:rPr>
            </w:pPr>
            <w:r>
              <w:rPr>
                <w:color w:val="000000"/>
                <w:kern w:val="0"/>
                <w:szCs w:val="21"/>
              </w:rPr>
              <w:t>N</w:t>
            </w:r>
          </w:p>
        </w:tc>
        <w:tc>
          <w:tcPr>
            <w:tcW w:w="1737" w:type="dxa"/>
            <w:vAlign w:val="center"/>
          </w:tcPr>
          <w:p>
            <w:pPr>
              <w:widowControl/>
              <w:jc w:val="center"/>
              <w:textAlignment w:val="center"/>
              <w:rPr>
                <w:b/>
                <w:color w:val="000000"/>
                <w:sz w:val="22"/>
                <w:szCs w:val="22"/>
                <w:u w:val="single"/>
              </w:rPr>
            </w:pPr>
            <w:r>
              <w:rPr>
                <w:color w:val="000000"/>
                <w:kern w:val="0"/>
                <w:szCs w:val="21"/>
              </w:rPr>
              <w:t>955</w:t>
            </w:r>
          </w:p>
        </w:tc>
        <w:tc>
          <w:tcPr>
            <w:tcW w:w="905" w:type="dxa"/>
            <w:vAlign w:val="center"/>
          </w:tcPr>
          <w:p>
            <w:pPr>
              <w:widowControl/>
              <w:jc w:val="center"/>
              <w:textAlignment w:val="center"/>
              <w:rPr>
                <w:b/>
                <w:color w:val="000000"/>
                <w:szCs w:val="21"/>
                <w:u w:val="single"/>
              </w:rPr>
            </w:pPr>
            <w:r>
              <w:rPr>
                <w:color w:val="000000"/>
                <w:kern w:val="0"/>
                <w:szCs w:val="21"/>
              </w:rPr>
              <w:t>3012</w:t>
            </w:r>
          </w:p>
        </w:tc>
        <w:tc>
          <w:tcPr>
            <w:tcW w:w="904" w:type="dxa"/>
            <w:vAlign w:val="center"/>
          </w:tcPr>
          <w:p>
            <w:pPr>
              <w:widowControl/>
              <w:jc w:val="center"/>
              <w:textAlignment w:val="center"/>
              <w:rPr>
                <w:b/>
                <w:color w:val="000000"/>
                <w:szCs w:val="21"/>
                <w:u w:val="single"/>
              </w:rPr>
            </w:pPr>
            <w:r>
              <w:rPr>
                <w:color w:val="000000"/>
                <w:kern w:val="0"/>
                <w:szCs w:val="21"/>
              </w:rPr>
              <w:t>603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关庄</w:t>
            </w:r>
          </w:p>
        </w:tc>
        <w:tc>
          <w:tcPr>
            <w:tcW w:w="2700" w:type="dxa"/>
            <w:vAlign w:val="center"/>
          </w:tcPr>
          <w:p>
            <w:pPr>
              <w:widowControl/>
              <w:jc w:val="center"/>
              <w:textAlignment w:val="center"/>
              <w:rPr>
                <w:b/>
                <w:color w:val="000000"/>
                <w:sz w:val="22"/>
                <w:szCs w:val="22"/>
                <w:u w:val="single"/>
              </w:rPr>
            </w:pPr>
            <w:r>
              <w:rPr>
                <w:color w:val="000000"/>
                <w:kern w:val="0"/>
                <w:szCs w:val="21"/>
              </w:rPr>
              <w:t>NE</w:t>
            </w:r>
          </w:p>
        </w:tc>
        <w:tc>
          <w:tcPr>
            <w:tcW w:w="1737" w:type="dxa"/>
            <w:vAlign w:val="center"/>
          </w:tcPr>
          <w:p>
            <w:pPr>
              <w:widowControl/>
              <w:jc w:val="center"/>
              <w:textAlignment w:val="center"/>
              <w:rPr>
                <w:b/>
                <w:color w:val="000000"/>
                <w:sz w:val="22"/>
                <w:szCs w:val="22"/>
                <w:u w:val="single"/>
              </w:rPr>
            </w:pPr>
            <w:r>
              <w:rPr>
                <w:color w:val="000000"/>
                <w:kern w:val="0"/>
                <w:szCs w:val="21"/>
              </w:rPr>
              <w:t>2389</w:t>
            </w:r>
          </w:p>
        </w:tc>
        <w:tc>
          <w:tcPr>
            <w:tcW w:w="905" w:type="dxa"/>
            <w:vAlign w:val="center"/>
          </w:tcPr>
          <w:p>
            <w:pPr>
              <w:widowControl/>
              <w:jc w:val="center"/>
              <w:textAlignment w:val="center"/>
              <w:rPr>
                <w:b/>
                <w:color w:val="000000"/>
                <w:szCs w:val="21"/>
                <w:u w:val="single"/>
              </w:rPr>
            </w:pPr>
            <w:r>
              <w:rPr>
                <w:color w:val="000000"/>
                <w:kern w:val="0"/>
                <w:szCs w:val="21"/>
              </w:rPr>
              <w:t>1056</w:t>
            </w:r>
          </w:p>
        </w:tc>
        <w:tc>
          <w:tcPr>
            <w:tcW w:w="904" w:type="dxa"/>
            <w:vAlign w:val="center"/>
          </w:tcPr>
          <w:p>
            <w:pPr>
              <w:widowControl/>
              <w:jc w:val="center"/>
              <w:textAlignment w:val="center"/>
              <w:rPr>
                <w:b/>
                <w:color w:val="000000"/>
                <w:szCs w:val="21"/>
                <w:u w:val="single"/>
              </w:rPr>
            </w:pPr>
            <w:r>
              <w:rPr>
                <w:color w:val="000000"/>
                <w:kern w:val="0"/>
                <w:szCs w:val="21"/>
              </w:rPr>
              <w:t>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史庄寨</w:t>
            </w:r>
          </w:p>
        </w:tc>
        <w:tc>
          <w:tcPr>
            <w:tcW w:w="2700" w:type="dxa"/>
            <w:vAlign w:val="center"/>
          </w:tcPr>
          <w:p>
            <w:pPr>
              <w:widowControl/>
              <w:jc w:val="center"/>
              <w:textAlignment w:val="center"/>
              <w:rPr>
                <w:b/>
                <w:color w:val="000000"/>
                <w:sz w:val="22"/>
                <w:szCs w:val="22"/>
                <w:u w:val="single"/>
              </w:rPr>
            </w:pPr>
            <w:r>
              <w:rPr>
                <w:color w:val="000000"/>
                <w:kern w:val="0"/>
                <w:szCs w:val="21"/>
              </w:rPr>
              <w:t>NE</w:t>
            </w:r>
          </w:p>
        </w:tc>
        <w:tc>
          <w:tcPr>
            <w:tcW w:w="1737" w:type="dxa"/>
            <w:vAlign w:val="center"/>
          </w:tcPr>
          <w:p>
            <w:pPr>
              <w:widowControl/>
              <w:jc w:val="center"/>
              <w:textAlignment w:val="center"/>
              <w:rPr>
                <w:b/>
                <w:color w:val="000000"/>
                <w:sz w:val="22"/>
                <w:szCs w:val="22"/>
                <w:u w:val="single"/>
              </w:rPr>
            </w:pPr>
            <w:r>
              <w:rPr>
                <w:color w:val="000000"/>
                <w:kern w:val="0"/>
                <w:szCs w:val="21"/>
              </w:rPr>
              <w:t>1966</w:t>
            </w:r>
          </w:p>
        </w:tc>
        <w:tc>
          <w:tcPr>
            <w:tcW w:w="905" w:type="dxa"/>
            <w:vAlign w:val="center"/>
          </w:tcPr>
          <w:p>
            <w:pPr>
              <w:widowControl/>
              <w:jc w:val="center"/>
              <w:textAlignment w:val="center"/>
              <w:rPr>
                <w:b/>
                <w:color w:val="000000"/>
                <w:szCs w:val="21"/>
                <w:u w:val="single"/>
              </w:rPr>
            </w:pPr>
            <w:r>
              <w:rPr>
                <w:color w:val="000000"/>
                <w:kern w:val="0"/>
                <w:szCs w:val="21"/>
              </w:rPr>
              <w:t>956</w:t>
            </w:r>
          </w:p>
        </w:tc>
        <w:tc>
          <w:tcPr>
            <w:tcW w:w="904" w:type="dxa"/>
            <w:vAlign w:val="center"/>
          </w:tcPr>
          <w:p>
            <w:pPr>
              <w:widowControl/>
              <w:jc w:val="center"/>
              <w:textAlignment w:val="center"/>
              <w:rPr>
                <w:b/>
                <w:color w:val="000000"/>
                <w:sz w:val="22"/>
                <w:szCs w:val="22"/>
                <w:u w:val="single"/>
              </w:rPr>
            </w:pPr>
            <w:r>
              <w:rPr>
                <w:color w:val="000000"/>
                <w:kern w:val="0"/>
                <w:szCs w:val="21"/>
              </w:rPr>
              <w:t>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3"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邢寨村</w:t>
            </w:r>
          </w:p>
        </w:tc>
        <w:tc>
          <w:tcPr>
            <w:tcW w:w="2700" w:type="dxa"/>
            <w:vAlign w:val="center"/>
          </w:tcPr>
          <w:p>
            <w:pPr>
              <w:widowControl/>
              <w:jc w:val="center"/>
              <w:textAlignment w:val="center"/>
              <w:rPr>
                <w:b/>
                <w:color w:val="000000"/>
                <w:sz w:val="22"/>
                <w:szCs w:val="22"/>
                <w:u w:val="single"/>
              </w:rPr>
            </w:pPr>
            <w:r>
              <w:rPr>
                <w:color w:val="000000"/>
                <w:kern w:val="0"/>
                <w:szCs w:val="21"/>
              </w:rPr>
              <w:t>SE</w:t>
            </w:r>
          </w:p>
        </w:tc>
        <w:tc>
          <w:tcPr>
            <w:tcW w:w="1737" w:type="dxa"/>
            <w:vAlign w:val="center"/>
          </w:tcPr>
          <w:p>
            <w:pPr>
              <w:widowControl/>
              <w:jc w:val="center"/>
              <w:textAlignment w:val="center"/>
              <w:rPr>
                <w:rFonts w:hint="eastAsia" w:eastAsia="宋体"/>
                <w:b/>
                <w:color w:val="000000"/>
                <w:sz w:val="22"/>
                <w:szCs w:val="22"/>
                <w:u w:val="single"/>
                <w:lang w:eastAsia="zh-CN"/>
              </w:rPr>
            </w:pPr>
            <w:r>
              <w:rPr>
                <w:rFonts w:hint="eastAsia"/>
                <w:color w:val="000000"/>
                <w:kern w:val="0"/>
                <w:szCs w:val="21"/>
                <w:lang w:eastAsia="zh-CN"/>
              </w:rPr>
              <w:t>507</w:t>
            </w:r>
          </w:p>
        </w:tc>
        <w:tc>
          <w:tcPr>
            <w:tcW w:w="905" w:type="dxa"/>
            <w:vAlign w:val="center"/>
          </w:tcPr>
          <w:p>
            <w:pPr>
              <w:widowControl/>
              <w:jc w:val="center"/>
              <w:textAlignment w:val="center"/>
              <w:rPr>
                <w:b/>
                <w:color w:val="000000"/>
                <w:szCs w:val="21"/>
                <w:u w:val="single"/>
              </w:rPr>
            </w:pPr>
            <w:r>
              <w:rPr>
                <w:color w:val="000000"/>
                <w:kern w:val="0"/>
                <w:szCs w:val="21"/>
              </w:rPr>
              <w:t>1552</w:t>
            </w:r>
          </w:p>
        </w:tc>
        <w:tc>
          <w:tcPr>
            <w:tcW w:w="904" w:type="dxa"/>
            <w:vAlign w:val="center"/>
          </w:tcPr>
          <w:p>
            <w:pPr>
              <w:widowControl/>
              <w:jc w:val="center"/>
              <w:textAlignment w:val="center"/>
              <w:rPr>
                <w:b/>
                <w:color w:val="000000"/>
                <w:szCs w:val="21"/>
                <w:u w:val="single"/>
              </w:rPr>
            </w:pPr>
            <w:r>
              <w:rPr>
                <w:color w:val="000000"/>
                <w:kern w:val="0"/>
                <w:szCs w:val="21"/>
              </w:rPr>
              <w:t>312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邢岗村</w:t>
            </w:r>
          </w:p>
        </w:tc>
        <w:tc>
          <w:tcPr>
            <w:tcW w:w="2700" w:type="dxa"/>
            <w:vAlign w:val="center"/>
          </w:tcPr>
          <w:p>
            <w:pPr>
              <w:widowControl/>
              <w:jc w:val="center"/>
              <w:textAlignment w:val="center"/>
              <w:rPr>
                <w:b/>
                <w:color w:val="000000"/>
                <w:sz w:val="22"/>
                <w:szCs w:val="22"/>
                <w:u w:val="single"/>
              </w:rPr>
            </w:pPr>
            <w:r>
              <w:rPr>
                <w:color w:val="000000"/>
                <w:kern w:val="0"/>
                <w:szCs w:val="21"/>
              </w:rPr>
              <w:t>SE</w:t>
            </w:r>
          </w:p>
        </w:tc>
        <w:tc>
          <w:tcPr>
            <w:tcW w:w="1737" w:type="dxa"/>
            <w:vAlign w:val="center"/>
          </w:tcPr>
          <w:p>
            <w:pPr>
              <w:widowControl/>
              <w:jc w:val="center"/>
              <w:textAlignment w:val="center"/>
              <w:rPr>
                <w:b/>
                <w:color w:val="000000"/>
                <w:sz w:val="22"/>
                <w:szCs w:val="22"/>
                <w:u w:val="single"/>
              </w:rPr>
            </w:pPr>
            <w:r>
              <w:rPr>
                <w:color w:val="000000"/>
                <w:kern w:val="0"/>
                <w:szCs w:val="21"/>
              </w:rPr>
              <w:t>1223</w:t>
            </w:r>
          </w:p>
        </w:tc>
        <w:tc>
          <w:tcPr>
            <w:tcW w:w="905" w:type="dxa"/>
            <w:vAlign w:val="center"/>
          </w:tcPr>
          <w:p>
            <w:pPr>
              <w:widowControl/>
              <w:jc w:val="center"/>
              <w:textAlignment w:val="center"/>
              <w:rPr>
                <w:b/>
                <w:color w:val="000000"/>
                <w:szCs w:val="21"/>
                <w:u w:val="single"/>
              </w:rPr>
            </w:pPr>
            <w:r>
              <w:rPr>
                <w:color w:val="000000"/>
                <w:kern w:val="0"/>
                <w:szCs w:val="21"/>
              </w:rPr>
              <w:t>1568</w:t>
            </w:r>
          </w:p>
        </w:tc>
        <w:tc>
          <w:tcPr>
            <w:tcW w:w="904" w:type="dxa"/>
            <w:vAlign w:val="center"/>
          </w:tcPr>
          <w:p>
            <w:pPr>
              <w:widowControl/>
              <w:jc w:val="center"/>
              <w:textAlignment w:val="center"/>
              <w:rPr>
                <w:b/>
                <w:color w:val="000000"/>
                <w:sz w:val="22"/>
                <w:szCs w:val="22"/>
                <w:u w:val="single"/>
              </w:rPr>
            </w:pPr>
            <w:r>
              <w:rPr>
                <w:color w:val="000000"/>
                <w:kern w:val="0"/>
                <w:szCs w:val="21"/>
              </w:rPr>
              <w:t>315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南李庄</w:t>
            </w:r>
          </w:p>
        </w:tc>
        <w:tc>
          <w:tcPr>
            <w:tcW w:w="2700" w:type="dxa"/>
            <w:vAlign w:val="center"/>
          </w:tcPr>
          <w:p>
            <w:pPr>
              <w:widowControl/>
              <w:jc w:val="center"/>
              <w:textAlignment w:val="center"/>
              <w:rPr>
                <w:b/>
                <w:color w:val="000000"/>
                <w:sz w:val="22"/>
                <w:szCs w:val="22"/>
                <w:u w:val="single"/>
              </w:rPr>
            </w:pPr>
            <w:r>
              <w:rPr>
                <w:color w:val="000000"/>
                <w:kern w:val="0"/>
                <w:szCs w:val="21"/>
              </w:rPr>
              <w:t>SE</w:t>
            </w:r>
          </w:p>
        </w:tc>
        <w:tc>
          <w:tcPr>
            <w:tcW w:w="1737" w:type="dxa"/>
            <w:vAlign w:val="center"/>
          </w:tcPr>
          <w:p>
            <w:pPr>
              <w:widowControl/>
              <w:jc w:val="center"/>
              <w:textAlignment w:val="center"/>
              <w:rPr>
                <w:b/>
                <w:color w:val="000000"/>
                <w:sz w:val="22"/>
                <w:szCs w:val="22"/>
                <w:u w:val="single"/>
              </w:rPr>
            </w:pPr>
            <w:r>
              <w:rPr>
                <w:color w:val="000000"/>
                <w:kern w:val="0"/>
                <w:szCs w:val="21"/>
              </w:rPr>
              <w:t>1841</w:t>
            </w:r>
          </w:p>
        </w:tc>
        <w:tc>
          <w:tcPr>
            <w:tcW w:w="905" w:type="dxa"/>
            <w:vAlign w:val="center"/>
          </w:tcPr>
          <w:p>
            <w:pPr>
              <w:widowControl/>
              <w:jc w:val="center"/>
              <w:textAlignment w:val="center"/>
              <w:rPr>
                <w:b/>
                <w:color w:val="000000"/>
                <w:szCs w:val="21"/>
                <w:u w:val="single"/>
              </w:rPr>
            </w:pPr>
            <w:r>
              <w:rPr>
                <w:color w:val="000000"/>
                <w:kern w:val="0"/>
                <w:szCs w:val="21"/>
              </w:rPr>
              <w:t>1072</w:t>
            </w:r>
          </w:p>
        </w:tc>
        <w:tc>
          <w:tcPr>
            <w:tcW w:w="904" w:type="dxa"/>
            <w:vAlign w:val="center"/>
          </w:tcPr>
          <w:p>
            <w:pPr>
              <w:widowControl/>
              <w:jc w:val="center"/>
              <w:textAlignment w:val="center"/>
              <w:rPr>
                <w:b/>
                <w:color w:val="000000"/>
                <w:szCs w:val="21"/>
                <w:u w:val="single"/>
              </w:rPr>
            </w:pPr>
            <w:r>
              <w:rPr>
                <w:color w:val="000000"/>
                <w:kern w:val="0"/>
                <w:szCs w:val="21"/>
              </w:rPr>
              <w:t>212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徐庄</w:t>
            </w:r>
          </w:p>
        </w:tc>
        <w:tc>
          <w:tcPr>
            <w:tcW w:w="2700" w:type="dxa"/>
            <w:vAlign w:val="center"/>
          </w:tcPr>
          <w:p>
            <w:pPr>
              <w:widowControl/>
              <w:jc w:val="center"/>
              <w:textAlignment w:val="center"/>
              <w:rPr>
                <w:b/>
                <w:color w:val="000000"/>
                <w:sz w:val="22"/>
                <w:szCs w:val="22"/>
                <w:u w:val="single"/>
              </w:rPr>
            </w:pPr>
            <w:r>
              <w:rPr>
                <w:color w:val="000000"/>
                <w:kern w:val="0"/>
                <w:szCs w:val="21"/>
              </w:rPr>
              <w:t>SE</w:t>
            </w:r>
          </w:p>
        </w:tc>
        <w:tc>
          <w:tcPr>
            <w:tcW w:w="1737" w:type="dxa"/>
            <w:vAlign w:val="center"/>
          </w:tcPr>
          <w:p>
            <w:pPr>
              <w:widowControl/>
              <w:jc w:val="center"/>
              <w:textAlignment w:val="center"/>
              <w:rPr>
                <w:b/>
                <w:color w:val="000000"/>
                <w:sz w:val="22"/>
                <w:szCs w:val="22"/>
                <w:u w:val="single"/>
              </w:rPr>
            </w:pPr>
            <w:r>
              <w:rPr>
                <w:color w:val="000000"/>
                <w:kern w:val="0"/>
                <w:szCs w:val="21"/>
              </w:rPr>
              <w:t>2005</w:t>
            </w:r>
          </w:p>
        </w:tc>
        <w:tc>
          <w:tcPr>
            <w:tcW w:w="905" w:type="dxa"/>
            <w:vAlign w:val="center"/>
          </w:tcPr>
          <w:p>
            <w:pPr>
              <w:widowControl/>
              <w:jc w:val="center"/>
              <w:textAlignment w:val="center"/>
              <w:rPr>
                <w:b/>
                <w:color w:val="000000"/>
                <w:szCs w:val="21"/>
                <w:u w:val="single"/>
              </w:rPr>
            </w:pPr>
            <w:r>
              <w:rPr>
                <w:color w:val="000000"/>
                <w:kern w:val="0"/>
                <w:szCs w:val="21"/>
              </w:rPr>
              <w:t>1260</w:t>
            </w:r>
          </w:p>
        </w:tc>
        <w:tc>
          <w:tcPr>
            <w:tcW w:w="904" w:type="dxa"/>
            <w:vAlign w:val="center"/>
          </w:tcPr>
          <w:p>
            <w:pPr>
              <w:widowControl/>
              <w:jc w:val="center"/>
              <w:textAlignment w:val="center"/>
              <w:rPr>
                <w:b/>
                <w:color w:val="000000"/>
                <w:szCs w:val="21"/>
                <w:u w:val="single"/>
              </w:rPr>
            </w:pPr>
            <w:r>
              <w:rPr>
                <w:color w:val="000000"/>
                <w:kern w:val="0"/>
                <w:szCs w:val="21"/>
              </w:rPr>
              <w:t>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后小杨庄</w:t>
            </w:r>
          </w:p>
        </w:tc>
        <w:tc>
          <w:tcPr>
            <w:tcW w:w="2700" w:type="dxa"/>
            <w:vAlign w:val="center"/>
          </w:tcPr>
          <w:p>
            <w:pPr>
              <w:widowControl/>
              <w:jc w:val="center"/>
              <w:textAlignment w:val="center"/>
              <w:rPr>
                <w:b/>
                <w:color w:val="000000"/>
                <w:sz w:val="22"/>
                <w:szCs w:val="22"/>
                <w:u w:val="single"/>
              </w:rPr>
            </w:pPr>
            <w:r>
              <w:rPr>
                <w:color w:val="000000"/>
                <w:kern w:val="0"/>
                <w:szCs w:val="21"/>
              </w:rPr>
              <w:t>SE</w:t>
            </w:r>
          </w:p>
        </w:tc>
        <w:tc>
          <w:tcPr>
            <w:tcW w:w="1737" w:type="dxa"/>
            <w:vAlign w:val="center"/>
          </w:tcPr>
          <w:p>
            <w:pPr>
              <w:widowControl/>
              <w:jc w:val="center"/>
              <w:textAlignment w:val="center"/>
              <w:rPr>
                <w:b/>
                <w:color w:val="000000"/>
                <w:sz w:val="22"/>
                <w:szCs w:val="22"/>
                <w:u w:val="single"/>
              </w:rPr>
            </w:pPr>
            <w:r>
              <w:rPr>
                <w:color w:val="000000"/>
                <w:kern w:val="0"/>
                <w:szCs w:val="21"/>
              </w:rPr>
              <w:t>2095</w:t>
            </w:r>
          </w:p>
        </w:tc>
        <w:tc>
          <w:tcPr>
            <w:tcW w:w="905" w:type="dxa"/>
            <w:vAlign w:val="center"/>
          </w:tcPr>
          <w:p>
            <w:pPr>
              <w:widowControl/>
              <w:jc w:val="center"/>
              <w:textAlignment w:val="center"/>
              <w:rPr>
                <w:b/>
                <w:color w:val="000000"/>
                <w:szCs w:val="21"/>
                <w:u w:val="single"/>
              </w:rPr>
            </w:pPr>
            <w:r>
              <w:rPr>
                <w:color w:val="000000"/>
                <w:kern w:val="0"/>
                <w:szCs w:val="21"/>
              </w:rPr>
              <w:t>368</w:t>
            </w:r>
          </w:p>
        </w:tc>
        <w:tc>
          <w:tcPr>
            <w:tcW w:w="904" w:type="dxa"/>
            <w:vAlign w:val="center"/>
          </w:tcPr>
          <w:p>
            <w:pPr>
              <w:widowControl/>
              <w:jc w:val="center"/>
              <w:textAlignment w:val="center"/>
              <w:rPr>
                <w:b/>
                <w:color w:val="000000"/>
                <w:szCs w:val="21"/>
                <w:u w:val="single"/>
              </w:rPr>
            </w:pPr>
            <w:r>
              <w:rPr>
                <w:color w:val="000000"/>
                <w:kern w:val="0"/>
                <w:szCs w:val="21"/>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中杨楼</w:t>
            </w:r>
          </w:p>
        </w:tc>
        <w:tc>
          <w:tcPr>
            <w:tcW w:w="2700" w:type="dxa"/>
            <w:vAlign w:val="center"/>
          </w:tcPr>
          <w:p>
            <w:pPr>
              <w:widowControl/>
              <w:jc w:val="center"/>
              <w:textAlignment w:val="center"/>
              <w:rPr>
                <w:b/>
                <w:color w:val="000000"/>
                <w:sz w:val="22"/>
                <w:szCs w:val="22"/>
                <w:u w:val="single"/>
              </w:rPr>
            </w:pPr>
            <w:r>
              <w:rPr>
                <w:color w:val="000000"/>
                <w:kern w:val="0"/>
                <w:szCs w:val="21"/>
              </w:rPr>
              <w:t>SE</w:t>
            </w:r>
          </w:p>
        </w:tc>
        <w:tc>
          <w:tcPr>
            <w:tcW w:w="1737" w:type="dxa"/>
            <w:vAlign w:val="center"/>
          </w:tcPr>
          <w:p>
            <w:pPr>
              <w:widowControl/>
              <w:jc w:val="center"/>
              <w:textAlignment w:val="center"/>
              <w:rPr>
                <w:b/>
                <w:color w:val="000000"/>
                <w:sz w:val="22"/>
                <w:szCs w:val="22"/>
                <w:u w:val="single"/>
              </w:rPr>
            </w:pPr>
            <w:r>
              <w:rPr>
                <w:color w:val="000000"/>
                <w:kern w:val="0"/>
                <w:szCs w:val="21"/>
              </w:rPr>
              <w:t>1935</w:t>
            </w:r>
          </w:p>
        </w:tc>
        <w:tc>
          <w:tcPr>
            <w:tcW w:w="905" w:type="dxa"/>
            <w:vAlign w:val="center"/>
          </w:tcPr>
          <w:p>
            <w:pPr>
              <w:widowControl/>
              <w:jc w:val="center"/>
              <w:textAlignment w:val="center"/>
              <w:rPr>
                <w:b/>
                <w:color w:val="000000"/>
                <w:szCs w:val="21"/>
                <w:u w:val="single"/>
              </w:rPr>
            </w:pPr>
            <w:r>
              <w:rPr>
                <w:color w:val="000000"/>
                <w:kern w:val="0"/>
                <w:szCs w:val="21"/>
              </w:rPr>
              <w:t>2855</w:t>
            </w:r>
          </w:p>
        </w:tc>
        <w:tc>
          <w:tcPr>
            <w:tcW w:w="904" w:type="dxa"/>
            <w:vAlign w:val="center"/>
          </w:tcPr>
          <w:p>
            <w:pPr>
              <w:widowControl/>
              <w:jc w:val="center"/>
              <w:textAlignment w:val="center"/>
              <w:rPr>
                <w:b/>
                <w:color w:val="000000"/>
                <w:sz w:val="22"/>
                <w:szCs w:val="22"/>
                <w:u w:val="single"/>
              </w:rPr>
            </w:pPr>
            <w:r>
              <w:rPr>
                <w:color w:val="000000"/>
                <w:kern w:val="0"/>
                <w:szCs w:val="21"/>
              </w:rPr>
              <w:t>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后刘庄</w:t>
            </w:r>
          </w:p>
        </w:tc>
        <w:tc>
          <w:tcPr>
            <w:tcW w:w="2700" w:type="dxa"/>
            <w:vAlign w:val="center"/>
          </w:tcPr>
          <w:p>
            <w:pPr>
              <w:widowControl/>
              <w:jc w:val="center"/>
              <w:textAlignment w:val="center"/>
              <w:rPr>
                <w:b/>
                <w:color w:val="000000"/>
                <w:sz w:val="22"/>
                <w:szCs w:val="22"/>
                <w:u w:val="single"/>
              </w:rPr>
            </w:pPr>
            <w:r>
              <w:rPr>
                <w:color w:val="000000"/>
                <w:kern w:val="0"/>
                <w:szCs w:val="21"/>
              </w:rPr>
              <w:t>S</w:t>
            </w:r>
          </w:p>
        </w:tc>
        <w:tc>
          <w:tcPr>
            <w:tcW w:w="1737" w:type="dxa"/>
            <w:vAlign w:val="center"/>
          </w:tcPr>
          <w:p>
            <w:pPr>
              <w:widowControl/>
              <w:jc w:val="center"/>
              <w:textAlignment w:val="center"/>
              <w:rPr>
                <w:b/>
                <w:color w:val="000000"/>
                <w:sz w:val="22"/>
                <w:szCs w:val="22"/>
                <w:u w:val="single"/>
              </w:rPr>
            </w:pPr>
            <w:r>
              <w:rPr>
                <w:color w:val="000000"/>
                <w:kern w:val="0"/>
                <w:szCs w:val="21"/>
              </w:rPr>
              <w:t>1576</w:t>
            </w:r>
          </w:p>
        </w:tc>
        <w:tc>
          <w:tcPr>
            <w:tcW w:w="905" w:type="dxa"/>
            <w:vAlign w:val="center"/>
          </w:tcPr>
          <w:p>
            <w:pPr>
              <w:widowControl/>
              <w:jc w:val="center"/>
              <w:textAlignment w:val="center"/>
              <w:rPr>
                <w:b/>
                <w:color w:val="000000"/>
                <w:szCs w:val="21"/>
                <w:u w:val="single"/>
              </w:rPr>
            </w:pPr>
            <w:r>
              <w:rPr>
                <w:color w:val="000000"/>
                <w:kern w:val="0"/>
                <w:szCs w:val="21"/>
              </w:rPr>
              <w:t>1162</w:t>
            </w:r>
          </w:p>
        </w:tc>
        <w:tc>
          <w:tcPr>
            <w:tcW w:w="904" w:type="dxa"/>
            <w:vAlign w:val="center"/>
          </w:tcPr>
          <w:p>
            <w:pPr>
              <w:widowControl/>
              <w:jc w:val="center"/>
              <w:textAlignment w:val="center"/>
              <w:rPr>
                <w:b/>
                <w:color w:val="000000"/>
                <w:szCs w:val="21"/>
                <w:u w:val="single"/>
              </w:rPr>
            </w:pPr>
            <w:r>
              <w:rPr>
                <w:color w:val="000000"/>
                <w:kern w:val="0"/>
                <w:szCs w:val="21"/>
              </w:rPr>
              <w:t>233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前邢寨</w:t>
            </w:r>
          </w:p>
        </w:tc>
        <w:tc>
          <w:tcPr>
            <w:tcW w:w="2700" w:type="dxa"/>
            <w:vAlign w:val="center"/>
          </w:tcPr>
          <w:p>
            <w:pPr>
              <w:widowControl/>
              <w:jc w:val="center"/>
              <w:textAlignment w:val="center"/>
              <w:rPr>
                <w:b/>
                <w:color w:val="000000"/>
                <w:sz w:val="22"/>
                <w:szCs w:val="22"/>
                <w:u w:val="single"/>
              </w:rPr>
            </w:pPr>
            <w:r>
              <w:rPr>
                <w:color w:val="000000"/>
                <w:kern w:val="0"/>
                <w:szCs w:val="21"/>
              </w:rPr>
              <w:t>S</w:t>
            </w:r>
          </w:p>
        </w:tc>
        <w:tc>
          <w:tcPr>
            <w:tcW w:w="1737" w:type="dxa"/>
            <w:vAlign w:val="center"/>
          </w:tcPr>
          <w:p>
            <w:pPr>
              <w:widowControl/>
              <w:jc w:val="center"/>
              <w:textAlignment w:val="center"/>
              <w:rPr>
                <w:b/>
                <w:color w:val="000000"/>
                <w:sz w:val="22"/>
                <w:szCs w:val="22"/>
                <w:u w:val="single"/>
              </w:rPr>
            </w:pPr>
            <w:r>
              <w:rPr>
                <w:color w:val="000000"/>
                <w:kern w:val="0"/>
                <w:szCs w:val="21"/>
              </w:rPr>
              <w:t>1263</w:t>
            </w:r>
          </w:p>
        </w:tc>
        <w:tc>
          <w:tcPr>
            <w:tcW w:w="905" w:type="dxa"/>
            <w:vAlign w:val="center"/>
          </w:tcPr>
          <w:p>
            <w:pPr>
              <w:widowControl/>
              <w:jc w:val="center"/>
              <w:textAlignment w:val="center"/>
              <w:rPr>
                <w:b/>
                <w:color w:val="000000"/>
                <w:szCs w:val="21"/>
                <w:u w:val="single"/>
              </w:rPr>
            </w:pPr>
            <w:r>
              <w:rPr>
                <w:color w:val="000000"/>
                <w:kern w:val="0"/>
                <w:szCs w:val="21"/>
              </w:rPr>
              <w:t>1086</w:t>
            </w:r>
          </w:p>
        </w:tc>
        <w:tc>
          <w:tcPr>
            <w:tcW w:w="904" w:type="dxa"/>
            <w:vAlign w:val="center"/>
          </w:tcPr>
          <w:p>
            <w:pPr>
              <w:widowControl/>
              <w:jc w:val="center"/>
              <w:textAlignment w:val="center"/>
              <w:rPr>
                <w:b/>
                <w:color w:val="000000"/>
                <w:szCs w:val="21"/>
                <w:u w:val="single"/>
              </w:rPr>
            </w:pPr>
            <w:r>
              <w:rPr>
                <w:color w:val="000000"/>
                <w:kern w:val="0"/>
                <w:szCs w:val="21"/>
              </w:rPr>
              <w:t>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老任村</w:t>
            </w:r>
          </w:p>
        </w:tc>
        <w:tc>
          <w:tcPr>
            <w:tcW w:w="2700" w:type="dxa"/>
            <w:vAlign w:val="center"/>
          </w:tcPr>
          <w:p>
            <w:pPr>
              <w:widowControl/>
              <w:jc w:val="center"/>
              <w:textAlignment w:val="center"/>
              <w:rPr>
                <w:b/>
                <w:color w:val="000000"/>
                <w:sz w:val="22"/>
                <w:szCs w:val="22"/>
                <w:u w:val="single"/>
              </w:rPr>
            </w:pPr>
            <w:r>
              <w:rPr>
                <w:color w:val="000000"/>
                <w:kern w:val="0"/>
                <w:szCs w:val="21"/>
              </w:rPr>
              <w:t>S</w:t>
            </w:r>
          </w:p>
        </w:tc>
        <w:tc>
          <w:tcPr>
            <w:tcW w:w="1737" w:type="dxa"/>
            <w:vAlign w:val="center"/>
          </w:tcPr>
          <w:p>
            <w:pPr>
              <w:widowControl/>
              <w:jc w:val="center"/>
              <w:textAlignment w:val="center"/>
              <w:rPr>
                <w:b/>
                <w:color w:val="000000"/>
                <w:sz w:val="22"/>
                <w:szCs w:val="22"/>
                <w:u w:val="single"/>
              </w:rPr>
            </w:pPr>
            <w:r>
              <w:rPr>
                <w:color w:val="000000"/>
                <w:kern w:val="0"/>
                <w:szCs w:val="21"/>
              </w:rPr>
              <w:t>1140</w:t>
            </w:r>
          </w:p>
        </w:tc>
        <w:tc>
          <w:tcPr>
            <w:tcW w:w="905" w:type="dxa"/>
            <w:vAlign w:val="center"/>
          </w:tcPr>
          <w:p>
            <w:pPr>
              <w:widowControl/>
              <w:jc w:val="center"/>
              <w:textAlignment w:val="center"/>
              <w:rPr>
                <w:b/>
                <w:color w:val="000000"/>
                <w:szCs w:val="21"/>
                <w:u w:val="single"/>
              </w:rPr>
            </w:pPr>
            <w:r>
              <w:rPr>
                <w:color w:val="000000"/>
                <w:kern w:val="0"/>
                <w:szCs w:val="21"/>
              </w:rPr>
              <w:t>1521</w:t>
            </w:r>
          </w:p>
        </w:tc>
        <w:tc>
          <w:tcPr>
            <w:tcW w:w="904" w:type="dxa"/>
            <w:vAlign w:val="center"/>
          </w:tcPr>
          <w:p>
            <w:pPr>
              <w:widowControl/>
              <w:jc w:val="center"/>
              <w:textAlignment w:val="center"/>
              <w:rPr>
                <w:b/>
                <w:color w:val="000000"/>
                <w:szCs w:val="21"/>
                <w:u w:val="single"/>
              </w:rPr>
            </w:pPr>
            <w:r>
              <w:rPr>
                <w:color w:val="000000"/>
                <w:kern w:val="0"/>
                <w:szCs w:val="21"/>
              </w:rPr>
              <w:t>298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小任庄</w:t>
            </w:r>
          </w:p>
        </w:tc>
        <w:tc>
          <w:tcPr>
            <w:tcW w:w="2700" w:type="dxa"/>
            <w:vAlign w:val="center"/>
          </w:tcPr>
          <w:p>
            <w:pPr>
              <w:widowControl/>
              <w:jc w:val="center"/>
              <w:textAlignment w:val="center"/>
              <w:rPr>
                <w:b/>
                <w:color w:val="000000"/>
                <w:sz w:val="22"/>
                <w:szCs w:val="22"/>
                <w:u w:val="single"/>
              </w:rPr>
            </w:pPr>
            <w:r>
              <w:rPr>
                <w:color w:val="000000"/>
                <w:kern w:val="0"/>
                <w:szCs w:val="21"/>
              </w:rPr>
              <w:t>S</w:t>
            </w:r>
          </w:p>
        </w:tc>
        <w:tc>
          <w:tcPr>
            <w:tcW w:w="1737" w:type="dxa"/>
            <w:vAlign w:val="center"/>
          </w:tcPr>
          <w:p>
            <w:pPr>
              <w:widowControl/>
              <w:jc w:val="center"/>
              <w:textAlignment w:val="center"/>
              <w:rPr>
                <w:b/>
                <w:color w:val="000000"/>
                <w:sz w:val="22"/>
                <w:szCs w:val="22"/>
                <w:u w:val="single"/>
              </w:rPr>
            </w:pPr>
            <w:r>
              <w:rPr>
                <w:color w:val="000000"/>
                <w:kern w:val="0"/>
                <w:szCs w:val="21"/>
              </w:rPr>
              <w:t>1638</w:t>
            </w:r>
          </w:p>
        </w:tc>
        <w:tc>
          <w:tcPr>
            <w:tcW w:w="905" w:type="dxa"/>
            <w:vAlign w:val="center"/>
          </w:tcPr>
          <w:p>
            <w:pPr>
              <w:widowControl/>
              <w:jc w:val="center"/>
              <w:textAlignment w:val="center"/>
              <w:rPr>
                <w:b/>
                <w:color w:val="000000"/>
                <w:szCs w:val="21"/>
                <w:u w:val="single"/>
              </w:rPr>
            </w:pPr>
            <w:r>
              <w:rPr>
                <w:color w:val="000000"/>
                <w:kern w:val="0"/>
                <w:szCs w:val="21"/>
              </w:rPr>
              <w:t>852</w:t>
            </w:r>
          </w:p>
        </w:tc>
        <w:tc>
          <w:tcPr>
            <w:tcW w:w="904" w:type="dxa"/>
            <w:vAlign w:val="center"/>
          </w:tcPr>
          <w:p>
            <w:pPr>
              <w:widowControl/>
              <w:jc w:val="center"/>
              <w:textAlignment w:val="center"/>
              <w:rPr>
                <w:b/>
                <w:color w:val="000000"/>
                <w:szCs w:val="21"/>
                <w:u w:val="single"/>
              </w:rPr>
            </w:pPr>
            <w:r>
              <w:rPr>
                <w:color w:val="000000"/>
                <w:kern w:val="0"/>
                <w:szCs w:val="21"/>
              </w:rPr>
              <w:t>169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任涂庄</w:t>
            </w:r>
          </w:p>
        </w:tc>
        <w:tc>
          <w:tcPr>
            <w:tcW w:w="2700" w:type="dxa"/>
            <w:vAlign w:val="center"/>
          </w:tcPr>
          <w:p>
            <w:pPr>
              <w:widowControl/>
              <w:jc w:val="center"/>
              <w:textAlignment w:val="center"/>
              <w:rPr>
                <w:b/>
                <w:color w:val="000000"/>
                <w:sz w:val="22"/>
                <w:szCs w:val="22"/>
                <w:u w:val="single"/>
              </w:rPr>
            </w:pPr>
            <w:r>
              <w:rPr>
                <w:color w:val="000000"/>
                <w:kern w:val="0"/>
                <w:szCs w:val="21"/>
              </w:rPr>
              <w:t>SW</w:t>
            </w:r>
          </w:p>
        </w:tc>
        <w:tc>
          <w:tcPr>
            <w:tcW w:w="1737" w:type="dxa"/>
            <w:vAlign w:val="center"/>
          </w:tcPr>
          <w:p>
            <w:pPr>
              <w:widowControl/>
              <w:jc w:val="center"/>
              <w:textAlignment w:val="center"/>
              <w:rPr>
                <w:b/>
                <w:color w:val="000000"/>
                <w:sz w:val="22"/>
                <w:szCs w:val="22"/>
                <w:u w:val="single"/>
              </w:rPr>
            </w:pPr>
            <w:r>
              <w:rPr>
                <w:color w:val="000000"/>
                <w:kern w:val="0"/>
                <w:szCs w:val="21"/>
              </w:rPr>
              <w:t>2241</w:t>
            </w:r>
          </w:p>
        </w:tc>
        <w:tc>
          <w:tcPr>
            <w:tcW w:w="905" w:type="dxa"/>
            <w:vAlign w:val="center"/>
          </w:tcPr>
          <w:p>
            <w:pPr>
              <w:widowControl/>
              <w:jc w:val="center"/>
              <w:textAlignment w:val="center"/>
              <w:rPr>
                <w:b/>
                <w:color w:val="000000"/>
                <w:szCs w:val="21"/>
                <w:u w:val="single"/>
              </w:rPr>
            </w:pPr>
            <w:r>
              <w:rPr>
                <w:color w:val="000000"/>
                <w:kern w:val="0"/>
                <w:szCs w:val="21"/>
              </w:rPr>
              <w:t>306</w:t>
            </w:r>
          </w:p>
        </w:tc>
        <w:tc>
          <w:tcPr>
            <w:tcW w:w="904" w:type="dxa"/>
            <w:vAlign w:val="center"/>
          </w:tcPr>
          <w:p>
            <w:pPr>
              <w:widowControl/>
              <w:jc w:val="center"/>
              <w:textAlignment w:val="center"/>
              <w:rPr>
                <w:b/>
                <w:color w:val="000000"/>
                <w:szCs w:val="21"/>
                <w:u w:val="single"/>
              </w:rPr>
            </w:pPr>
            <w:r>
              <w:rPr>
                <w:color w:val="000000"/>
                <w:kern w:val="0"/>
                <w:szCs w:val="21"/>
              </w:rPr>
              <w:t>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任王庄</w:t>
            </w:r>
          </w:p>
        </w:tc>
        <w:tc>
          <w:tcPr>
            <w:tcW w:w="2700" w:type="dxa"/>
            <w:vAlign w:val="center"/>
          </w:tcPr>
          <w:p>
            <w:pPr>
              <w:widowControl/>
              <w:jc w:val="center"/>
              <w:textAlignment w:val="center"/>
              <w:rPr>
                <w:b/>
                <w:color w:val="000000"/>
                <w:sz w:val="22"/>
                <w:szCs w:val="22"/>
                <w:u w:val="single"/>
              </w:rPr>
            </w:pPr>
            <w:r>
              <w:rPr>
                <w:color w:val="000000"/>
                <w:kern w:val="0"/>
                <w:szCs w:val="21"/>
              </w:rPr>
              <w:t>SW</w:t>
            </w:r>
          </w:p>
        </w:tc>
        <w:tc>
          <w:tcPr>
            <w:tcW w:w="1737" w:type="dxa"/>
            <w:vAlign w:val="center"/>
          </w:tcPr>
          <w:p>
            <w:pPr>
              <w:widowControl/>
              <w:jc w:val="center"/>
              <w:textAlignment w:val="center"/>
              <w:rPr>
                <w:b/>
                <w:color w:val="000000"/>
                <w:sz w:val="22"/>
                <w:szCs w:val="22"/>
                <w:u w:val="single"/>
              </w:rPr>
            </w:pPr>
            <w:r>
              <w:rPr>
                <w:color w:val="000000"/>
                <w:kern w:val="0"/>
                <w:szCs w:val="21"/>
              </w:rPr>
              <w:t>2265</w:t>
            </w:r>
          </w:p>
        </w:tc>
        <w:tc>
          <w:tcPr>
            <w:tcW w:w="905" w:type="dxa"/>
            <w:vAlign w:val="center"/>
          </w:tcPr>
          <w:p>
            <w:pPr>
              <w:widowControl/>
              <w:jc w:val="center"/>
              <w:textAlignment w:val="center"/>
              <w:rPr>
                <w:b/>
                <w:color w:val="000000"/>
                <w:szCs w:val="21"/>
                <w:u w:val="single"/>
              </w:rPr>
            </w:pPr>
            <w:r>
              <w:rPr>
                <w:color w:val="000000"/>
                <w:kern w:val="0"/>
                <w:szCs w:val="21"/>
              </w:rPr>
              <w:t>408</w:t>
            </w:r>
          </w:p>
        </w:tc>
        <w:tc>
          <w:tcPr>
            <w:tcW w:w="904" w:type="dxa"/>
            <w:vAlign w:val="center"/>
          </w:tcPr>
          <w:p>
            <w:pPr>
              <w:widowControl/>
              <w:jc w:val="center"/>
              <w:textAlignment w:val="center"/>
              <w:rPr>
                <w:b/>
                <w:color w:val="000000"/>
                <w:szCs w:val="21"/>
                <w:u w:val="single"/>
              </w:rPr>
            </w:pPr>
            <w:r>
              <w:rPr>
                <w:color w:val="000000"/>
                <w:kern w:val="0"/>
                <w:szCs w:val="21"/>
              </w:rPr>
              <w:t>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任郭庄</w:t>
            </w:r>
          </w:p>
        </w:tc>
        <w:tc>
          <w:tcPr>
            <w:tcW w:w="2700" w:type="dxa"/>
            <w:vAlign w:val="center"/>
          </w:tcPr>
          <w:p>
            <w:pPr>
              <w:widowControl/>
              <w:jc w:val="center"/>
              <w:textAlignment w:val="center"/>
              <w:rPr>
                <w:b/>
                <w:color w:val="000000"/>
                <w:sz w:val="22"/>
                <w:szCs w:val="22"/>
                <w:u w:val="single"/>
              </w:rPr>
            </w:pPr>
            <w:r>
              <w:rPr>
                <w:color w:val="000000"/>
                <w:kern w:val="0"/>
                <w:szCs w:val="21"/>
              </w:rPr>
              <w:t>SW</w:t>
            </w:r>
          </w:p>
        </w:tc>
        <w:tc>
          <w:tcPr>
            <w:tcW w:w="1737" w:type="dxa"/>
            <w:vAlign w:val="center"/>
          </w:tcPr>
          <w:p>
            <w:pPr>
              <w:widowControl/>
              <w:jc w:val="center"/>
              <w:textAlignment w:val="center"/>
              <w:rPr>
                <w:b/>
                <w:color w:val="000000"/>
                <w:sz w:val="22"/>
                <w:szCs w:val="22"/>
                <w:u w:val="single"/>
              </w:rPr>
            </w:pPr>
            <w:r>
              <w:rPr>
                <w:color w:val="000000"/>
                <w:kern w:val="0"/>
                <w:szCs w:val="21"/>
              </w:rPr>
              <w:t>2029</w:t>
            </w:r>
          </w:p>
        </w:tc>
        <w:tc>
          <w:tcPr>
            <w:tcW w:w="905" w:type="dxa"/>
            <w:vAlign w:val="center"/>
          </w:tcPr>
          <w:p>
            <w:pPr>
              <w:widowControl/>
              <w:jc w:val="center"/>
              <w:textAlignment w:val="center"/>
              <w:rPr>
                <w:b/>
                <w:color w:val="000000"/>
                <w:szCs w:val="21"/>
                <w:u w:val="single"/>
              </w:rPr>
            </w:pPr>
            <w:r>
              <w:rPr>
                <w:color w:val="000000"/>
                <w:kern w:val="0"/>
                <w:szCs w:val="21"/>
              </w:rPr>
              <w:t>667</w:t>
            </w:r>
          </w:p>
        </w:tc>
        <w:tc>
          <w:tcPr>
            <w:tcW w:w="904" w:type="dxa"/>
            <w:vAlign w:val="center"/>
          </w:tcPr>
          <w:p>
            <w:pPr>
              <w:widowControl/>
              <w:jc w:val="center"/>
              <w:textAlignment w:val="center"/>
              <w:rPr>
                <w:b/>
                <w:color w:val="000000"/>
                <w:sz w:val="22"/>
                <w:szCs w:val="22"/>
                <w:u w:val="single"/>
              </w:rPr>
            </w:pPr>
            <w:r>
              <w:rPr>
                <w:color w:val="000000"/>
                <w:kern w:val="0"/>
                <w:szCs w:val="21"/>
              </w:rPr>
              <w:t>132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前湾</w:t>
            </w:r>
          </w:p>
        </w:tc>
        <w:tc>
          <w:tcPr>
            <w:tcW w:w="2700" w:type="dxa"/>
            <w:vAlign w:val="center"/>
          </w:tcPr>
          <w:p>
            <w:pPr>
              <w:widowControl/>
              <w:jc w:val="center"/>
              <w:textAlignment w:val="center"/>
              <w:rPr>
                <w:b/>
                <w:color w:val="000000"/>
                <w:sz w:val="22"/>
                <w:szCs w:val="22"/>
                <w:u w:val="single"/>
              </w:rPr>
            </w:pPr>
            <w:r>
              <w:rPr>
                <w:color w:val="000000"/>
                <w:kern w:val="0"/>
                <w:szCs w:val="21"/>
              </w:rPr>
              <w:t>W</w:t>
            </w:r>
          </w:p>
        </w:tc>
        <w:tc>
          <w:tcPr>
            <w:tcW w:w="1737" w:type="dxa"/>
            <w:vAlign w:val="center"/>
          </w:tcPr>
          <w:p>
            <w:pPr>
              <w:widowControl/>
              <w:jc w:val="center"/>
              <w:textAlignment w:val="center"/>
              <w:rPr>
                <w:b/>
                <w:color w:val="000000"/>
                <w:sz w:val="22"/>
                <w:szCs w:val="22"/>
                <w:u w:val="single"/>
              </w:rPr>
            </w:pPr>
            <w:r>
              <w:rPr>
                <w:color w:val="000000"/>
                <w:kern w:val="0"/>
                <w:szCs w:val="21"/>
              </w:rPr>
              <w:t>1966</w:t>
            </w:r>
          </w:p>
        </w:tc>
        <w:tc>
          <w:tcPr>
            <w:tcW w:w="905" w:type="dxa"/>
            <w:vAlign w:val="center"/>
          </w:tcPr>
          <w:p>
            <w:pPr>
              <w:widowControl/>
              <w:jc w:val="center"/>
              <w:textAlignment w:val="center"/>
              <w:rPr>
                <w:b/>
                <w:color w:val="000000"/>
                <w:szCs w:val="21"/>
                <w:u w:val="single"/>
              </w:rPr>
            </w:pPr>
            <w:r>
              <w:rPr>
                <w:color w:val="000000"/>
                <w:kern w:val="0"/>
                <w:szCs w:val="21"/>
              </w:rPr>
              <w:t>628</w:t>
            </w:r>
          </w:p>
        </w:tc>
        <w:tc>
          <w:tcPr>
            <w:tcW w:w="904" w:type="dxa"/>
            <w:vAlign w:val="center"/>
          </w:tcPr>
          <w:p>
            <w:pPr>
              <w:widowControl/>
              <w:jc w:val="center"/>
              <w:textAlignment w:val="center"/>
              <w:rPr>
                <w:b/>
                <w:color w:val="000000"/>
                <w:sz w:val="22"/>
                <w:szCs w:val="22"/>
                <w:u w:val="single"/>
              </w:rPr>
            </w:pPr>
            <w:r>
              <w:rPr>
                <w:color w:val="000000"/>
                <w:kern w:val="0"/>
                <w:szCs w:val="21"/>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后湾</w:t>
            </w:r>
          </w:p>
        </w:tc>
        <w:tc>
          <w:tcPr>
            <w:tcW w:w="2700" w:type="dxa"/>
            <w:vAlign w:val="center"/>
          </w:tcPr>
          <w:p>
            <w:pPr>
              <w:widowControl/>
              <w:jc w:val="center"/>
              <w:textAlignment w:val="center"/>
              <w:rPr>
                <w:b/>
                <w:color w:val="000000"/>
                <w:sz w:val="22"/>
                <w:szCs w:val="22"/>
                <w:u w:val="single"/>
              </w:rPr>
            </w:pPr>
            <w:r>
              <w:rPr>
                <w:color w:val="000000"/>
                <w:kern w:val="0"/>
                <w:szCs w:val="21"/>
              </w:rPr>
              <w:t>W</w:t>
            </w:r>
          </w:p>
        </w:tc>
        <w:tc>
          <w:tcPr>
            <w:tcW w:w="1737" w:type="dxa"/>
            <w:vAlign w:val="center"/>
          </w:tcPr>
          <w:p>
            <w:pPr>
              <w:widowControl/>
              <w:jc w:val="center"/>
              <w:textAlignment w:val="center"/>
              <w:rPr>
                <w:b/>
                <w:color w:val="000000"/>
                <w:sz w:val="22"/>
                <w:szCs w:val="22"/>
                <w:u w:val="single"/>
              </w:rPr>
            </w:pPr>
            <w:r>
              <w:rPr>
                <w:color w:val="000000"/>
                <w:kern w:val="0"/>
                <w:szCs w:val="21"/>
              </w:rPr>
              <w:t>1876</w:t>
            </w:r>
          </w:p>
        </w:tc>
        <w:tc>
          <w:tcPr>
            <w:tcW w:w="905" w:type="dxa"/>
            <w:vAlign w:val="center"/>
          </w:tcPr>
          <w:p>
            <w:pPr>
              <w:widowControl/>
              <w:jc w:val="center"/>
              <w:textAlignment w:val="center"/>
              <w:rPr>
                <w:b/>
                <w:color w:val="000000"/>
                <w:szCs w:val="21"/>
                <w:u w:val="single"/>
              </w:rPr>
            </w:pPr>
            <w:r>
              <w:rPr>
                <w:color w:val="000000"/>
                <w:kern w:val="0"/>
                <w:szCs w:val="21"/>
              </w:rPr>
              <w:t>452</w:t>
            </w:r>
          </w:p>
        </w:tc>
        <w:tc>
          <w:tcPr>
            <w:tcW w:w="904" w:type="dxa"/>
            <w:vAlign w:val="center"/>
          </w:tcPr>
          <w:p>
            <w:pPr>
              <w:widowControl/>
              <w:jc w:val="center"/>
              <w:textAlignment w:val="center"/>
              <w:rPr>
                <w:b/>
                <w:color w:val="000000"/>
                <w:sz w:val="22"/>
                <w:szCs w:val="22"/>
                <w:u w:val="single"/>
              </w:rPr>
            </w:pPr>
            <w:r>
              <w:rPr>
                <w:color w:val="000000"/>
                <w:kern w:val="0"/>
                <w:szCs w:val="21"/>
              </w:rPr>
              <w:t>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大湾村</w:t>
            </w:r>
          </w:p>
        </w:tc>
        <w:tc>
          <w:tcPr>
            <w:tcW w:w="2700" w:type="dxa"/>
            <w:vAlign w:val="center"/>
          </w:tcPr>
          <w:p>
            <w:pPr>
              <w:widowControl/>
              <w:jc w:val="center"/>
              <w:textAlignment w:val="center"/>
              <w:rPr>
                <w:b/>
                <w:color w:val="000000"/>
                <w:sz w:val="22"/>
                <w:szCs w:val="22"/>
                <w:u w:val="single"/>
              </w:rPr>
            </w:pPr>
            <w:r>
              <w:rPr>
                <w:color w:val="000000"/>
                <w:kern w:val="0"/>
                <w:szCs w:val="21"/>
              </w:rPr>
              <w:t>W</w:t>
            </w:r>
          </w:p>
        </w:tc>
        <w:tc>
          <w:tcPr>
            <w:tcW w:w="1737" w:type="dxa"/>
            <w:vAlign w:val="center"/>
          </w:tcPr>
          <w:p>
            <w:pPr>
              <w:widowControl/>
              <w:jc w:val="center"/>
              <w:textAlignment w:val="center"/>
              <w:rPr>
                <w:b/>
                <w:color w:val="000000"/>
                <w:sz w:val="22"/>
                <w:szCs w:val="22"/>
                <w:u w:val="single"/>
              </w:rPr>
            </w:pPr>
            <w:r>
              <w:rPr>
                <w:color w:val="000000"/>
                <w:kern w:val="0"/>
                <w:szCs w:val="21"/>
              </w:rPr>
              <w:t>2465</w:t>
            </w:r>
          </w:p>
        </w:tc>
        <w:tc>
          <w:tcPr>
            <w:tcW w:w="905" w:type="dxa"/>
            <w:vAlign w:val="center"/>
          </w:tcPr>
          <w:p>
            <w:pPr>
              <w:widowControl/>
              <w:jc w:val="center"/>
              <w:textAlignment w:val="center"/>
              <w:rPr>
                <w:b/>
                <w:color w:val="000000"/>
                <w:szCs w:val="21"/>
                <w:u w:val="single"/>
              </w:rPr>
            </w:pPr>
            <w:r>
              <w:rPr>
                <w:color w:val="000000"/>
                <w:kern w:val="0"/>
                <w:szCs w:val="21"/>
              </w:rPr>
              <w:t>1028</w:t>
            </w:r>
          </w:p>
        </w:tc>
        <w:tc>
          <w:tcPr>
            <w:tcW w:w="904" w:type="dxa"/>
            <w:vAlign w:val="center"/>
          </w:tcPr>
          <w:p>
            <w:pPr>
              <w:widowControl/>
              <w:jc w:val="center"/>
              <w:textAlignment w:val="center"/>
              <w:rPr>
                <w:b/>
                <w:color w:val="000000"/>
                <w:szCs w:val="21"/>
                <w:u w:val="single"/>
              </w:rPr>
            </w:pPr>
            <w:r>
              <w:rPr>
                <w:color w:val="000000"/>
                <w:kern w:val="0"/>
                <w:szCs w:val="21"/>
              </w:rPr>
              <w:t>205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金刘村</w:t>
            </w:r>
          </w:p>
        </w:tc>
        <w:tc>
          <w:tcPr>
            <w:tcW w:w="2700" w:type="dxa"/>
            <w:vAlign w:val="center"/>
          </w:tcPr>
          <w:p>
            <w:pPr>
              <w:widowControl/>
              <w:jc w:val="center"/>
              <w:textAlignment w:val="center"/>
              <w:rPr>
                <w:b/>
                <w:color w:val="000000"/>
                <w:sz w:val="22"/>
                <w:szCs w:val="22"/>
                <w:u w:val="single"/>
              </w:rPr>
            </w:pPr>
            <w:r>
              <w:rPr>
                <w:color w:val="000000"/>
                <w:kern w:val="0"/>
                <w:szCs w:val="21"/>
              </w:rPr>
              <w:t>NW</w:t>
            </w:r>
          </w:p>
        </w:tc>
        <w:tc>
          <w:tcPr>
            <w:tcW w:w="1737" w:type="dxa"/>
            <w:vAlign w:val="center"/>
          </w:tcPr>
          <w:p>
            <w:pPr>
              <w:widowControl/>
              <w:jc w:val="center"/>
              <w:textAlignment w:val="center"/>
              <w:rPr>
                <w:b/>
                <w:color w:val="000000"/>
                <w:sz w:val="22"/>
                <w:szCs w:val="22"/>
                <w:u w:val="single"/>
              </w:rPr>
            </w:pPr>
            <w:r>
              <w:rPr>
                <w:color w:val="000000"/>
                <w:kern w:val="0"/>
                <w:szCs w:val="21"/>
              </w:rPr>
              <w:t>1974</w:t>
            </w:r>
          </w:p>
        </w:tc>
        <w:tc>
          <w:tcPr>
            <w:tcW w:w="905" w:type="dxa"/>
            <w:vAlign w:val="center"/>
          </w:tcPr>
          <w:p>
            <w:pPr>
              <w:widowControl/>
              <w:jc w:val="center"/>
              <w:textAlignment w:val="center"/>
              <w:rPr>
                <w:b/>
                <w:color w:val="000000"/>
                <w:szCs w:val="21"/>
                <w:u w:val="single"/>
              </w:rPr>
            </w:pPr>
            <w:r>
              <w:rPr>
                <w:color w:val="000000"/>
                <w:kern w:val="0"/>
                <w:szCs w:val="21"/>
              </w:rPr>
              <w:t>1598</w:t>
            </w:r>
          </w:p>
        </w:tc>
        <w:tc>
          <w:tcPr>
            <w:tcW w:w="904" w:type="dxa"/>
            <w:vAlign w:val="center"/>
          </w:tcPr>
          <w:p>
            <w:pPr>
              <w:widowControl/>
              <w:jc w:val="center"/>
              <w:textAlignment w:val="center"/>
              <w:rPr>
                <w:b/>
                <w:color w:val="000000"/>
                <w:szCs w:val="21"/>
                <w:u w:val="single"/>
              </w:rPr>
            </w:pPr>
            <w:r>
              <w:rPr>
                <w:color w:val="000000"/>
                <w:kern w:val="0"/>
                <w:szCs w:val="21"/>
              </w:rPr>
              <w:t>316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士陈庄</w:t>
            </w:r>
          </w:p>
        </w:tc>
        <w:tc>
          <w:tcPr>
            <w:tcW w:w="2700" w:type="dxa"/>
            <w:vAlign w:val="center"/>
          </w:tcPr>
          <w:p>
            <w:pPr>
              <w:widowControl/>
              <w:jc w:val="center"/>
              <w:textAlignment w:val="center"/>
              <w:rPr>
                <w:b/>
                <w:color w:val="000000"/>
                <w:sz w:val="22"/>
                <w:szCs w:val="22"/>
                <w:u w:val="single"/>
              </w:rPr>
            </w:pPr>
            <w:r>
              <w:rPr>
                <w:color w:val="000000"/>
                <w:kern w:val="0"/>
                <w:szCs w:val="21"/>
              </w:rPr>
              <w:t>NW</w:t>
            </w:r>
          </w:p>
        </w:tc>
        <w:tc>
          <w:tcPr>
            <w:tcW w:w="1737" w:type="dxa"/>
            <w:vAlign w:val="center"/>
          </w:tcPr>
          <w:p>
            <w:pPr>
              <w:widowControl/>
              <w:jc w:val="center"/>
              <w:textAlignment w:val="center"/>
              <w:rPr>
                <w:b/>
                <w:color w:val="000000"/>
                <w:sz w:val="22"/>
                <w:szCs w:val="22"/>
                <w:u w:val="single"/>
              </w:rPr>
            </w:pPr>
            <w:r>
              <w:rPr>
                <w:color w:val="000000"/>
                <w:kern w:val="0"/>
                <w:szCs w:val="21"/>
              </w:rPr>
              <w:t>1287</w:t>
            </w:r>
          </w:p>
        </w:tc>
        <w:tc>
          <w:tcPr>
            <w:tcW w:w="905" w:type="dxa"/>
            <w:vAlign w:val="center"/>
          </w:tcPr>
          <w:p>
            <w:pPr>
              <w:widowControl/>
              <w:jc w:val="center"/>
              <w:textAlignment w:val="center"/>
              <w:rPr>
                <w:b/>
                <w:color w:val="000000"/>
                <w:szCs w:val="21"/>
                <w:u w:val="single"/>
              </w:rPr>
            </w:pPr>
            <w:r>
              <w:rPr>
                <w:color w:val="000000"/>
                <w:kern w:val="0"/>
                <w:szCs w:val="21"/>
              </w:rPr>
              <w:t>870</w:t>
            </w:r>
          </w:p>
        </w:tc>
        <w:tc>
          <w:tcPr>
            <w:tcW w:w="904" w:type="dxa"/>
            <w:vAlign w:val="center"/>
          </w:tcPr>
          <w:p>
            <w:pPr>
              <w:widowControl/>
              <w:jc w:val="center"/>
              <w:textAlignment w:val="center"/>
              <w:rPr>
                <w:b/>
                <w:color w:val="000000"/>
                <w:sz w:val="22"/>
                <w:szCs w:val="22"/>
                <w:u w:val="single"/>
              </w:rPr>
            </w:pPr>
            <w:r>
              <w:rPr>
                <w:color w:val="000000"/>
                <w:kern w:val="0"/>
                <w:szCs w:val="21"/>
              </w:rPr>
              <w:t>173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2700" w:type="dxa"/>
            <w:vAlign w:val="center"/>
          </w:tcPr>
          <w:p>
            <w:pPr>
              <w:widowControl/>
              <w:jc w:val="center"/>
              <w:textAlignment w:val="center"/>
              <w:rPr>
                <w:b/>
                <w:color w:val="000000"/>
                <w:sz w:val="22"/>
                <w:szCs w:val="22"/>
                <w:u w:val="single"/>
              </w:rPr>
            </w:pPr>
            <w:r>
              <w:rPr>
                <w:rFonts w:hint="eastAsia" w:ascii="宋体" w:hAnsi="宋体" w:cs="宋体"/>
                <w:color w:val="000000"/>
                <w:kern w:val="0"/>
                <w:szCs w:val="21"/>
              </w:rPr>
              <w:t>王吕庄寨村</w:t>
            </w:r>
          </w:p>
        </w:tc>
        <w:tc>
          <w:tcPr>
            <w:tcW w:w="2700" w:type="dxa"/>
            <w:vAlign w:val="center"/>
          </w:tcPr>
          <w:p>
            <w:pPr>
              <w:widowControl/>
              <w:jc w:val="center"/>
              <w:textAlignment w:val="center"/>
              <w:rPr>
                <w:b/>
                <w:color w:val="000000"/>
                <w:sz w:val="22"/>
                <w:szCs w:val="22"/>
                <w:u w:val="single"/>
              </w:rPr>
            </w:pPr>
            <w:r>
              <w:rPr>
                <w:color w:val="000000"/>
                <w:kern w:val="0"/>
                <w:szCs w:val="21"/>
              </w:rPr>
              <w:t>NW</w:t>
            </w:r>
          </w:p>
        </w:tc>
        <w:tc>
          <w:tcPr>
            <w:tcW w:w="1737" w:type="dxa"/>
            <w:vAlign w:val="center"/>
          </w:tcPr>
          <w:p>
            <w:pPr>
              <w:widowControl/>
              <w:jc w:val="center"/>
              <w:textAlignment w:val="center"/>
              <w:rPr>
                <w:b/>
                <w:color w:val="000000"/>
                <w:sz w:val="22"/>
                <w:szCs w:val="22"/>
                <w:u w:val="single"/>
              </w:rPr>
            </w:pPr>
            <w:r>
              <w:rPr>
                <w:color w:val="000000"/>
                <w:kern w:val="0"/>
                <w:szCs w:val="21"/>
              </w:rPr>
              <w:t>2439</w:t>
            </w:r>
          </w:p>
        </w:tc>
        <w:tc>
          <w:tcPr>
            <w:tcW w:w="905" w:type="dxa"/>
            <w:vAlign w:val="center"/>
          </w:tcPr>
          <w:p>
            <w:pPr>
              <w:widowControl/>
              <w:jc w:val="center"/>
              <w:textAlignment w:val="center"/>
              <w:rPr>
                <w:b/>
                <w:color w:val="000000"/>
                <w:szCs w:val="21"/>
                <w:u w:val="single"/>
              </w:rPr>
            </w:pPr>
            <w:r>
              <w:rPr>
                <w:color w:val="000000"/>
                <w:kern w:val="0"/>
                <w:szCs w:val="21"/>
              </w:rPr>
              <w:t>1495</w:t>
            </w:r>
          </w:p>
        </w:tc>
        <w:tc>
          <w:tcPr>
            <w:tcW w:w="904" w:type="dxa"/>
            <w:vAlign w:val="center"/>
          </w:tcPr>
          <w:p>
            <w:pPr>
              <w:widowControl/>
              <w:jc w:val="center"/>
              <w:textAlignment w:val="center"/>
              <w:rPr>
                <w:b/>
                <w:color w:val="000000"/>
                <w:sz w:val="22"/>
                <w:szCs w:val="22"/>
                <w:u w:val="single"/>
              </w:rPr>
            </w:pPr>
            <w:r>
              <w:rPr>
                <w:rFonts w:hint="eastAsia"/>
                <w:color w:val="000000"/>
                <w:kern w:val="0"/>
                <w:szCs w:val="21"/>
              </w:rPr>
              <w:t>298</w:t>
            </w:r>
          </w:p>
        </w:tc>
      </w:tr>
    </w:tbl>
    <w:p>
      <w:pPr>
        <w:pStyle w:val="2"/>
        <w:ind w:firstLine="482"/>
        <w:rPr>
          <w:b/>
          <w:color w:val="000000"/>
          <w:sz w:val="24"/>
        </w:rPr>
      </w:pPr>
    </w:p>
    <w:p>
      <w:pPr>
        <w:pStyle w:val="2"/>
        <w:ind w:firstLine="482"/>
        <w:rPr>
          <w:b/>
          <w:color w:val="000000"/>
          <w:sz w:val="24"/>
        </w:rPr>
      </w:pPr>
    </w:p>
    <w:p>
      <w:pPr>
        <w:pStyle w:val="2"/>
        <w:ind w:firstLine="482"/>
        <w:rPr>
          <w:b/>
          <w:color w:val="000000"/>
          <w:sz w:val="24"/>
        </w:rPr>
      </w:pPr>
    </w:p>
    <w:p>
      <w:pPr>
        <w:widowControl/>
        <w:jc w:val="left"/>
        <w:rPr>
          <w:bCs/>
          <w:color w:val="000000"/>
          <w:szCs w:val="21"/>
        </w:rPr>
      </w:pPr>
    </w:p>
    <w:p>
      <w:pPr>
        <w:widowControl/>
        <w:jc w:val="left"/>
        <w:rPr>
          <w:bCs/>
          <w:color w:val="000000"/>
          <w:szCs w:val="21"/>
        </w:rPr>
      </w:pPr>
      <w:r>
        <w:rPr>
          <w:b/>
          <w:color w:val="000000"/>
          <w:u w:val="single"/>
        </w:rPr>
        <w:drawing>
          <wp:inline distT="0" distB="0" distL="114300" distR="114300">
            <wp:extent cx="5503545" cy="5313680"/>
            <wp:effectExtent l="0" t="0" r="1905" b="1270"/>
            <wp:docPr id="31" name="图片 31" descr="1572837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72837335(1)"/>
                    <pic:cNvPicPr>
                      <a:picLocks noChangeAspect="1"/>
                    </pic:cNvPicPr>
                  </pic:nvPicPr>
                  <pic:blipFill>
                    <a:blip r:embed="rId46"/>
                    <a:stretch>
                      <a:fillRect/>
                    </a:stretch>
                  </pic:blipFill>
                  <pic:spPr>
                    <a:xfrm>
                      <a:off x="0" y="0"/>
                      <a:ext cx="5503545" cy="5313680"/>
                    </a:xfrm>
                    <a:prstGeom prst="rect">
                      <a:avLst/>
                    </a:prstGeom>
                  </pic:spPr>
                </pic:pic>
              </a:graphicData>
            </a:graphic>
          </wp:inline>
        </w:drawing>
      </w:r>
    </w:p>
    <w:p>
      <w:pPr>
        <w:topLinePunct/>
        <w:adjustRightInd w:val="0"/>
        <w:snapToGrid w:val="0"/>
        <w:spacing w:line="500" w:lineRule="exact"/>
        <w:jc w:val="center"/>
        <w:rPr>
          <w:b/>
          <w:color w:val="000000"/>
          <w:szCs w:val="21"/>
        </w:rPr>
      </w:pPr>
      <w:r>
        <w:rPr>
          <w:b/>
          <w:color w:val="000000"/>
          <w:szCs w:val="21"/>
        </w:rPr>
        <w:t>图4-1    本项目周边3km范围内环境敏感点分布示意图</w:t>
      </w:r>
    </w:p>
    <w:p>
      <w:pPr>
        <w:tabs>
          <w:tab w:val="right" w:leader="dot" w:pos="8647"/>
        </w:tabs>
        <w:adjustRightInd w:val="0"/>
        <w:snapToGrid w:val="0"/>
        <w:spacing w:line="500" w:lineRule="exact"/>
        <w:rPr>
          <w:bCs/>
          <w:color w:val="000000"/>
          <w:sz w:val="24"/>
        </w:rPr>
      </w:pPr>
      <w:r>
        <w:rPr>
          <w:bCs/>
          <w:color w:val="000000"/>
          <w:sz w:val="24"/>
        </w:rPr>
        <w:t>4.2.7.5.2地表水环境风险评价范围</w:t>
      </w:r>
    </w:p>
    <w:p>
      <w:pPr>
        <w:spacing w:line="520" w:lineRule="exact"/>
        <w:ind w:firstLine="480" w:firstLineChars="200"/>
        <w:rPr>
          <w:bCs/>
          <w:sz w:val="24"/>
        </w:rPr>
      </w:pPr>
      <w:r>
        <w:rPr>
          <w:bCs/>
          <w:sz w:val="24"/>
        </w:rPr>
        <w:t>根据《环境影响评价技术导则—地表水环境》（HJ2.3-2018）表1中所列出的地面水环境影响评价分级判据标准，本项目地表水影响评价等级为三级B。重点针对污水处理综合利用的措施、途径及利用的可行性进行分析。评价范围为应满足污水处理设施环境可行性分析的要求。</w:t>
      </w:r>
    </w:p>
    <w:p>
      <w:pPr>
        <w:tabs>
          <w:tab w:val="right" w:leader="dot" w:pos="8647"/>
        </w:tabs>
        <w:adjustRightInd w:val="0"/>
        <w:snapToGrid w:val="0"/>
        <w:spacing w:line="500" w:lineRule="exact"/>
        <w:rPr>
          <w:bCs/>
          <w:color w:val="000000"/>
          <w:sz w:val="24"/>
        </w:rPr>
      </w:pPr>
      <w:r>
        <w:rPr>
          <w:bCs/>
          <w:color w:val="000000"/>
          <w:sz w:val="24"/>
        </w:rPr>
        <w:t>4.2.7.5.3地下水环境风险评价范围</w:t>
      </w:r>
    </w:p>
    <w:p>
      <w:pPr>
        <w:spacing w:line="520" w:lineRule="exact"/>
        <w:ind w:firstLine="480" w:firstLineChars="200"/>
        <w:rPr>
          <w:bCs/>
          <w:color w:val="000000"/>
          <w:sz w:val="24"/>
        </w:rPr>
      </w:pPr>
      <w:r>
        <w:rPr>
          <w:bCs/>
          <w:sz w:val="24"/>
        </w:rPr>
        <w:t>按照《环境影响评价技术导则—地下水环境》（HJ610-2016），确定评价等级为三级。</w:t>
      </w:r>
      <w:r>
        <w:rPr>
          <w:bCs/>
          <w:sz w:val="24"/>
          <w:lang w:val="zh-CN"/>
        </w:rPr>
        <w:t>本项目位于</w:t>
      </w:r>
      <w:r>
        <w:rPr>
          <w:rFonts w:hint="eastAsia"/>
          <w:bCs/>
          <w:color w:val="000000" w:themeColor="text1"/>
          <w:sz w:val="24"/>
          <w:lang w:val="zh-CN"/>
        </w:rPr>
        <w:t>东和店镇邢岗</w:t>
      </w:r>
      <w:r>
        <w:rPr>
          <w:bCs/>
          <w:color w:val="000000" w:themeColor="text1"/>
          <w:sz w:val="24"/>
          <w:lang w:val="zh-CN"/>
        </w:rPr>
        <w:t>村</w:t>
      </w:r>
      <w:r>
        <w:rPr>
          <w:bCs/>
          <w:sz w:val="24"/>
          <w:lang w:val="zh-CN"/>
        </w:rPr>
        <w:t>，地下水流向呈西至东方向。</w:t>
      </w:r>
      <w:r>
        <w:rPr>
          <w:bCs/>
          <w:sz w:val="24"/>
        </w:rPr>
        <w:t>补给形式包括降水入渗、地下水径流和地表水灌溉入渗等，以降水补给为主。深层地下水总体向南运移，补给形式主要接受区外径流补给。地下水类型为浅层含水层（赋存潜水）和深层含水层（赋存承压水）。</w:t>
      </w:r>
    </w:p>
    <w:p>
      <w:pPr>
        <w:tabs>
          <w:tab w:val="right" w:leader="dot" w:pos="8647"/>
        </w:tabs>
        <w:adjustRightInd w:val="0"/>
        <w:snapToGrid w:val="0"/>
        <w:spacing w:line="500" w:lineRule="exact"/>
        <w:rPr>
          <w:bCs/>
          <w:color w:val="000000"/>
          <w:sz w:val="24"/>
        </w:rPr>
      </w:pPr>
      <w:r>
        <w:rPr>
          <w:bCs/>
          <w:color w:val="000000"/>
          <w:sz w:val="24"/>
        </w:rPr>
        <w:t>4.2.7.6环境风险防范措施及应急预案</w:t>
      </w:r>
    </w:p>
    <w:p>
      <w:pPr>
        <w:tabs>
          <w:tab w:val="right" w:leader="dot" w:pos="8647"/>
        </w:tabs>
        <w:adjustRightInd w:val="0"/>
        <w:snapToGrid w:val="0"/>
        <w:spacing w:line="500" w:lineRule="exact"/>
        <w:rPr>
          <w:bCs/>
          <w:color w:val="000000"/>
          <w:sz w:val="24"/>
        </w:rPr>
      </w:pPr>
      <w:r>
        <w:rPr>
          <w:bCs/>
          <w:color w:val="000000"/>
          <w:sz w:val="24"/>
        </w:rPr>
        <w:t>4.2.7.6.1  沼气泄漏预防</w:t>
      </w:r>
    </w:p>
    <w:p>
      <w:pPr>
        <w:spacing w:line="520" w:lineRule="exact"/>
        <w:ind w:firstLine="480" w:firstLineChars="200"/>
        <w:rPr>
          <w:bCs/>
          <w:sz w:val="24"/>
        </w:rPr>
      </w:pPr>
      <w:r>
        <w:rPr>
          <w:bCs/>
          <w:sz w:val="24"/>
        </w:rPr>
        <w:t>泄漏事故的防治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w:t>
      </w:r>
    </w:p>
    <w:p>
      <w:pPr>
        <w:spacing w:line="520" w:lineRule="exact"/>
        <w:ind w:firstLine="480" w:firstLineChars="200"/>
        <w:rPr>
          <w:bCs/>
          <w:sz w:val="24"/>
        </w:rPr>
      </w:pPr>
      <w:r>
        <w:rPr>
          <w:bCs/>
          <w:sz w:val="24"/>
        </w:rPr>
        <w:fldChar w:fldCharType="begin"/>
      </w:r>
      <w:r>
        <w:rPr>
          <w:bCs/>
          <w:sz w:val="24"/>
        </w:rPr>
        <w:instrText xml:space="preserve"> = 1 \* GB3 </w:instrText>
      </w:r>
      <w:r>
        <w:rPr>
          <w:bCs/>
          <w:sz w:val="24"/>
        </w:rPr>
        <w:fldChar w:fldCharType="separate"/>
      </w:r>
      <w:r>
        <w:rPr>
          <w:rFonts w:hint="eastAsia" w:ascii="宋体" w:hAnsi="宋体" w:cs="宋体"/>
          <w:bCs/>
          <w:sz w:val="24"/>
        </w:rPr>
        <w:t>①</w:t>
      </w:r>
      <w:r>
        <w:rPr>
          <w:bCs/>
          <w:sz w:val="24"/>
        </w:rPr>
        <w:fldChar w:fldCharType="end"/>
      </w:r>
      <w:r>
        <w:rPr>
          <w:bCs/>
          <w:sz w:val="24"/>
        </w:rPr>
        <w:t>盖泻湖沼气池的检查</w:t>
      </w:r>
    </w:p>
    <w:p>
      <w:pPr>
        <w:spacing w:line="520" w:lineRule="exact"/>
        <w:ind w:firstLine="480" w:firstLineChars="200"/>
        <w:rPr>
          <w:bCs/>
          <w:sz w:val="24"/>
        </w:rPr>
      </w:pPr>
      <w:r>
        <w:rPr>
          <w:bCs/>
          <w:sz w:val="24"/>
        </w:rPr>
        <w:t>盖泻湖沼气池、管线进行适当的整体试验、外观检查或非破坏性的测厚检查、射线探伤，检查记录应存档备查。定期对盖泻湖沼气池外部检查，及时发现破损和漏处。</w:t>
      </w:r>
    </w:p>
    <w:p>
      <w:pPr>
        <w:spacing w:line="520" w:lineRule="exact"/>
        <w:ind w:firstLine="480" w:firstLineChars="200"/>
        <w:rPr>
          <w:bCs/>
          <w:sz w:val="24"/>
        </w:rPr>
      </w:pPr>
      <w:r>
        <w:rPr>
          <w:bCs/>
          <w:sz w:val="24"/>
        </w:rPr>
        <w:fldChar w:fldCharType="begin"/>
      </w:r>
      <w:r>
        <w:rPr>
          <w:bCs/>
          <w:sz w:val="24"/>
        </w:rPr>
        <w:instrText xml:space="preserve"> = 2 \* GB3 </w:instrText>
      </w:r>
      <w:r>
        <w:rPr>
          <w:bCs/>
          <w:sz w:val="24"/>
        </w:rPr>
        <w:fldChar w:fldCharType="separate"/>
      </w:r>
      <w:r>
        <w:rPr>
          <w:rFonts w:hint="eastAsia" w:ascii="宋体" w:hAnsi="宋体" w:cs="宋体"/>
          <w:bCs/>
          <w:sz w:val="24"/>
        </w:rPr>
        <w:t>②</w:t>
      </w:r>
      <w:r>
        <w:rPr>
          <w:bCs/>
          <w:sz w:val="24"/>
        </w:rPr>
        <w:fldChar w:fldCharType="end"/>
      </w:r>
      <w:r>
        <w:rPr>
          <w:bCs/>
          <w:sz w:val="24"/>
        </w:rPr>
        <w:t>防止管道的泄漏</w:t>
      </w:r>
    </w:p>
    <w:p>
      <w:pPr>
        <w:spacing w:line="520" w:lineRule="exact"/>
        <w:ind w:firstLine="480" w:firstLineChars="200"/>
        <w:rPr>
          <w:bCs/>
          <w:sz w:val="24"/>
        </w:rPr>
      </w:pPr>
      <w:r>
        <w:rPr>
          <w:bCs/>
          <w:sz w:val="24"/>
        </w:rPr>
        <w:t>经常检查管道，若地下管道应采用防腐蚀材料，并在埋设的地面作标记，以防开挖时破坏管道，地上管道应防止汽车碰撞，并控制管道支撑的磨损。定期系统试压、定期检漏。管道施工应按规范要求进行。</w:t>
      </w:r>
    </w:p>
    <w:p>
      <w:pPr>
        <w:tabs>
          <w:tab w:val="right" w:leader="dot" w:pos="8647"/>
        </w:tabs>
        <w:adjustRightInd w:val="0"/>
        <w:snapToGrid w:val="0"/>
        <w:spacing w:line="500" w:lineRule="exact"/>
        <w:rPr>
          <w:bCs/>
          <w:color w:val="000000"/>
          <w:sz w:val="24"/>
        </w:rPr>
      </w:pPr>
      <w:r>
        <w:rPr>
          <w:bCs/>
          <w:color w:val="000000"/>
          <w:sz w:val="24"/>
        </w:rPr>
        <w:t>4.2.7.6.2 火灾和爆炸的预防</w:t>
      </w:r>
    </w:p>
    <w:p>
      <w:pPr>
        <w:spacing w:line="520" w:lineRule="exact"/>
        <w:ind w:firstLine="480" w:firstLineChars="200"/>
        <w:rPr>
          <w:bCs/>
          <w:sz w:val="24"/>
        </w:rPr>
      </w:pPr>
      <w:r>
        <w:rPr>
          <w:rFonts w:hint="eastAsia" w:ascii="宋体" w:hAnsi="宋体" w:cs="宋体"/>
          <w:bCs/>
          <w:sz w:val="24"/>
        </w:rPr>
        <w:t>①</w:t>
      </w:r>
      <w:r>
        <w:rPr>
          <w:bCs/>
          <w:sz w:val="24"/>
        </w:rPr>
        <w:t>沼气在生产过程要密闭化、自动化，严防跑冒滴漏。</w:t>
      </w:r>
    </w:p>
    <w:p>
      <w:pPr>
        <w:spacing w:line="520" w:lineRule="exact"/>
        <w:ind w:firstLine="480" w:firstLineChars="200"/>
        <w:rPr>
          <w:bCs/>
          <w:sz w:val="24"/>
        </w:rPr>
      </w:pPr>
      <w:r>
        <w:rPr>
          <w:rFonts w:hint="eastAsia" w:ascii="宋体" w:hAnsi="宋体" w:cs="宋体"/>
          <w:bCs/>
          <w:sz w:val="24"/>
        </w:rPr>
        <w:t>②</w:t>
      </w:r>
      <w:r>
        <w:rPr>
          <w:bCs/>
          <w:sz w:val="24"/>
        </w:rPr>
        <w:t>设备的安全管理</w:t>
      </w:r>
    </w:p>
    <w:p>
      <w:pPr>
        <w:spacing w:line="520" w:lineRule="exact"/>
        <w:ind w:firstLine="480" w:firstLineChars="200"/>
        <w:rPr>
          <w:bCs/>
          <w:sz w:val="24"/>
        </w:rPr>
      </w:pPr>
      <w:r>
        <w:rPr>
          <w:bCs/>
          <w:sz w:val="24"/>
        </w:rPr>
        <w:t>定期对设备进行安全检测，检测内容、时间、人员应有记录保存，安全检测应根据设备的安全性、危险性设定检测频次。</w:t>
      </w:r>
    </w:p>
    <w:p>
      <w:pPr>
        <w:spacing w:line="520" w:lineRule="exact"/>
        <w:ind w:firstLine="480" w:firstLineChars="200"/>
        <w:rPr>
          <w:bCs/>
          <w:sz w:val="24"/>
        </w:rPr>
      </w:pPr>
      <w:r>
        <w:rPr>
          <w:rFonts w:hint="eastAsia" w:ascii="宋体" w:hAnsi="宋体" w:cs="宋体"/>
          <w:bCs/>
          <w:sz w:val="24"/>
        </w:rPr>
        <w:t>③</w:t>
      </w:r>
      <w:r>
        <w:rPr>
          <w:bCs/>
          <w:sz w:val="24"/>
        </w:rPr>
        <w:t>火源管理</w:t>
      </w:r>
    </w:p>
    <w:p>
      <w:pPr>
        <w:spacing w:line="520" w:lineRule="exact"/>
        <w:ind w:left="105" w:leftChars="50" w:firstLine="360" w:firstLineChars="150"/>
        <w:rPr>
          <w:bCs/>
          <w:sz w:val="24"/>
        </w:rPr>
      </w:pPr>
      <w:r>
        <w:rPr>
          <w:bCs/>
          <w:sz w:val="24"/>
        </w:rPr>
        <w:t>a、严禁火源进入治污区，对明火严格控制，在盖泻湖沼气池附近20m内不准有明火；</w:t>
      </w:r>
    </w:p>
    <w:p>
      <w:pPr>
        <w:spacing w:line="520" w:lineRule="exact"/>
        <w:ind w:left="105" w:leftChars="50" w:firstLine="360" w:firstLineChars="150"/>
        <w:rPr>
          <w:bCs/>
          <w:sz w:val="24"/>
        </w:rPr>
      </w:pPr>
      <w:r>
        <w:rPr>
          <w:bCs/>
          <w:sz w:val="24"/>
        </w:rPr>
        <w:t>b、对设备维修检查，需进行维修焊接，应经安全部门确认、准许，并有记录在案；另外，在危险区作业是不能使用能产生撞击火花的金属物体，应用铜工具，如用钢工具，表面应涂黄油；</w:t>
      </w:r>
    </w:p>
    <w:p>
      <w:pPr>
        <w:spacing w:line="520" w:lineRule="exact"/>
        <w:ind w:firstLine="480" w:firstLineChars="200"/>
        <w:rPr>
          <w:bCs/>
          <w:sz w:val="24"/>
        </w:rPr>
      </w:pPr>
      <w:r>
        <w:rPr>
          <w:bCs/>
          <w:sz w:val="24"/>
        </w:rPr>
        <w:t>c、在盖泻湖沼气池上设置永久性接地装置；</w:t>
      </w:r>
    </w:p>
    <w:p>
      <w:pPr>
        <w:spacing w:line="520" w:lineRule="exact"/>
        <w:ind w:firstLine="480" w:firstLineChars="200"/>
        <w:rPr>
          <w:bCs/>
          <w:sz w:val="24"/>
        </w:rPr>
      </w:pPr>
      <w:r>
        <w:rPr>
          <w:bCs/>
          <w:sz w:val="24"/>
        </w:rPr>
        <w:t>d、在装置区内的所有设备，电气装置都应满足防爆防火的要求。</w:t>
      </w:r>
    </w:p>
    <w:p>
      <w:pPr>
        <w:spacing w:line="520" w:lineRule="exact"/>
        <w:ind w:firstLine="480" w:firstLineChars="200"/>
        <w:rPr>
          <w:bCs/>
          <w:sz w:val="24"/>
        </w:rPr>
      </w:pPr>
      <w:r>
        <w:rPr>
          <w:rFonts w:hint="eastAsia" w:ascii="宋体" w:hAnsi="宋体" w:cs="宋体"/>
          <w:bCs/>
          <w:sz w:val="24"/>
        </w:rPr>
        <w:t>④</w:t>
      </w:r>
      <w:r>
        <w:rPr>
          <w:bCs/>
          <w:sz w:val="24"/>
        </w:rPr>
        <w:t>人员的管理</w:t>
      </w:r>
    </w:p>
    <w:p>
      <w:pPr>
        <w:spacing w:line="520" w:lineRule="exact"/>
        <w:ind w:firstLine="480" w:firstLineChars="200"/>
        <w:rPr>
          <w:bCs/>
          <w:sz w:val="24"/>
        </w:rPr>
      </w:pPr>
      <w:r>
        <w:rPr>
          <w:bCs/>
          <w:sz w:val="24"/>
        </w:rPr>
        <w:t>a、加强沼气安全知识的宣传，加强对有关人员的培训教育和考核；</w:t>
      </w:r>
    </w:p>
    <w:p>
      <w:pPr>
        <w:spacing w:line="520" w:lineRule="exact"/>
        <w:ind w:firstLine="480" w:firstLineChars="200"/>
        <w:rPr>
          <w:bCs/>
          <w:sz w:val="24"/>
        </w:rPr>
      </w:pPr>
      <w:r>
        <w:rPr>
          <w:bCs/>
          <w:sz w:val="24"/>
        </w:rPr>
        <w:t>b、严格规章制度和安全操作规程，强化安全监督检查和管理；</w:t>
      </w:r>
    </w:p>
    <w:p>
      <w:pPr>
        <w:spacing w:line="520" w:lineRule="exact"/>
        <w:ind w:firstLine="480" w:firstLineChars="200"/>
        <w:rPr>
          <w:bCs/>
          <w:sz w:val="24"/>
        </w:rPr>
      </w:pPr>
      <w:r>
        <w:rPr>
          <w:bCs/>
          <w:sz w:val="24"/>
        </w:rPr>
        <w:t>c、沼气工程外设专职人员进行监理和维护，严禁其他人员进入。</w:t>
      </w:r>
    </w:p>
    <w:p>
      <w:pPr>
        <w:tabs>
          <w:tab w:val="right" w:leader="dot" w:pos="8647"/>
        </w:tabs>
        <w:adjustRightInd w:val="0"/>
        <w:snapToGrid w:val="0"/>
        <w:spacing w:line="500" w:lineRule="exact"/>
        <w:rPr>
          <w:bCs/>
          <w:color w:val="000000"/>
          <w:sz w:val="24"/>
        </w:rPr>
      </w:pPr>
      <w:r>
        <w:rPr>
          <w:bCs/>
          <w:color w:val="000000"/>
          <w:sz w:val="24"/>
        </w:rPr>
        <w:t>4.2.7.6.3 动物疫情风险防范措施</w:t>
      </w:r>
    </w:p>
    <w:p>
      <w:pPr>
        <w:spacing w:line="500" w:lineRule="exact"/>
        <w:ind w:firstLine="480" w:firstLineChars="200"/>
        <w:rPr>
          <w:bCs/>
          <w:sz w:val="24"/>
        </w:rPr>
      </w:pPr>
      <w:r>
        <w:rPr>
          <w:bCs/>
          <w:sz w:val="24"/>
        </w:rPr>
        <w:t>饲养管理的动物卫生要求：</w:t>
      </w:r>
    </w:p>
    <w:p>
      <w:pPr>
        <w:spacing w:line="500" w:lineRule="exact"/>
        <w:ind w:firstLine="480" w:firstLineChars="200"/>
        <w:rPr>
          <w:bCs/>
          <w:sz w:val="24"/>
        </w:rPr>
      </w:pPr>
      <w:r>
        <w:rPr>
          <w:rFonts w:hint="eastAsia" w:ascii="宋体" w:hAnsi="宋体" w:cs="宋体"/>
          <w:bCs/>
          <w:sz w:val="24"/>
        </w:rPr>
        <w:t>①</w:t>
      </w:r>
      <w:r>
        <w:rPr>
          <w:bCs/>
          <w:sz w:val="24"/>
        </w:rPr>
        <w:t xml:space="preserve">制定卫生防疫管理制度，配备专职兽医技术人员和化验人员，并与当地畜牧相关部门及动物疫病预防控制机构合作，根据《中华人民共和国动物防疫法》及其配套法规的要求，由动物防疫监督机构定期对项目进行疫病监测，并由项目自有的兽医技术人员在日常对猪群进行健康检查，发现疑似病畜立即隔离观察，并采取有效防范措施； </w:t>
      </w:r>
    </w:p>
    <w:p>
      <w:pPr>
        <w:spacing w:line="500" w:lineRule="exact"/>
        <w:ind w:firstLine="480" w:firstLineChars="200"/>
        <w:rPr>
          <w:bCs/>
          <w:sz w:val="24"/>
        </w:rPr>
      </w:pPr>
      <w:r>
        <w:rPr>
          <w:rFonts w:hint="eastAsia" w:ascii="宋体" w:hAnsi="宋体" w:cs="宋体"/>
          <w:bCs/>
          <w:sz w:val="24"/>
        </w:rPr>
        <w:t>②</w:t>
      </w:r>
      <w:r>
        <w:rPr>
          <w:bCs/>
          <w:sz w:val="24"/>
        </w:rPr>
        <w:t>饲养区内猪只所需的饲料必须达到饲料卫生标准，所用的饲料、添加剂、兽药、疫苗需选择高效、安全、低毒、无污染的合格产品，不允许添加、使用国家规定禁用的饲料添加剂、兽药制剂、疫苗等，确保人畜、生态环境和动物产品的安全；</w:t>
      </w:r>
    </w:p>
    <w:p>
      <w:pPr>
        <w:spacing w:line="500" w:lineRule="exact"/>
        <w:ind w:firstLine="480" w:firstLineChars="200"/>
        <w:rPr>
          <w:bCs/>
          <w:sz w:val="24"/>
        </w:rPr>
      </w:pPr>
      <w:r>
        <w:rPr>
          <w:rFonts w:hint="eastAsia" w:ascii="宋体" w:hAnsi="宋体" w:cs="宋体"/>
          <w:bCs/>
          <w:sz w:val="24"/>
        </w:rPr>
        <w:t>③</w:t>
      </w:r>
      <w:r>
        <w:rPr>
          <w:bCs/>
          <w:sz w:val="24"/>
        </w:rPr>
        <w:t>根据《中华人民共和国动物防疫法》及其配套法规的要求，结合当地实际情况，选择合适的疫苗、免疫程序和免疫方法定期给猪只注射疫苗，兽用药品剂疫苗应统一购进和使用；</w:t>
      </w:r>
    </w:p>
    <w:p>
      <w:pPr>
        <w:spacing w:line="500" w:lineRule="exact"/>
        <w:ind w:firstLine="480" w:firstLineChars="200"/>
        <w:rPr>
          <w:bCs/>
          <w:sz w:val="24"/>
        </w:rPr>
      </w:pPr>
      <w:r>
        <w:rPr>
          <w:rFonts w:hint="eastAsia" w:ascii="宋体" w:hAnsi="宋体" w:cs="宋体"/>
          <w:bCs/>
          <w:sz w:val="24"/>
        </w:rPr>
        <w:t>④</w:t>
      </w:r>
      <w:r>
        <w:rPr>
          <w:bCs/>
          <w:sz w:val="24"/>
        </w:rPr>
        <w:t>养殖区内做好环境卫生和猪舍卫生的清洁工作，及时清扫粪便，其无害化处理应符合《畜禽养殖业污染排放标准》（GB18596-2001)；</w:t>
      </w:r>
    </w:p>
    <w:p>
      <w:pPr>
        <w:spacing w:line="500" w:lineRule="exact"/>
        <w:ind w:firstLine="480" w:firstLineChars="200"/>
        <w:rPr>
          <w:bCs/>
          <w:sz w:val="24"/>
        </w:rPr>
      </w:pPr>
      <w:r>
        <w:rPr>
          <w:rFonts w:hint="eastAsia" w:ascii="宋体" w:hAnsi="宋体" w:cs="宋体"/>
          <w:bCs/>
          <w:sz w:val="24"/>
        </w:rPr>
        <w:t>⑤</w:t>
      </w:r>
      <w:r>
        <w:rPr>
          <w:bCs/>
          <w:sz w:val="24"/>
        </w:rPr>
        <w:t>养殖区做好防鸟、杀虫、灭鼠工作，根据当地寄生虫、细菌性疾病的发生和危害情况，选择高效、低毒、无残留的药物，定期对养殖区进行驱虫和治疗，防止害虫孽生传播动物疫病。</w:t>
      </w:r>
    </w:p>
    <w:p>
      <w:pPr>
        <w:spacing w:line="500" w:lineRule="exact"/>
        <w:ind w:firstLine="480" w:firstLineChars="200"/>
        <w:rPr>
          <w:bCs/>
          <w:sz w:val="24"/>
        </w:rPr>
      </w:pPr>
      <w:r>
        <w:rPr>
          <w:bCs/>
          <w:sz w:val="24"/>
        </w:rPr>
        <w:t>项目区防疫制度：</w:t>
      </w:r>
    </w:p>
    <w:p>
      <w:pPr>
        <w:spacing w:line="500" w:lineRule="exact"/>
        <w:ind w:firstLine="480" w:firstLineChars="200"/>
        <w:rPr>
          <w:bCs/>
          <w:sz w:val="24"/>
        </w:rPr>
      </w:pPr>
      <w:r>
        <w:rPr>
          <w:rFonts w:hint="eastAsia" w:ascii="宋体" w:hAnsi="宋体" w:cs="宋体"/>
          <w:bCs/>
          <w:sz w:val="24"/>
        </w:rPr>
        <w:t>①</w:t>
      </w:r>
      <w:r>
        <w:rPr>
          <w:bCs/>
          <w:sz w:val="24"/>
        </w:rPr>
        <w:t>根据国家要求制定适合本项目的卫生防疫制度及应急响应预案；</w:t>
      </w:r>
    </w:p>
    <w:p>
      <w:pPr>
        <w:spacing w:line="500" w:lineRule="exact"/>
        <w:ind w:firstLine="480" w:firstLineChars="200"/>
        <w:rPr>
          <w:bCs/>
          <w:sz w:val="24"/>
        </w:rPr>
      </w:pPr>
      <w:r>
        <w:rPr>
          <w:rFonts w:hint="eastAsia" w:ascii="宋体" w:hAnsi="宋体" w:cs="宋体"/>
          <w:bCs/>
          <w:sz w:val="24"/>
        </w:rPr>
        <w:t>②</w:t>
      </w:r>
      <w:r>
        <w:rPr>
          <w:bCs/>
          <w:sz w:val="24"/>
        </w:rPr>
        <w:t>养殖场将生产区和生活区分开，生产区门口设置消毒池，各养殖区设置消毒池及消毒室；</w:t>
      </w:r>
    </w:p>
    <w:p>
      <w:pPr>
        <w:spacing w:line="500" w:lineRule="exact"/>
        <w:ind w:firstLine="480" w:firstLineChars="200"/>
        <w:rPr>
          <w:bCs/>
          <w:sz w:val="24"/>
        </w:rPr>
      </w:pPr>
      <w:r>
        <w:rPr>
          <w:rFonts w:hint="eastAsia" w:ascii="宋体" w:hAnsi="宋体" w:cs="宋体"/>
          <w:bCs/>
          <w:sz w:val="24"/>
        </w:rPr>
        <w:t>③</w:t>
      </w:r>
      <w:r>
        <w:rPr>
          <w:bCs/>
          <w:sz w:val="24"/>
        </w:rPr>
        <w:t>禁止无关人员进入生产区，确因工作需要必须进入场区的人员、车辆均进行严格的消毒；</w:t>
      </w:r>
    </w:p>
    <w:p>
      <w:pPr>
        <w:spacing w:line="500" w:lineRule="exact"/>
        <w:ind w:firstLine="480" w:firstLineChars="200"/>
        <w:rPr>
          <w:bCs/>
          <w:sz w:val="24"/>
        </w:rPr>
      </w:pPr>
      <w:r>
        <w:rPr>
          <w:rFonts w:hint="eastAsia" w:ascii="宋体" w:hAnsi="宋体" w:cs="宋体"/>
          <w:bCs/>
          <w:sz w:val="24"/>
        </w:rPr>
        <w:t>④</w:t>
      </w:r>
      <w:r>
        <w:rPr>
          <w:bCs/>
          <w:sz w:val="24"/>
        </w:rPr>
        <w:t>实行全进全出或实行分单元全进全出的饲养管理制度，一栋猪舍一个批次，每批猪只出栏后，圈舍应进行彻底的清洗、消毒，灭杀病原、防止连续感染和交叉感染；</w:t>
      </w:r>
    </w:p>
    <w:p>
      <w:pPr>
        <w:spacing w:line="500" w:lineRule="exact"/>
        <w:ind w:firstLine="480" w:firstLineChars="200"/>
        <w:rPr>
          <w:bCs/>
          <w:sz w:val="24"/>
        </w:rPr>
      </w:pPr>
      <w:r>
        <w:rPr>
          <w:rFonts w:hint="eastAsia" w:ascii="宋体" w:hAnsi="宋体" w:cs="宋体"/>
          <w:bCs/>
          <w:sz w:val="24"/>
        </w:rPr>
        <w:t>⑤</w:t>
      </w:r>
      <w:r>
        <w:rPr>
          <w:bCs/>
          <w:sz w:val="24"/>
        </w:rPr>
        <w:t>患病猪只应及时送入隔离舍进行隔离诊治或投入焚烧炉焚烧；对易感染的动物进行监测，并根据需要实施紧急免疫接种。</w:t>
      </w:r>
    </w:p>
    <w:p>
      <w:pPr>
        <w:spacing w:line="500" w:lineRule="exact"/>
        <w:ind w:firstLine="480" w:firstLineChars="200"/>
        <w:rPr>
          <w:bCs/>
          <w:sz w:val="24"/>
        </w:rPr>
      </w:pPr>
      <w:r>
        <w:rPr>
          <w:bCs/>
          <w:sz w:val="24"/>
        </w:rPr>
        <w:t>如发生重大动物疫情应报县级以上人民政府处理，并积极配合政府工作。</w:t>
      </w:r>
    </w:p>
    <w:p>
      <w:pPr>
        <w:spacing w:line="500" w:lineRule="exact"/>
        <w:ind w:firstLine="480" w:firstLineChars="200"/>
        <w:rPr>
          <w:bCs/>
          <w:sz w:val="24"/>
        </w:rPr>
      </w:pPr>
      <w:r>
        <w:rPr>
          <w:bCs/>
          <w:sz w:val="24"/>
        </w:rPr>
        <w:t>个人防护措施：</w:t>
      </w:r>
    </w:p>
    <w:p>
      <w:pPr>
        <w:spacing w:line="500" w:lineRule="exact"/>
        <w:ind w:firstLine="480" w:firstLineChars="200"/>
        <w:rPr>
          <w:bCs/>
          <w:sz w:val="24"/>
        </w:rPr>
      </w:pPr>
      <w:r>
        <w:rPr>
          <w:rFonts w:hint="eastAsia" w:ascii="宋体" w:hAnsi="宋体" w:cs="宋体"/>
          <w:bCs/>
          <w:sz w:val="24"/>
        </w:rPr>
        <w:t>①</w:t>
      </w:r>
      <w:r>
        <w:rPr>
          <w:bCs/>
          <w:sz w:val="24"/>
        </w:rPr>
        <w:t>管理传染源：加强畜类疫情监测，对感染动物应立即销毁，对疫源地进行封锁，侧地消毒，患者应立即隔离治疗，运转时应佩戴口罩；</w:t>
      </w:r>
    </w:p>
    <w:p>
      <w:pPr>
        <w:spacing w:line="500" w:lineRule="exact"/>
        <w:ind w:firstLine="480" w:firstLineChars="200"/>
        <w:rPr>
          <w:bCs/>
          <w:sz w:val="24"/>
        </w:rPr>
      </w:pPr>
      <w:r>
        <w:rPr>
          <w:rFonts w:hint="eastAsia" w:ascii="宋体" w:hAnsi="宋体" w:cs="宋体"/>
          <w:bCs/>
          <w:sz w:val="24"/>
        </w:rPr>
        <w:t>②</w:t>
      </w:r>
      <w:r>
        <w:rPr>
          <w:bCs/>
          <w:sz w:val="24"/>
        </w:rPr>
        <w:t>切断传播途径：接触患者或患者分泌物后应洗手，处理患者血液或分泌物时应佩戴手套，被患者血液或分泌物污染的医疗器械应及时消毒，发生疫情时，应尽量减少与畜类的直接接触，接触时应注意防护，应戴上手套和口罩，穿上防护衣；</w:t>
      </w:r>
    </w:p>
    <w:p>
      <w:pPr>
        <w:spacing w:line="500" w:lineRule="exact"/>
        <w:ind w:firstLine="480" w:firstLineChars="200"/>
        <w:rPr>
          <w:bCs/>
          <w:sz w:val="24"/>
        </w:rPr>
      </w:pPr>
      <w:r>
        <w:rPr>
          <w:rFonts w:hint="eastAsia" w:ascii="宋体" w:hAnsi="宋体" w:cs="宋体"/>
          <w:bCs/>
          <w:sz w:val="24"/>
        </w:rPr>
        <w:t>③</w:t>
      </w:r>
      <w:r>
        <w:rPr>
          <w:bCs/>
          <w:sz w:val="24"/>
        </w:rPr>
        <w:t>日常防护：工人进入养殖场之前和之后，都应该换洗衣裳、洗澡、消毒搞好个人防护。</w:t>
      </w:r>
    </w:p>
    <w:p>
      <w:pPr>
        <w:tabs>
          <w:tab w:val="right" w:leader="dot" w:pos="8647"/>
        </w:tabs>
        <w:adjustRightInd w:val="0"/>
        <w:snapToGrid w:val="0"/>
        <w:spacing w:line="500" w:lineRule="exact"/>
        <w:rPr>
          <w:bCs/>
          <w:color w:val="000000"/>
          <w:sz w:val="24"/>
        </w:rPr>
      </w:pPr>
      <w:r>
        <w:rPr>
          <w:bCs/>
          <w:color w:val="000000"/>
          <w:sz w:val="24"/>
        </w:rPr>
        <w:t>4.2.7.7环境风险应急预案</w:t>
      </w:r>
    </w:p>
    <w:p>
      <w:pPr>
        <w:spacing w:line="500" w:lineRule="exact"/>
        <w:ind w:firstLine="480" w:firstLineChars="200"/>
        <w:rPr>
          <w:bCs/>
          <w:sz w:val="24"/>
        </w:rPr>
      </w:pPr>
      <w:r>
        <w:rPr>
          <w:bCs/>
          <w:sz w:val="24"/>
        </w:rPr>
        <w:t>为保证企业及人民生命财产的安全，防止突发性重大化学事故发生，或在发生事故时，能迅速有序地开展救援工作，尽最大努力减少事故的危害和损失，根据《中华人民共和国安全生产法》，公司应制定企业级事故应急救援预案，成立以法人为总指挥，副厂长为副总指挥的事故应急救援队伍，指挥部下设办公室、工程抢险救援组、医疗救护组、后勤保障组。</w:t>
      </w:r>
    </w:p>
    <w:p>
      <w:pPr>
        <w:spacing w:line="500" w:lineRule="exact"/>
        <w:ind w:firstLine="480" w:firstLineChars="200"/>
        <w:rPr>
          <w:bCs/>
          <w:sz w:val="24"/>
        </w:rPr>
      </w:pPr>
      <w:r>
        <w:rPr>
          <w:bCs/>
          <w:sz w:val="24"/>
        </w:rPr>
        <w:t>根据项目特点，公司应对项目中可能造成环境风险的突发性事件制定应急预案，见表4-36。</w:t>
      </w:r>
    </w:p>
    <w:p>
      <w:pPr>
        <w:adjustRightInd w:val="0"/>
        <w:snapToGrid w:val="0"/>
        <w:spacing w:line="500" w:lineRule="exact"/>
        <w:jc w:val="center"/>
        <w:rPr>
          <w:b/>
          <w:sz w:val="24"/>
        </w:rPr>
      </w:pPr>
      <w:r>
        <w:rPr>
          <w:b/>
          <w:sz w:val="24"/>
        </w:rPr>
        <w:t>表4-36 项目应急预案一览表</w:t>
      </w:r>
    </w:p>
    <w:tbl>
      <w:tblPr>
        <w:tblStyle w:val="44"/>
        <w:tblW w:w="87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634"/>
        <w:gridCol w:w="64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2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序号</w:t>
            </w:r>
          </w:p>
        </w:tc>
        <w:tc>
          <w:tcPr>
            <w:tcW w:w="1634"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项　目</w:t>
            </w:r>
          </w:p>
        </w:tc>
        <w:tc>
          <w:tcPr>
            <w:tcW w:w="643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内　容　及　要　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2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1</w:t>
            </w:r>
          </w:p>
        </w:tc>
        <w:tc>
          <w:tcPr>
            <w:tcW w:w="1634"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总则</w:t>
            </w:r>
          </w:p>
        </w:tc>
        <w:tc>
          <w:tcPr>
            <w:tcW w:w="6431" w:type="dxa"/>
            <w:tcMar>
              <w:top w:w="0" w:type="dxa"/>
              <w:left w:w="28" w:type="dxa"/>
              <w:bottom w:w="0" w:type="dxa"/>
              <w:right w:w="28" w:type="dxa"/>
            </w:tcMar>
            <w:vAlign w:val="center"/>
          </w:tcPr>
          <w:p>
            <w:pPr>
              <w:adjustRightInd w:val="0"/>
              <w:snapToGrid w:val="0"/>
              <w:spacing w:line="360" w:lineRule="exact"/>
              <w:rPr>
                <w:bCs/>
                <w:szCs w:val="21"/>
              </w:rPr>
            </w:pPr>
            <w:r>
              <w:rPr>
                <w:bCs/>
                <w:szCs w:val="21"/>
              </w:rPr>
              <w:t>简述生产过程中涉及物料性质及可能产生的突发事故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2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2</w:t>
            </w:r>
          </w:p>
        </w:tc>
        <w:tc>
          <w:tcPr>
            <w:tcW w:w="1634"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危险源概况</w:t>
            </w:r>
          </w:p>
        </w:tc>
        <w:tc>
          <w:tcPr>
            <w:tcW w:w="6431" w:type="dxa"/>
            <w:tcMar>
              <w:top w:w="0" w:type="dxa"/>
              <w:left w:w="28" w:type="dxa"/>
              <w:bottom w:w="0" w:type="dxa"/>
              <w:right w:w="28" w:type="dxa"/>
            </w:tcMar>
            <w:vAlign w:val="center"/>
          </w:tcPr>
          <w:p>
            <w:pPr>
              <w:adjustRightInd w:val="0"/>
              <w:snapToGrid w:val="0"/>
              <w:spacing w:line="360" w:lineRule="exact"/>
              <w:rPr>
                <w:bCs/>
                <w:szCs w:val="21"/>
              </w:rPr>
            </w:pPr>
            <w:r>
              <w:rPr>
                <w:bCs/>
                <w:szCs w:val="21"/>
              </w:rPr>
              <w:t>评述危险源类型，数量及其分布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2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3</w:t>
            </w:r>
          </w:p>
        </w:tc>
        <w:tc>
          <w:tcPr>
            <w:tcW w:w="1634"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应急计划区</w:t>
            </w:r>
          </w:p>
        </w:tc>
        <w:tc>
          <w:tcPr>
            <w:tcW w:w="6431" w:type="dxa"/>
            <w:tcMar>
              <w:top w:w="0" w:type="dxa"/>
              <w:left w:w="28" w:type="dxa"/>
              <w:bottom w:w="0" w:type="dxa"/>
              <w:right w:w="28" w:type="dxa"/>
            </w:tcMar>
            <w:vAlign w:val="center"/>
          </w:tcPr>
          <w:p>
            <w:pPr>
              <w:adjustRightInd w:val="0"/>
              <w:snapToGrid w:val="0"/>
              <w:spacing w:line="360" w:lineRule="exact"/>
              <w:rPr>
                <w:bCs/>
                <w:szCs w:val="21"/>
              </w:rPr>
            </w:pPr>
            <w:r>
              <w:rPr>
                <w:bCs/>
                <w:szCs w:val="21"/>
              </w:rPr>
              <w:t>养殖区、粪污处理区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4</w:t>
            </w:r>
          </w:p>
        </w:tc>
        <w:tc>
          <w:tcPr>
            <w:tcW w:w="1634"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应急组织</w:t>
            </w:r>
          </w:p>
        </w:tc>
        <w:tc>
          <w:tcPr>
            <w:tcW w:w="6431" w:type="dxa"/>
            <w:tcMar>
              <w:top w:w="0" w:type="dxa"/>
              <w:left w:w="28" w:type="dxa"/>
              <w:bottom w:w="0" w:type="dxa"/>
              <w:right w:w="28" w:type="dxa"/>
            </w:tcMar>
            <w:vAlign w:val="center"/>
          </w:tcPr>
          <w:p>
            <w:pPr>
              <w:pStyle w:val="2"/>
              <w:adjustRightInd w:val="0"/>
              <w:snapToGrid w:val="0"/>
              <w:spacing w:line="360" w:lineRule="exact"/>
              <w:ind w:firstLine="0" w:firstLineChars="0"/>
              <w:rPr>
                <w:bCs/>
                <w:sz w:val="21"/>
                <w:szCs w:val="21"/>
              </w:rPr>
            </w:pPr>
            <w:r>
              <w:rPr>
                <w:bCs/>
                <w:sz w:val="21"/>
                <w:szCs w:val="21"/>
              </w:rPr>
              <w:t>场区：场内指挥部——负责现场全面指挥，如发生疫情应立即组成防疫小组，尽快做出确切的诊断，迅速向有关上级部门报告疫情；</w:t>
            </w:r>
          </w:p>
          <w:p>
            <w:pPr>
              <w:pStyle w:val="2"/>
              <w:adjustRightInd w:val="0"/>
              <w:snapToGrid w:val="0"/>
              <w:spacing w:line="360" w:lineRule="exact"/>
              <w:rPr>
                <w:bCs/>
                <w:sz w:val="21"/>
                <w:szCs w:val="21"/>
              </w:rPr>
            </w:pPr>
            <w:r>
              <w:rPr>
                <w:bCs/>
                <w:sz w:val="21"/>
                <w:szCs w:val="21"/>
              </w:rPr>
              <w:t>专业救援队伍——负责事故控制、救援、善后处理。</w:t>
            </w:r>
          </w:p>
          <w:p>
            <w:pPr>
              <w:pStyle w:val="2"/>
              <w:adjustRightInd w:val="0"/>
              <w:snapToGrid w:val="0"/>
              <w:spacing w:line="360" w:lineRule="exact"/>
              <w:ind w:left="630" w:hanging="630" w:hangingChars="300"/>
              <w:rPr>
                <w:bCs/>
                <w:sz w:val="21"/>
                <w:szCs w:val="21"/>
              </w:rPr>
            </w:pPr>
            <w:r>
              <w:rPr>
                <w:bCs/>
                <w:sz w:val="21"/>
                <w:szCs w:val="21"/>
              </w:rPr>
              <w:t>地区：地区指挥部——负责项目附近地区全面指挥、救援、管制、疏散</w:t>
            </w:r>
          </w:p>
          <w:p>
            <w:pPr>
              <w:adjustRightInd w:val="0"/>
              <w:snapToGrid w:val="0"/>
              <w:spacing w:line="360" w:lineRule="exact"/>
              <w:rPr>
                <w:bCs/>
                <w:szCs w:val="21"/>
              </w:rPr>
            </w:pPr>
            <w:r>
              <w:rPr>
                <w:bCs/>
                <w:szCs w:val="21"/>
              </w:rPr>
              <w:t>专业救援队伍——负责对厂专业救援队伍的支援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5</w:t>
            </w:r>
          </w:p>
        </w:tc>
        <w:tc>
          <w:tcPr>
            <w:tcW w:w="1634"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应急状态分类及应急响应程序</w:t>
            </w:r>
          </w:p>
        </w:tc>
        <w:tc>
          <w:tcPr>
            <w:tcW w:w="6431" w:type="dxa"/>
            <w:tcMar>
              <w:top w:w="0" w:type="dxa"/>
              <w:left w:w="28" w:type="dxa"/>
              <w:bottom w:w="0" w:type="dxa"/>
              <w:right w:w="28" w:type="dxa"/>
            </w:tcMar>
            <w:vAlign w:val="center"/>
          </w:tcPr>
          <w:p>
            <w:pPr>
              <w:adjustRightInd w:val="0"/>
              <w:snapToGrid w:val="0"/>
              <w:spacing w:line="360" w:lineRule="exact"/>
              <w:rPr>
                <w:bCs/>
                <w:szCs w:val="21"/>
              </w:rPr>
            </w:pPr>
            <w:r>
              <w:rPr>
                <w:bCs/>
                <w:szCs w:val="21"/>
              </w:rPr>
              <w:t>规定事故的级别及相应的应急分类响应程序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6</w:t>
            </w:r>
          </w:p>
        </w:tc>
        <w:tc>
          <w:tcPr>
            <w:tcW w:w="1634"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应急设施、设备与材料</w:t>
            </w:r>
          </w:p>
        </w:tc>
        <w:tc>
          <w:tcPr>
            <w:tcW w:w="6431" w:type="dxa"/>
            <w:tcMar>
              <w:top w:w="0" w:type="dxa"/>
              <w:left w:w="28" w:type="dxa"/>
              <w:bottom w:w="0" w:type="dxa"/>
              <w:right w:w="28" w:type="dxa"/>
            </w:tcMar>
            <w:vAlign w:val="center"/>
          </w:tcPr>
          <w:p>
            <w:pPr>
              <w:adjustRightInd w:val="0"/>
              <w:snapToGrid w:val="0"/>
              <w:spacing w:line="360" w:lineRule="exact"/>
              <w:rPr>
                <w:bCs/>
                <w:szCs w:val="21"/>
              </w:rPr>
            </w:pPr>
            <w:r>
              <w:rPr>
                <w:bCs/>
                <w:szCs w:val="21"/>
              </w:rPr>
              <w:t>生产装置：</w:t>
            </w:r>
          </w:p>
          <w:p>
            <w:pPr>
              <w:adjustRightInd w:val="0"/>
              <w:snapToGrid w:val="0"/>
              <w:spacing w:line="360" w:lineRule="exact"/>
              <w:rPr>
                <w:bCs/>
                <w:szCs w:val="21"/>
              </w:rPr>
            </w:pPr>
            <w:r>
              <w:rPr>
                <w:bCs/>
                <w:szCs w:val="21"/>
              </w:rPr>
              <w:t>（1）防火灾、爆炸事故应急设施、设备与材料，主要为消防器材</w:t>
            </w:r>
          </w:p>
          <w:p>
            <w:pPr>
              <w:adjustRightInd w:val="0"/>
              <w:snapToGrid w:val="0"/>
              <w:spacing w:line="360" w:lineRule="exact"/>
              <w:rPr>
                <w:bCs/>
                <w:szCs w:val="21"/>
              </w:rPr>
            </w:pPr>
            <w:r>
              <w:rPr>
                <w:bCs/>
                <w:szCs w:val="21"/>
              </w:rPr>
              <w:t>（2）防止原辅料泄漏、外溢、扩散</w:t>
            </w:r>
          </w:p>
          <w:p>
            <w:pPr>
              <w:adjustRightInd w:val="0"/>
              <w:snapToGrid w:val="0"/>
              <w:spacing w:line="360" w:lineRule="exact"/>
              <w:rPr>
                <w:bCs/>
                <w:szCs w:val="21"/>
              </w:rPr>
            </w:pPr>
            <w:r>
              <w:rPr>
                <w:bCs/>
                <w:szCs w:val="21"/>
              </w:rPr>
              <w:t>（3）事故中使用的防毒设备与材料</w:t>
            </w:r>
          </w:p>
          <w:p>
            <w:pPr>
              <w:adjustRightInd w:val="0"/>
              <w:snapToGrid w:val="0"/>
              <w:spacing w:line="360" w:lineRule="exact"/>
              <w:rPr>
                <w:bCs/>
                <w:szCs w:val="21"/>
              </w:rPr>
            </w:pPr>
            <w:r>
              <w:rPr>
                <w:bCs/>
                <w:szCs w:val="21"/>
              </w:rPr>
              <w:t>贮存区：</w:t>
            </w:r>
          </w:p>
          <w:p>
            <w:pPr>
              <w:adjustRightInd w:val="0"/>
              <w:snapToGrid w:val="0"/>
              <w:spacing w:line="360" w:lineRule="exact"/>
              <w:rPr>
                <w:bCs/>
                <w:szCs w:val="21"/>
              </w:rPr>
            </w:pPr>
            <w:r>
              <w:rPr>
                <w:bCs/>
                <w:szCs w:val="21"/>
              </w:rPr>
              <w:t>（1）防火灾、爆炸事故应急设施、设备与材料，主要为消防器材</w:t>
            </w:r>
          </w:p>
          <w:p>
            <w:pPr>
              <w:adjustRightInd w:val="0"/>
              <w:snapToGrid w:val="0"/>
              <w:spacing w:line="360" w:lineRule="exact"/>
              <w:rPr>
                <w:bCs/>
                <w:szCs w:val="21"/>
              </w:rPr>
            </w:pPr>
            <w:r>
              <w:rPr>
                <w:bCs/>
                <w:szCs w:val="21"/>
              </w:rPr>
              <w:t>（2）防止原辅料泄漏、外溢、扩散</w:t>
            </w:r>
          </w:p>
          <w:p>
            <w:pPr>
              <w:adjustRightInd w:val="0"/>
              <w:snapToGrid w:val="0"/>
              <w:spacing w:line="360" w:lineRule="exact"/>
              <w:rPr>
                <w:bCs/>
                <w:szCs w:val="21"/>
              </w:rPr>
            </w:pPr>
            <w:r>
              <w:rPr>
                <w:bCs/>
                <w:szCs w:val="21"/>
              </w:rPr>
              <w:t>（3）事故中使用的防毒设备与材料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7</w:t>
            </w:r>
          </w:p>
        </w:tc>
        <w:tc>
          <w:tcPr>
            <w:tcW w:w="1634"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应急通讯、通知与交通</w:t>
            </w:r>
          </w:p>
        </w:tc>
        <w:tc>
          <w:tcPr>
            <w:tcW w:w="6431" w:type="dxa"/>
            <w:tcMar>
              <w:top w:w="0" w:type="dxa"/>
              <w:left w:w="28" w:type="dxa"/>
              <w:bottom w:w="0" w:type="dxa"/>
              <w:right w:w="28" w:type="dxa"/>
            </w:tcMar>
            <w:vAlign w:val="center"/>
          </w:tcPr>
          <w:p>
            <w:pPr>
              <w:adjustRightInd w:val="0"/>
              <w:snapToGrid w:val="0"/>
              <w:spacing w:line="360" w:lineRule="exact"/>
              <w:rPr>
                <w:bCs/>
                <w:szCs w:val="21"/>
              </w:rPr>
            </w:pPr>
            <w:r>
              <w:rPr>
                <w:bCs/>
                <w:szCs w:val="21"/>
              </w:rPr>
              <w:t>规定应急状态下的通讯方式、通知方式和交通保障、管制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8</w:t>
            </w:r>
          </w:p>
        </w:tc>
        <w:tc>
          <w:tcPr>
            <w:tcW w:w="1634"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应急环境监测及事故后评估</w:t>
            </w:r>
          </w:p>
        </w:tc>
        <w:tc>
          <w:tcPr>
            <w:tcW w:w="6431" w:type="dxa"/>
            <w:tcMar>
              <w:top w:w="0" w:type="dxa"/>
              <w:left w:w="28" w:type="dxa"/>
              <w:bottom w:w="0" w:type="dxa"/>
              <w:right w:w="28" w:type="dxa"/>
            </w:tcMar>
            <w:vAlign w:val="center"/>
          </w:tcPr>
          <w:p>
            <w:pPr>
              <w:adjustRightInd w:val="0"/>
              <w:snapToGrid w:val="0"/>
              <w:spacing w:line="360" w:lineRule="exact"/>
              <w:rPr>
                <w:bCs/>
                <w:szCs w:val="21"/>
              </w:rPr>
            </w:pPr>
            <w:r>
              <w:rPr>
                <w:bCs/>
                <w:szCs w:val="21"/>
              </w:rPr>
              <w:t>由专业队伍对事故现场进行侦察监测，对事故性质、参数与后果进行评估，为指挥部门提供决策依据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9</w:t>
            </w:r>
          </w:p>
        </w:tc>
        <w:tc>
          <w:tcPr>
            <w:tcW w:w="1634" w:type="dxa"/>
            <w:tcMar>
              <w:top w:w="0" w:type="dxa"/>
              <w:left w:w="28" w:type="dxa"/>
              <w:bottom w:w="0" w:type="dxa"/>
              <w:right w:w="28" w:type="dxa"/>
            </w:tcMar>
            <w:vAlign w:val="center"/>
          </w:tcPr>
          <w:p>
            <w:pPr>
              <w:adjustRightInd w:val="0"/>
              <w:snapToGrid w:val="0"/>
              <w:spacing w:line="360" w:lineRule="exact"/>
              <w:rPr>
                <w:bCs/>
                <w:szCs w:val="21"/>
              </w:rPr>
            </w:pPr>
            <w:r>
              <w:rPr>
                <w:bCs/>
                <w:szCs w:val="21"/>
              </w:rPr>
              <w:t>应急防护措施，消除泄漏方法和器材</w:t>
            </w:r>
          </w:p>
        </w:tc>
        <w:tc>
          <w:tcPr>
            <w:tcW w:w="6431" w:type="dxa"/>
            <w:tcMar>
              <w:top w:w="0" w:type="dxa"/>
              <w:left w:w="28" w:type="dxa"/>
              <w:bottom w:w="0" w:type="dxa"/>
              <w:right w:w="28" w:type="dxa"/>
            </w:tcMar>
            <w:vAlign w:val="center"/>
          </w:tcPr>
          <w:p>
            <w:pPr>
              <w:adjustRightInd w:val="0"/>
              <w:snapToGrid w:val="0"/>
              <w:spacing w:line="360" w:lineRule="exact"/>
              <w:rPr>
                <w:bCs/>
                <w:szCs w:val="21"/>
              </w:rPr>
            </w:pPr>
            <w:r>
              <w:rPr>
                <w:bCs/>
                <w:szCs w:val="21"/>
              </w:rPr>
              <w:t>事故现场：控制事故、防止扩大、漫延及链锁反应、消除现场泄漏物、降低危害；相应的设施器材配备</w:t>
            </w:r>
          </w:p>
          <w:p>
            <w:pPr>
              <w:adjustRightInd w:val="0"/>
              <w:snapToGrid w:val="0"/>
              <w:spacing w:line="360" w:lineRule="exact"/>
              <w:rPr>
                <w:bCs/>
                <w:szCs w:val="21"/>
              </w:rPr>
            </w:pPr>
            <w:r>
              <w:rPr>
                <w:bCs/>
                <w:szCs w:val="21"/>
              </w:rPr>
              <w:t>邻近区域：控制事故影响范围，控制和消除污染措施及相应设备配备</w:t>
            </w:r>
          </w:p>
          <w:p>
            <w:pPr>
              <w:adjustRightInd w:val="0"/>
              <w:snapToGrid w:val="0"/>
              <w:spacing w:line="360" w:lineRule="exact"/>
              <w:rPr>
                <w:bCs/>
                <w:szCs w:val="21"/>
              </w:rPr>
            </w:pPr>
            <w:r>
              <w:rPr>
                <w:bCs/>
                <w:szCs w:val="21"/>
              </w:rPr>
              <w:t>一旦发现属于人畜共患病类传染疾病死因的病死猪，应立即报告有关部门，同时将整个种群隔离，限制人员流动，对病死猪类及其污染物进行焚烧处理。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10</w:t>
            </w:r>
          </w:p>
        </w:tc>
        <w:tc>
          <w:tcPr>
            <w:tcW w:w="1634"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应急剂量控制、撤离组织计划、医疗救护与公众健康</w:t>
            </w:r>
          </w:p>
        </w:tc>
        <w:tc>
          <w:tcPr>
            <w:tcW w:w="6431" w:type="dxa"/>
            <w:tcMar>
              <w:top w:w="0" w:type="dxa"/>
              <w:left w:w="28" w:type="dxa"/>
              <w:bottom w:w="0" w:type="dxa"/>
              <w:right w:w="28" w:type="dxa"/>
            </w:tcMar>
            <w:vAlign w:val="center"/>
          </w:tcPr>
          <w:p>
            <w:pPr>
              <w:adjustRightInd w:val="0"/>
              <w:snapToGrid w:val="0"/>
              <w:spacing w:line="360" w:lineRule="exact"/>
              <w:rPr>
                <w:bCs/>
                <w:szCs w:val="21"/>
              </w:rPr>
            </w:pPr>
            <w:r>
              <w:rPr>
                <w:bCs/>
                <w:szCs w:val="21"/>
              </w:rPr>
              <w:t>事故现场：事故处理人员对毒物的应急剂量控制规定，现场及邻近装置人员撤离组织计划及救护</w:t>
            </w:r>
          </w:p>
          <w:p>
            <w:pPr>
              <w:adjustRightInd w:val="0"/>
              <w:snapToGrid w:val="0"/>
              <w:spacing w:line="360" w:lineRule="exact"/>
              <w:rPr>
                <w:bCs/>
                <w:szCs w:val="21"/>
              </w:rPr>
            </w:pPr>
            <w:r>
              <w:rPr>
                <w:bCs/>
                <w:szCs w:val="21"/>
              </w:rPr>
              <w:t>工厂邻近区：受事故影响的邻近区域人员及公众对毒物应急剂量控制规定，撤离组织计划及救护方案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11</w:t>
            </w:r>
          </w:p>
        </w:tc>
        <w:tc>
          <w:tcPr>
            <w:tcW w:w="1634"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事故状态终止与恢复措施</w:t>
            </w:r>
          </w:p>
        </w:tc>
        <w:tc>
          <w:tcPr>
            <w:tcW w:w="6431" w:type="dxa"/>
            <w:tcMar>
              <w:top w:w="0" w:type="dxa"/>
              <w:left w:w="28" w:type="dxa"/>
              <w:bottom w:w="0" w:type="dxa"/>
              <w:right w:w="28" w:type="dxa"/>
            </w:tcMar>
            <w:vAlign w:val="center"/>
          </w:tcPr>
          <w:p>
            <w:pPr>
              <w:adjustRightInd w:val="0"/>
              <w:snapToGrid w:val="0"/>
              <w:spacing w:line="360" w:lineRule="exact"/>
              <w:rPr>
                <w:bCs/>
                <w:szCs w:val="21"/>
              </w:rPr>
            </w:pPr>
            <w:r>
              <w:rPr>
                <w:bCs/>
                <w:szCs w:val="21"/>
              </w:rPr>
              <w:t>规定应急状态终止程序：事故善后处理，恢复措施，邻近区域解除事故警戒及善后恢复措施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12</w:t>
            </w:r>
          </w:p>
        </w:tc>
        <w:tc>
          <w:tcPr>
            <w:tcW w:w="1634"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人员培训与演练</w:t>
            </w:r>
          </w:p>
        </w:tc>
        <w:tc>
          <w:tcPr>
            <w:tcW w:w="6431" w:type="dxa"/>
            <w:tcMar>
              <w:top w:w="0" w:type="dxa"/>
              <w:left w:w="28" w:type="dxa"/>
              <w:bottom w:w="0" w:type="dxa"/>
              <w:right w:w="28" w:type="dxa"/>
            </w:tcMar>
            <w:vAlign w:val="center"/>
          </w:tcPr>
          <w:p>
            <w:pPr>
              <w:adjustRightInd w:val="0"/>
              <w:snapToGrid w:val="0"/>
              <w:spacing w:line="360" w:lineRule="exact"/>
              <w:rPr>
                <w:bCs/>
                <w:szCs w:val="21"/>
              </w:rPr>
            </w:pPr>
            <w:r>
              <w:rPr>
                <w:bCs/>
                <w:szCs w:val="21"/>
              </w:rPr>
              <w:t>应急计划制定后，平时安排主要岗位人员进行安全教育培训与演练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13</w:t>
            </w:r>
          </w:p>
        </w:tc>
        <w:tc>
          <w:tcPr>
            <w:tcW w:w="1634"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公众教育和信息</w:t>
            </w:r>
          </w:p>
        </w:tc>
        <w:tc>
          <w:tcPr>
            <w:tcW w:w="6431" w:type="dxa"/>
            <w:tcMar>
              <w:top w:w="0" w:type="dxa"/>
              <w:left w:w="28" w:type="dxa"/>
              <w:bottom w:w="0" w:type="dxa"/>
              <w:right w:w="28" w:type="dxa"/>
            </w:tcMar>
            <w:vAlign w:val="center"/>
          </w:tcPr>
          <w:p>
            <w:pPr>
              <w:adjustRightInd w:val="0"/>
              <w:snapToGrid w:val="0"/>
              <w:spacing w:line="360" w:lineRule="exact"/>
              <w:rPr>
                <w:bCs/>
                <w:szCs w:val="21"/>
              </w:rPr>
            </w:pPr>
            <w:r>
              <w:rPr>
                <w:bCs/>
                <w:szCs w:val="21"/>
              </w:rPr>
              <w:t>加强公众宣传教育和培训，让公众和员工对主要化学化工原料、产品等有深刻的了解、认识和安全防患意识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14</w:t>
            </w:r>
          </w:p>
        </w:tc>
        <w:tc>
          <w:tcPr>
            <w:tcW w:w="1634"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记录和报告</w:t>
            </w:r>
          </w:p>
        </w:tc>
        <w:tc>
          <w:tcPr>
            <w:tcW w:w="6431" w:type="dxa"/>
            <w:tcMar>
              <w:top w:w="0" w:type="dxa"/>
              <w:left w:w="28" w:type="dxa"/>
              <w:bottom w:w="0" w:type="dxa"/>
              <w:right w:w="28" w:type="dxa"/>
            </w:tcMar>
            <w:vAlign w:val="center"/>
          </w:tcPr>
          <w:p>
            <w:pPr>
              <w:adjustRightInd w:val="0"/>
              <w:snapToGrid w:val="0"/>
              <w:spacing w:line="360" w:lineRule="exact"/>
              <w:rPr>
                <w:bCs/>
                <w:szCs w:val="21"/>
              </w:rPr>
            </w:pPr>
            <w:r>
              <w:rPr>
                <w:bCs/>
                <w:szCs w:val="21"/>
              </w:rPr>
              <w:t>设置应急事故专门记录，建立档案和专门报告制度，设专门部门并负责管理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1"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15</w:t>
            </w:r>
          </w:p>
        </w:tc>
        <w:tc>
          <w:tcPr>
            <w:tcW w:w="1634" w:type="dxa"/>
            <w:tcMar>
              <w:top w:w="0" w:type="dxa"/>
              <w:left w:w="28" w:type="dxa"/>
              <w:bottom w:w="0" w:type="dxa"/>
              <w:right w:w="28" w:type="dxa"/>
            </w:tcMar>
            <w:vAlign w:val="center"/>
          </w:tcPr>
          <w:p>
            <w:pPr>
              <w:adjustRightInd w:val="0"/>
              <w:snapToGrid w:val="0"/>
              <w:spacing w:line="360" w:lineRule="exact"/>
              <w:jc w:val="center"/>
              <w:rPr>
                <w:bCs/>
                <w:szCs w:val="21"/>
              </w:rPr>
            </w:pPr>
            <w:r>
              <w:rPr>
                <w:bCs/>
                <w:szCs w:val="21"/>
              </w:rPr>
              <w:t>附件</w:t>
            </w:r>
          </w:p>
        </w:tc>
        <w:tc>
          <w:tcPr>
            <w:tcW w:w="6431" w:type="dxa"/>
            <w:tcMar>
              <w:top w:w="0" w:type="dxa"/>
              <w:left w:w="28" w:type="dxa"/>
              <w:bottom w:w="0" w:type="dxa"/>
              <w:right w:w="28" w:type="dxa"/>
            </w:tcMar>
            <w:vAlign w:val="center"/>
          </w:tcPr>
          <w:p>
            <w:pPr>
              <w:adjustRightInd w:val="0"/>
              <w:snapToGrid w:val="0"/>
              <w:spacing w:line="360" w:lineRule="exact"/>
              <w:rPr>
                <w:bCs/>
                <w:szCs w:val="21"/>
              </w:rPr>
            </w:pPr>
            <w:r>
              <w:rPr>
                <w:bCs/>
                <w:szCs w:val="21"/>
              </w:rPr>
              <w:t>与应急事故有关的多种附件材料的准备和形成</w:t>
            </w:r>
          </w:p>
        </w:tc>
      </w:tr>
    </w:tbl>
    <w:p>
      <w:pPr>
        <w:tabs>
          <w:tab w:val="right" w:leader="dot" w:pos="8647"/>
        </w:tabs>
        <w:adjustRightInd w:val="0"/>
        <w:snapToGrid w:val="0"/>
        <w:spacing w:line="500" w:lineRule="exact"/>
        <w:rPr>
          <w:bCs/>
          <w:color w:val="000000"/>
          <w:sz w:val="24"/>
        </w:rPr>
      </w:pPr>
      <w:bookmarkStart w:id="273" w:name="_Toc17342"/>
      <w:bookmarkStart w:id="274" w:name="_Toc445457750"/>
      <w:bookmarkStart w:id="275" w:name="_Toc11975"/>
      <w:r>
        <w:rPr>
          <w:bCs/>
          <w:color w:val="000000"/>
          <w:sz w:val="24"/>
        </w:rPr>
        <w:t>4.2.7.8 风险评价结论</w:t>
      </w:r>
      <w:bookmarkEnd w:id="273"/>
      <w:bookmarkEnd w:id="274"/>
      <w:bookmarkEnd w:id="275"/>
    </w:p>
    <w:p>
      <w:pPr>
        <w:spacing w:line="500" w:lineRule="exact"/>
        <w:ind w:firstLine="480" w:firstLineChars="200"/>
        <w:rPr>
          <w:bCs/>
          <w:color w:val="000000"/>
          <w:sz w:val="24"/>
        </w:rPr>
      </w:pPr>
      <w:r>
        <w:rPr>
          <w:bCs/>
          <w:color w:val="000000"/>
          <w:sz w:val="24"/>
        </w:rPr>
        <w:t>本项目所涉及物质沼气（甲烷）具有易燃易爆的危险性质，因此存在发生沼气泄漏并引发火灾、爆炸等事故的风险。本项目各个厂界距离敏感点村庄的距离均在</w:t>
      </w:r>
      <w:r>
        <w:rPr>
          <w:rFonts w:hint="eastAsia"/>
          <w:bCs/>
          <w:color w:val="000000"/>
          <w:sz w:val="24"/>
        </w:rPr>
        <w:t>3</w:t>
      </w:r>
      <w:r>
        <w:rPr>
          <w:bCs/>
          <w:color w:val="000000"/>
          <w:sz w:val="24"/>
        </w:rPr>
        <w:t>00m以上，均在本项目爆炸影响范围之外，本项目盖泻湖沼气池发生爆炸不会对周围村庄造成较大影响。</w:t>
      </w:r>
    </w:p>
    <w:p>
      <w:pPr>
        <w:spacing w:line="500" w:lineRule="exact"/>
        <w:ind w:firstLine="480" w:firstLineChars="200"/>
        <w:rPr>
          <w:bCs/>
          <w:color w:val="000000"/>
          <w:sz w:val="24"/>
        </w:rPr>
      </w:pPr>
      <w:r>
        <w:rPr>
          <w:bCs/>
          <w:color w:val="000000"/>
          <w:sz w:val="24"/>
        </w:rPr>
        <w:t>当前我国猪群中危害严重的传染病较多，但大部分传染病只会在猪群内传播，不会给人类带来较大的危害，但建设单位仍需做好猪群疫病的防御及监控工作，建立疫病监测监控制度，及时掌握疫情动态，以便做好疫情预警预测工作，发现问题及时采取有力措施将损失控制到最小限度，确保人群及猪群的健康。</w:t>
      </w:r>
    </w:p>
    <w:p>
      <w:pPr>
        <w:spacing w:line="500" w:lineRule="exact"/>
        <w:ind w:firstLine="480" w:firstLineChars="200"/>
        <w:rPr>
          <w:bCs/>
          <w:color w:val="000000"/>
          <w:sz w:val="24"/>
        </w:rPr>
      </w:pPr>
      <w:r>
        <w:rPr>
          <w:bCs/>
          <w:color w:val="000000"/>
          <w:sz w:val="24"/>
        </w:rPr>
        <w:t>在严格落实本环评提出的各项风险防范措施和事故应急预案后，该项目发生风险事故的可能进一步降低，其潜在的环境风险是可以接受的。</w:t>
      </w:r>
    </w:p>
    <w:p>
      <w:pPr>
        <w:spacing w:line="600" w:lineRule="exact"/>
        <w:outlineLvl w:val="2"/>
        <w:rPr>
          <w:b/>
          <w:color w:val="000000"/>
          <w:sz w:val="24"/>
        </w:rPr>
      </w:pPr>
      <w:bookmarkStart w:id="276" w:name="_Toc383761380"/>
      <w:bookmarkStart w:id="277" w:name="_Toc368100497"/>
      <w:bookmarkStart w:id="278" w:name="_Toc304530615"/>
      <w:bookmarkStart w:id="279" w:name="_Toc481736756"/>
      <w:r>
        <w:rPr>
          <w:b/>
          <w:color w:val="000000"/>
          <w:sz w:val="24"/>
        </w:rPr>
        <w:t>4.2.8 总量控制</w:t>
      </w:r>
      <w:bookmarkEnd w:id="276"/>
      <w:bookmarkEnd w:id="277"/>
      <w:bookmarkEnd w:id="278"/>
      <w:r>
        <w:rPr>
          <w:b/>
          <w:color w:val="000000"/>
          <w:sz w:val="24"/>
        </w:rPr>
        <w:t>分析</w:t>
      </w:r>
      <w:bookmarkEnd w:id="279"/>
    </w:p>
    <w:p>
      <w:pPr>
        <w:spacing w:line="500" w:lineRule="exact"/>
        <w:ind w:firstLine="480" w:firstLineChars="200"/>
        <w:rPr>
          <w:color w:val="000000"/>
          <w:sz w:val="24"/>
        </w:rPr>
      </w:pPr>
      <w:r>
        <w:rPr>
          <w:color w:val="000000"/>
          <w:sz w:val="24"/>
        </w:rPr>
        <w:t>根据《河南省主要污染物排放总量预算管理办法（试行）实施细则》（豫环文【2012】42号）及全国主要污染物排放总量控制项目有关要求，总量控制指标为：水污染物——COD、氨氮；大气污染物——SO</w:t>
      </w:r>
      <w:r>
        <w:rPr>
          <w:color w:val="000000"/>
          <w:sz w:val="24"/>
          <w:vertAlign w:val="subscript"/>
        </w:rPr>
        <w:t>2</w:t>
      </w:r>
      <w:r>
        <w:rPr>
          <w:color w:val="000000"/>
          <w:sz w:val="24"/>
        </w:rPr>
        <w:t>、NOx。</w:t>
      </w:r>
    </w:p>
    <w:p>
      <w:pPr>
        <w:spacing w:line="500" w:lineRule="exact"/>
        <w:ind w:firstLine="480" w:firstLineChars="200"/>
        <w:rPr>
          <w:color w:val="000000"/>
          <w:sz w:val="24"/>
        </w:rPr>
      </w:pPr>
      <w:r>
        <w:rPr>
          <w:bCs/>
          <w:color w:val="000000"/>
          <w:sz w:val="24"/>
        </w:rPr>
        <w:t>废气：项目涉及总量控制指标的是沼气锅炉废气中的</w:t>
      </w:r>
      <w:r>
        <w:rPr>
          <w:color w:val="000000"/>
          <w:sz w:val="24"/>
        </w:rPr>
        <w:t>SO</w:t>
      </w:r>
      <w:r>
        <w:rPr>
          <w:color w:val="000000"/>
          <w:sz w:val="24"/>
          <w:vertAlign w:val="subscript"/>
        </w:rPr>
        <w:t>2</w:t>
      </w:r>
      <w:r>
        <w:rPr>
          <w:bCs/>
          <w:color w:val="000000"/>
          <w:sz w:val="24"/>
        </w:rPr>
        <w:t>及</w:t>
      </w:r>
      <w:r>
        <w:rPr>
          <w:iCs/>
          <w:color w:val="000000"/>
          <w:sz w:val="24"/>
        </w:rPr>
        <w:t>NO</w:t>
      </w:r>
      <w:r>
        <w:rPr>
          <w:iCs/>
          <w:color w:val="000000"/>
          <w:sz w:val="24"/>
          <w:vertAlign w:val="subscript"/>
        </w:rPr>
        <w:t>X</w:t>
      </w:r>
      <w:r>
        <w:rPr>
          <w:bCs/>
          <w:color w:val="000000"/>
          <w:sz w:val="24"/>
        </w:rPr>
        <w:t>，</w:t>
      </w:r>
      <w:r>
        <w:rPr>
          <w:color w:val="000000"/>
          <w:sz w:val="24"/>
        </w:rPr>
        <w:t>经工程分析可知，项目全年燃烧沼气</w:t>
      </w:r>
      <w:r>
        <w:rPr>
          <w:rFonts w:hint="eastAsia"/>
          <w:color w:val="000000"/>
          <w:sz w:val="24"/>
        </w:rPr>
        <w:t>废气</w:t>
      </w:r>
      <w:r>
        <w:rPr>
          <w:color w:val="000000"/>
          <w:sz w:val="24"/>
        </w:rPr>
        <w:t>量共计</w:t>
      </w:r>
      <w:r>
        <w:rPr>
          <w:color w:val="000000"/>
          <w:sz w:val="24"/>
          <w:szCs w:val="22"/>
        </w:rPr>
        <w:t>79659</w:t>
      </w:r>
      <w:r>
        <w:rPr>
          <w:rFonts w:hint="eastAsia"/>
          <w:color w:val="000000"/>
          <w:sz w:val="24"/>
          <w:szCs w:val="22"/>
        </w:rPr>
        <w:t>5</w:t>
      </w:r>
      <w:r>
        <w:rPr>
          <w:color w:val="000000"/>
          <w:sz w:val="24"/>
        </w:rPr>
        <w:t>m</w:t>
      </w:r>
      <w:r>
        <w:rPr>
          <w:color w:val="000000"/>
          <w:sz w:val="24"/>
          <w:vertAlign w:val="superscript"/>
        </w:rPr>
        <w:t>3</w:t>
      </w:r>
      <w:r>
        <w:rPr>
          <w:color w:val="000000"/>
          <w:sz w:val="24"/>
        </w:rPr>
        <w:t>，脱硫后的沼气燃烧废气中SO</w:t>
      </w:r>
      <w:r>
        <w:rPr>
          <w:color w:val="000000"/>
          <w:sz w:val="24"/>
          <w:vertAlign w:val="subscript"/>
        </w:rPr>
        <w:t>2</w:t>
      </w:r>
      <w:r>
        <w:rPr>
          <w:color w:val="000000"/>
          <w:sz w:val="24"/>
        </w:rPr>
        <w:t>排放量为</w:t>
      </w:r>
      <w:r>
        <w:rPr>
          <w:sz w:val="24"/>
        </w:rPr>
        <w:t>0.0018</w:t>
      </w:r>
      <w:r>
        <w:rPr>
          <w:color w:val="000000"/>
          <w:sz w:val="24"/>
        </w:rPr>
        <w:t>/a，</w:t>
      </w:r>
      <w:r>
        <w:rPr>
          <w:iCs/>
          <w:color w:val="000000"/>
          <w:sz w:val="24"/>
        </w:rPr>
        <w:t>NO</w:t>
      </w:r>
      <w:r>
        <w:rPr>
          <w:iCs/>
          <w:color w:val="000000"/>
          <w:sz w:val="24"/>
          <w:vertAlign w:val="subscript"/>
        </w:rPr>
        <w:t>X</w:t>
      </w:r>
      <w:r>
        <w:rPr>
          <w:iCs/>
          <w:color w:val="000000"/>
          <w:sz w:val="24"/>
        </w:rPr>
        <w:t>排放量为</w:t>
      </w:r>
      <w:r>
        <w:rPr>
          <w:sz w:val="24"/>
        </w:rPr>
        <w:t>0.013</w:t>
      </w:r>
      <w:r>
        <w:rPr>
          <w:iCs/>
          <w:color w:val="000000"/>
          <w:sz w:val="24"/>
        </w:rPr>
        <w:t>t/a。</w:t>
      </w:r>
      <w:r>
        <w:rPr>
          <w:color w:val="000000"/>
          <w:sz w:val="24"/>
        </w:rPr>
        <w:t>建议项目总量控制指标为SO</w:t>
      </w:r>
      <w:r>
        <w:rPr>
          <w:color w:val="000000"/>
          <w:sz w:val="24"/>
          <w:vertAlign w:val="subscript"/>
        </w:rPr>
        <w:t>2</w:t>
      </w:r>
      <w:r>
        <w:rPr>
          <w:color w:val="000000"/>
          <w:sz w:val="24"/>
        </w:rPr>
        <w:t>：</w:t>
      </w:r>
      <w:r>
        <w:rPr>
          <w:sz w:val="24"/>
        </w:rPr>
        <w:t>0.0018</w:t>
      </w:r>
      <w:r>
        <w:rPr>
          <w:color w:val="000000"/>
          <w:sz w:val="24"/>
        </w:rPr>
        <w:t>t/a、NOx：</w:t>
      </w:r>
      <w:r>
        <w:rPr>
          <w:sz w:val="24"/>
        </w:rPr>
        <w:t>0.013</w:t>
      </w:r>
      <w:r>
        <w:rPr>
          <w:color w:val="000000"/>
          <w:sz w:val="24"/>
        </w:rPr>
        <w:t>t/a。</w:t>
      </w:r>
    </w:p>
    <w:p>
      <w:pPr>
        <w:spacing w:line="500" w:lineRule="exact"/>
        <w:ind w:firstLine="480" w:firstLineChars="200"/>
        <w:rPr>
          <w:color w:val="000000"/>
          <w:sz w:val="24"/>
        </w:rPr>
      </w:pPr>
      <w:r>
        <w:rPr>
          <w:color w:val="000000"/>
          <w:sz w:val="24"/>
        </w:rPr>
        <w:t>废水：项目废水经沼气化处理后，沼液用于农田施肥，全部综合利用、不外排，无废水总量控制指标。</w:t>
      </w:r>
    </w:p>
    <w:p>
      <w:pPr>
        <w:spacing w:line="500" w:lineRule="exact"/>
        <w:ind w:firstLine="480" w:firstLineChars="200"/>
        <w:rPr>
          <w:color w:val="000000"/>
          <w:sz w:val="24"/>
        </w:rPr>
      </w:pPr>
      <w:r>
        <w:rPr>
          <w:color w:val="000000"/>
          <w:sz w:val="24"/>
        </w:rPr>
        <w:t>综上，本项目设置的总量控制指标为：SO</w:t>
      </w:r>
      <w:r>
        <w:rPr>
          <w:color w:val="000000"/>
          <w:sz w:val="24"/>
          <w:vertAlign w:val="subscript"/>
        </w:rPr>
        <w:t>2</w:t>
      </w:r>
      <w:r>
        <w:rPr>
          <w:color w:val="000000"/>
          <w:sz w:val="24"/>
        </w:rPr>
        <w:t>：</w:t>
      </w:r>
      <w:r>
        <w:rPr>
          <w:sz w:val="24"/>
        </w:rPr>
        <w:t>0.0018</w:t>
      </w:r>
      <w:r>
        <w:rPr>
          <w:color w:val="000000"/>
          <w:sz w:val="24"/>
        </w:rPr>
        <w:t>t/a、NOx：</w:t>
      </w:r>
      <w:r>
        <w:rPr>
          <w:sz w:val="24"/>
        </w:rPr>
        <w:t>0.013</w:t>
      </w:r>
      <w:r>
        <w:rPr>
          <w:color w:val="000000"/>
          <w:sz w:val="24"/>
        </w:rPr>
        <w:t>t/a。</w:t>
      </w:r>
    </w:p>
    <w:p>
      <w:pPr>
        <w:spacing w:line="500" w:lineRule="exact"/>
        <w:ind w:firstLine="420" w:firstLineChars="200"/>
        <w:rPr>
          <w:color w:val="000000"/>
        </w:rPr>
      </w:pPr>
    </w:p>
    <w:p>
      <w:pPr>
        <w:topLinePunct/>
        <w:jc w:val="right"/>
        <w:rPr>
          <w:color w:val="000000"/>
        </w:rPr>
        <w:sectPr>
          <w:pgSz w:w="11906" w:h="16838"/>
          <w:pgMar w:top="1701" w:right="1588" w:bottom="1985" w:left="1588" w:header="851" w:footer="992" w:gutter="0"/>
          <w:cols w:space="720" w:num="1"/>
          <w:docGrid w:type="lines" w:linePitch="312" w:charSpace="0"/>
        </w:sectPr>
      </w:pPr>
    </w:p>
    <w:p>
      <w:pPr>
        <w:keepNext/>
        <w:keepLines/>
        <w:spacing w:before="100" w:beforeAutospacing="1" w:after="100" w:afterAutospacing="1"/>
        <w:jc w:val="center"/>
        <w:outlineLvl w:val="0"/>
        <w:rPr>
          <w:b/>
          <w:sz w:val="44"/>
          <w:szCs w:val="44"/>
        </w:rPr>
      </w:pPr>
      <w:bookmarkStart w:id="280" w:name="_Toc3019537"/>
      <w:bookmarkStart w:id="281" w:name="_Toc488572571"/>
      <w:r>
        <w:rPr>
          <w:b/>
          <w:sz w:val="44"/>
          <w:szCs w:val="44"/>
        </w:rPr>
        <w:t>第五章  环境保护措施及其可行性论证</w:t>
      </w:r>
      <w:bookmarkEnd w:id="280"/>
      <w:bookmarkEnd w:id="281"/>
    </w:p>
    <w:p>
      <w:pPr>
        <w:pStyle w:val="4"/>
        <w:spacing w:before="156" w:after="156"/>
        <w:rPr>
          <w:rFonts w:hAnsi="Times New Roman"/>
          <w:color w:val="000000"/>
        </w:rPr>
      </w:pPr>
      <w:bookmarkStart w:id="282" w:name="_Toc3019538"/>
      <w:bookmarkStart w:id="283" w:name="_Toc488572572"/>
      <w:r>
        <w:rPr>
          <w:rFonts w:hAnsi="Times New Roman"/>
          <w:color w:val="000000"/>
        </w:rPr>
        <w:t>5.1施工期污染防治措施</w:t>
      </w:r>
      <w:bookmarkEnd w:id="282"/>
      <w:bookmarkEnd w:id="283"/>
    </w:p>
    <w:p>
      <w:pPr>
        <w:topLinePunct/>
        <w:spacing w:line="500" w:lineRule="exact"/>
        <w:ind w:firstLine="480" w:firstLineChars="200"/>
        <w:rPr>
          <w:color w:val="000000"/>
          <w:sz w:val="24"/>
        </w:rPr>
      </w:pPr>
      <w:r>
        <w:rPr>
          <w:color w:val="000000"/>
          <w:sz w:val="24"/>
        </w:rPr>
        <w:t>本项目施工期包括场区的建设及沼液输送管网的铺设。根据企业提供的沼液管线铺设图，本项目沼液管线铺设过程中不穿过河流及公路。本项目沼液管使用的管材为PVC管，沼液管为地埋式，在铺设过程中需开挖出宽约50cm、深约80cm的明沟，将管材铺设在沟内，然后将沟填埋。</w:t>
      </w:r>
    </w:p>
    <w:p>
      <w:pPr>
        <w:topLinePunct/>
        <w:spacing w:line="500" w:lineRule="exact"/>
        <w:ind w:firstLine="480" w:firstLineChars="200"/>
        <w:rPr>
          <w:color w:val="000000"/>
          <w:sz w:val="24"/>
        </w:rPr>
      </w:pPr>
      <w:r>
        <w:rPr>
          <w:color w:val="000000"/>
          <w:sz w:val="24"/>
        </w:rPr>
        <w:t>评价针对工程施工期可能对环境造成的影响，以保护项目区的环境、最大限度地减少工程建设对环境造成的不利影响为目的，对施工期环境影响因素进行简要分析并提出具体的防范措施。</w:t>
      </w:r>
    </w:p>
    <w:p>
      <w:pPr>
        <w:topLinePunct/>
        <w:spacing w:line="600" w:lineRule="exact"/>
        <w:outlineLvl w:val="2"/>
        <w:rPr>
          <w:b/>
          <w:color w:val="000000"/>
          <w:sz w:val="24"/>
        </w:rPr>
      </w:pPr>
      <w:r>
        <w:rPr>
          <w:b/>
          <w:color w:val="000000"/>
          <w:sz w:val="24"/>
        </w:rPr>
        <w:t>5.1.1施工期水环境影响及保护措施</w:t>
      </w:r>
    </w:p>
    <w:p>
      <w:pPr>
        <w:topLinePunct/>
        <w:adjustRightInd w:val="0"/>
        <w:snapToGrid w:val="0"/>
        <w:spacing w:line="520" w:lineRule="exact"/>
        <w:ind w:firstLine="561"/>
        <w:rPr>
          <w:color w:val="000000"/>
          <w:sz w:val="24"/>
        </w:rPr>
      </w:pPr>
      <w:r>
        <w:rPr>
          <w:color w:val="000000"/>
          <w:sz w:val="24"/>
        </w:rPr>
        <w:t>工程对水环境的污染主要包括施工期生产废水、施工人员生活污水，评价针对环境特点提出工程施工期水环境保护措施，详见表5-1。</w:t>
      </w:r>
    </w:p>
    <w:p>
      <w:pPr>
        <w:topLinePunct/>
        <w:spacing w:beforeLines="50" w:afterLines="50"/>
        <w:ind w:firstLine="420" w:firstLineChars="200"/>
        <w:jc w:val="center"/>
        <w:rPr>
          <w:color w:val="000000"/>
          <w:sz w:val="24"/>
        </w:rPr>
      </w:pPr>
      <w:r>
        <w:rPr>
          <w:b/>
          <w:color w:val="000000"/>
          <w:szCs w:val="21"/>
        </w:rPr>
        <w:t>表5-1     施工期水环境保护措施一览表</w:t>
      </w:r>
    </w:p>
    <w:tbl>
      <w:tblPr>
        <w:tblStyle w:val="44"/>
        <w:tblW w:w="89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216"/>
        <w:gridCol w:w="3544"/>
        <w:gridCol w:w="24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Mar>
              <w:left w:w="0" w:type="dxa"/>
              <w:right w:w="0" w:type="dxa"/>
            </w:tcMar>
            <w:vAlign w:val="center"/>
          </w:tcPr>
          <w:p>
            <w:pPr>
              <w:topLinePunct/>
              <w:adjustRightInd w:val="0"/>
              <w:snapToGrid w:val="0"/>
              <w:jc w:val="center"/>
              <w:rPr>
                <w:b/>
                <w:color w:val="000000"/>
                <w:szCs w:val="21"/>
              </w:rPr>
            </w:pPr>
            <w:r>
              <w:rPr>
                <w:b/>
                <w:color w:val="000000"/>
                <w:szCs w:val="21"/>
              </w:rPr>
              <w:t>序号</w:t>
            </w:r>
          </w:p>
        </w:tc>
        <w:tc>
          <w:tcPr>
            <w:tcW w:w="2216" w:type="dxa"/>
            <w:tcMar>
              <w:left w:w="0" w:type="dxa"/>
              <w:right w:w="0" w:type="dxa"/>
            </w:tcMar>
            <w:vAlign w:val="center"/>
          </w:tcPr>
          <w:p>
            <w:pPr>
              <w:topLinePunct/>
              <w:adjustRightInd w:val="0"/>
              <w:snapToGrid w:val="0"/>
              <w:jc w:val="center"/>
              <w:rPr>
                <w:b/>
                <w:color w:val="000000"/>
                <w:szCs w:val="21"/>
              </w:rPr>
            </w:pPr>
            <w:r>
              <w:rPr>
                <w:b/>
                <w:color w:val="000000"/>
                <w:szCs w:val="21"/>
              </w:rPr>
              <w:t>主要环境影响</w:t>
            </w:r>
          </w:p>
        </w:tc>
        <w:tc>
          <w:tcPr>
            <w:tcW w:w="3544" w:type="dxa"/>
            <w:tcMar>
              <w:left w:w="0" w:type="dxa"/>
              <w:right w:w="0" w:type="dxa"/>
            </w:tcMar>
            <w:vAlign w:val="center"/>
          </w:tcPr>
          <w:p>
            <w:pPr>
              <w:topLinePunct/>
              <w:adjustRightInd w:val="0"/>
              <w:snapToGrid w:val="0"/>
              <w:jc w:val="center"/>
              <w:rPr>
                <w:b/>
                <w:color w:val="000000"/>
                <w:szCs w:val="21"/>
              </w:rPr>
            </w:pPr>
            <w:r>
              <w:rPr>
                <w:b/>
                <w:color w:val="000000"/>
                <w:szCs w:val="21"/>
              </w:rPr>
              <w:t>环保措施</w:t>
            </w:r>
          </w:p>
        </w:tc>
        <w:tc>
          <w:tcPr>
            <w:tcW w:w="2454" w:type="dxa"/>
            <w:tcMar>
              <w:left w:w="0" w:type="dxa"/>
              <w:right w:w="0" w:type="dxa"/>
            </w:tcMar>
            <w:vAlign w:val="center"/>
          </w:tcPr>
          <w:p>
            <w:pPr>
              <w:topLinePunct/>
              <w:adjustRightInd w:val="0"/>
              <w:snapToGrid w:val="0"/>
              <w:jc w:val="center"/>
              <w:rPr>
                <w:b/>
                <w:color w:val="000000"/>
                <w:szCs w:val="21"/>
              </w:rPr>
            </w:pPr>
            <w:r>
              <w:rPr>
                <w:b/>
                <w:color w:val="000000"/>
                <w:szCs w:val="21"/>
              </w:rPr>
              <w:t>效益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725" w:type="dxa"/>
            <w:tcMar>
              <w:left w:w="0" w:type="dxa"/>
              <w:right w:w="0" w:type="dxa"/>
            </w:tcMar>
            <w:vAlign w:val="center"/>
          </w:tcPr>
          <w:p>
            <w:pPr>
              <w:topLinePunct/>
              <w:adjustRightInd w:val="0"/>
              <w:snapToGrid w:val="0"/>
              <w:jc w:val="center"/>
              <w:rPr>
                <w:color w:val="000000"/>
                <w:szCs w:val="21"/>
              </w:rPr>
            </w:pPr>
            <w:r>
              <w:rPr>
                <w:color w:val="000000"/>
                <w:szCs w:val="21"/>
              </w:rPr>
              <w:t>1</w:t>
            </w:r>
          </w:p>
        </w:tc>
        <w:tc>
          <w:tcPr>
            <w:tcW w:w="2216" w:type="dxa"/>
            <w:tcMar>
              <w:left w:w="0" w:type="dxa"/>
              <w:right w:w="0" w:type="dxa"/>
            </w:tcMar>
            <w:vAlign w:val="center"/>
          </w:tcPr>
          <w:p>
            <w:pPr>
              <w:topLinePunct/>
              <w:adjustRightInd w:val="0"/>
              <w:snapToGrid w:val="0"/>
              <w:jc w:val="center"/>
              <w:rPr>
                <w:color w:val="000000"/>
                <w:szCs w:val="21"/>
              </w:rPr>
            </w:pPr>
            <w:r>
              <w:rPr>
                <w:color w:val="000000"/>
                <w:szCs w:val="21"/>
              </w:rPr>
              <w:t>施工排水可能对水环境产生影响，造成水土流失</w:t>
            </w:r>
          </w:p>
        </w:tc>
        <w:tc>
          <w:tcPr>
            <w:tcW w:w="3544" w:type="dxa"/>
            <w:tcMar>
              <w:left w:w="0" w:type="dxa"/>
              <w:right w:w="0" w:type="dxa"/>
            </w:tcMar>
            <w:vAlign w:val="center"/>
          </w:tcPr>
          <w:p>
            <w:pPr>
              <w:topLinePunct/>
              <w:adjustRightInd w:val="0"/>
              <w:snapToGrid w:val="0"/>
              <w:jc w:val="left"/>
              <w:rPr>
                <w:color w:val="000000"/>
                <w:szCs w:val="21"/>
              </w:rPr>
            </w:pPr>
            <w:r>
              <w:rPr>
                <w:color w:val="000000"/>
                <w:szCs w:val="21"/>
              </w:rPr>
              <w:t>施工用水尽量做到节约用水，重复利用，可用于拌和水泥，简单沉淀后用于浇灌施工现场周围树木和绿地，严禁排入地表水体</w:t>
            </w:r>
          </w:p>
        </w:tc>
        <w:tc>
          <w:tcPr>
            <w:tcW w:w="2454" w:type="dxa"/>
            <w:tcMar>
              <w:left w:w="0" w:type="dxa"/>
              <w:right w:w="0" w:type="dxa"/>
            </w:tcMar>
            <w:vAlign w:val="center"/>
          </w:tcPr>
          <w:p>
            <w:pPr>
              <w:topLinePunct/>
              <w:adjustRightInd w:val="0"/>
              <w:snapToGrid w:val="0"/>
              <w:jc w:val="left"/>
              <w:rPr>
                <w:color w:val="000000"/>
                <w:szCs w:val="21"/>
              </w:rPr>
            </w:pPr>
            <w:r>
              <w:rPr>
                <w:color w:val="000000"/>
                <w:szCs w:val="21"/>
              </w:rPr>
              <w:t>节约用水，减少水土流失，减轻或避免生活污水、粪便对环境污染影响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Mar>
              <w:left w:w="0" w:type="dxa"/>
              <w:right w:w="0" w:type="dxa"/>
            </w:tcMar>
            <w:vAlign w:val="center"/>
          </w:tcPr>
          <w:p>
            <w:pPr>
              <w:topLinePunct/>
              <w:adjustRightInd w:val="0"/>
              <w:snapToGrid w:val="0"/>
              <w:jc w:val="center"/>
              <w:rPr>
                <w:color w:val="000000"/>
                <w:szCs w:val="21"/>
              </w:rPr>
            </w:pPr>
            <w:r>
              <w:rPr>
                <w:color w:val="000000"/>
                <w:szCs w:val="21"/>
              </w:rPr>
              <w:t>2</w:t>
            </w:r>
          </w:p>
        </w:tc>
        <w:tc>
          <w:tcPr>
            <w:tcW w:w="2216" w:type="dxa"/>
            <w:tcMar>
              <w:left w:w="0" w:type="dxa"/>
              <w:right w:w="0" w:type="dxa"/>
            </w:tcMar>
            <w:vAlign w:val="center"/>
          </w:tcPr>
          <w:p>
            <w:pPr>
              <w:topLinePunct/>
              <w:adjustRightInd w:val="0"/>
              <w:snapToGrid w:val="0"/>
              <w:jc w:val="left"/>
              <w:rPr>
                <w:color w:val="000000"/>
                <w:szCs w:val="21"/>
              </w:rPr>
            </w:pPr>
            <w:r>
              <w:rPr>
                <w:color w:val="000000"/>
                <w:szCs w:val="21"/>
              </w:rPr>
              <w:t>生活污水、粪便随便排放对环境污染影响</w:t>
            </w:r>
          </w:p>
        </w:tc>
        <w:tc>
          <w:tcPr>
            <w:tcW w:w="3544" w:type="dxa"/>
            <w:tcMar>
              <w:left w:w="0" w:type="dxa"/>
              <w:right w:w="0" w:type="dxa"/>
            </w:tcMar>
            <w:vAlign w:val="center"/>
          </w:tcPr>
          <w:p>
            <w:pPr>
              <w:topLinePunct/>
              <w:adjustRightInd w:val="0"/>
              <w:snapToGrid w:val="0"/>
              <w:rPr>
                <w:color w:val="000000"/>
                <w:szCs w:val="21"/>
              </w:rPr>
            </w:pPr>
            <w:r>
              <w:rPr>
                <w:color w:val="000000"/>
                <w:szCs w:val="21"/>
              </w:rPr>
              <w:t>施工期修建旱厕，施工区生活污水及粪便经旱厕处理后用于浇灌周边绿地</w:t>
            </w:r>
          </w:p>
        </w:tc>
        <w:tc>
          <w:tcPr>
            <w:tcW w:w="2454" w:type="dxa"/>
            <w:tcMar>
              <w:left w:w="0" w:type="dxa"/>
              <w:right w:w="0" w:type="dxa"/>
            </w:tcMar>
            <w:vAlign w:val="center"/>
          </w:tcPr>
          <w:p>
            <w:pPr>
              <w:topLinePunct/>
              <w:adjustRightInd w:val="0"/>
              <w:snapToGrid w:val="0"/>
              <w:rPr>
                <w:color w:val="000000"/>
                <w:szCs w:val="21"/>
              </w:rPr>
            </w:pPr>
            <w:r>
              <w:rPr>
                <w:color w:val="000000"/>
                <w:szCs w:val="21"/>
              </w:rPr>
              <w:t>保护施工人员居住处的环境卫生</w:t>
            </w:r>
          </w:p>
        </w:tc>
      </w:tr>
    </w:tbl>
    <w:p>
      <w:pPr>
        <w:topLinePunct/>
        <w:spacing w:line="600" w:lineRule="exact"/>
        <w:outlineLvl w:val="2"/>
        <w:rPr>
          <w:b/>
          <w:color w:val="000000"/>
          <w:sz w:val="24"/>
        </w:rPr>
      </w:pPr>
      <w:r>
        <w:rPr>
          <w:b/>
          <w:color w:val="000000"/>
          <w:sz w:val="24"/>
        </w:rPr>
        <w:t>5.1.2施工期环境空气保护措施分析</w:t>
      </w:r>
    </w:p>
    <w:p>
      <w:pPr>
        <w:topLinePunct/>
        <w:spacing w:line="500" w:lineRule="exact"/>
        <w:ind w:firstLine="480" w:firstLineChars="200"/>
        <w:rPr>
          <w:color w:val="000000"/>
          <w:sz w:val="24"/>
        </w:rPr>
      </w:pPr>
      <w:r>
        <w:rPr>
          <w:color w:val="000000"/>
          <w:sz w:val="24"/>
        </w:rPr>
        <w:t>施工期对环境空气的污染主要包括扬尘及施工车辆尾气排放，本项目应严格执行国家环境保护总局（公告2007年第74号）《防治城市扬尘污染技术规范》，河南省住房和城乡建设厅《河南省建筑施工现场扬尘防治管理暂行规定的通知》(豫建建【2014】83号)、《驻马店市2017年度大气污染防治攻坚战工作方案》（驻政办〔2017〕24号）具体要求，评价针对各种污染物排放特点及性质提出施工期环境空气污染防治措施，详见表5-2。</w:t>
      </w:r>
    </w:p>
    <w:p>
      <w:pPr>
        <w:topLinePunct/>
        <w:spacing w:beforeLines="50" w:afterLines="50"/>
        <w:ind w:firstLine="420" w:firstLineChars="200"/>
        <w:jc w:val="center"/>
        <w:rPr>
          <w:b/>
          <w:color w:val="000000"/>
          <w:szCs w:val="21"/>
        </w:rPr>
      </w:pPr>
      <w:r>
        <w:rPr>
          <w:b/>
          <w:color w:val="000000"/>
          <w:szCs w:val="21"/>
        </w:rPr>
        <w:t>表5-2       施工期环境空气保护措施一览表</w:t>
      </w:r>
    </w:p>
    <w:tbl>
      <w:tblPr>
        <w:tblStyle w:val="44"/>
        <w:tblW w:w="884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9"/>
        <w:gridCol w:w="2418"/>
        <w:gridCol w:w="3186"/>
        <w:gridCol w:w="26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Mar>
              <w:left w:w="0" w:type="dxa"/>
              <w:right w:w="0" w:type="dxa"/>
            </w:tcMar>
            <w:vAlign w:val="center"/>
          </w:tcPr>
          <w:p>
            <w:pPr>
              <w:topLinePunct/>
              <w:adjustRightInd w:val="0"/>
              <w:snapToGrid w:val="0"/>
              <w:jc w:val="center"/>
              <w:rPr>
                <w:b/>
                <w:color w:val="000000"/>
                <w:szCs w:val="21"/>
              </w:rPr>
            </w:pPr>
            <w:r>
              <w:rPr>
                <w:b/>
                <w:color w:val="000000"/>
                <w:szCs w:val="21"/>
              </w:rPr>
              <w:t>序号</w:t>
            </w:r>
          </w:p>
        </w:tc>
        <w:tc>
          <w:tcPr>
            <w:tcW w:w="2418" w:type="dxa"/>
            <w:tcMar>
              <w:left w:w="0" w:type="dxa"/>
              <w:right w:w="0" w:type="dxa"/>
            </w:tcMar>
            <w:vAlign w:val="center"/>
          </w:tcPr>
          <w:p>
            <w:pPr>
              <w:topLinePunct/>
              <w:adjustRightInd w:val="0"/>
              <w:snapToGrid w:val="0"/>
              <w:jc w:val="center"/>
              <w:rPr>
                <w:b/>
                <w:color w:val="000000"/>
                <w:szCs w:val="21"/>
              </w:rPr>
            </w:pPr>
            <w:r>
              <w:rPr>
                <w:b/>
                <w:color w:val="000000"/>
                <w:szCs w:val="21"/>
              </w:rPr>
              <w:t>主要环境影响</w:t>
            </w:r>
          </w:p>
        </w:tc>
        <w:tc>
          <w:tcPr>
            <w:tcW w:w="3186" w:type="dxa"/>
            <w:tcMar>
              <w:left w:w="0" w:type="dxa"/>
              <w:right w:w="0" w:type="dxa"/>
            </w:tcMar>
            <w:vAlign w:val="center"/>
          </w:tcPr>
          <w:p>
            <w:pPr>
              <w:topLinePunct/>
              <w:adjustRightInd w:val="0"/>
              <w:snapToGrid w:val="0"/>
              <w:jc w:val="center"/>
              <w:rPr>
                <w:b/>
                <w:color w:val="000000"/>
                <w:szCs w:val="21"/>
              </w:rPr>
            </w:pPr>
            <w:r>
              <w:rPr>
                <w:b/>
                <w:color w:val="000000"/>
                <w:szCs w:val="21"/>
              </w:rPr>
              <w:t>环保措施</w:t>
            </w:r>
          </w:p>
        </w:tc>
        <w:tc>
          <w:tcPr>
            <w:tcW w:w="2671" w:type="dxa"/>
            <w:tcMar>
              <w:left w:w="0" w:type="dxa"/>
              <w:right w:w="0" w:type="dxa"/>
            </w:tcMar>
            <w:vAlign w:val="center"/>
          </w:tcPr>
          <w:p>
            <w:pPr>
              <w:topLinePunct/>
              <w:adjustRightInd w:val="0"/>
              <w:snapToGrid w:val="0"/>
              <w:jc w:val="center"/>
              <w:rPr>
                <w:b/>
                <w:color w:val="000000"/>
                <w:szCs w:val="21"/>
              </w:rPr>
            </w:pPr>
            <w:r>
              <w:rPr>
                <w:b/>
                <w:color w:val="000000"/>
                <w:szCs w:val="21"/>
              </w:rPr>
              <w:t>效益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569" w:type="dxa"/>
            <w:tcMar>
              <w:left w:w="0" w:type="dxa"/>
              <w:right w:w="0" w:type="dxa"/>
            </w:tcMar>
            <w:vAlign w:val="center"/>
          </w:tcPr>
          <w:p>
            <w:pPr>
              <w:topLinePunct/>
              <w:adjustRightInd w:val="0"/>
              <w:snapToGrid w:val="0"/>
              <w:jc w:val="center"/>
              <w:rPr>
                <w:color w:val="000000"/>
              </w:rPr>
            </w:pPr>
            <w:r>
              <w:rPr>
                <w:color w:val="000000"/>
              </w:rPr>
              <w:t>1</w:t>
            </w:r>
          </w:p>
        </w:tc>
        <w:tc>
          <w:tcPr>
            <w:tcW w:w="2418" w:type="dxa"/>
            <w:tcMar>
              <w:left w:w="0" w:type="dxa"/>
              <w:right w:w="0" w:type="dxa"/>
            </w:tcMar>
            <w:vAlign w:val="center"/>
          </w:tcPr>
          <w:p>
            <w:pPr>
              <w:topLinePunct/>
              <w:adjustRightInd w:val="0"/>
              <w:snapToGrid w:val="0"/>
              <w:jc w:val="center"/>
              <w:rPr>
                <w:color w:val="000000"/>
              </w:rPr>
            </w:pPr>
            <w:r>
              <w:rPr>
                <w:color w:val="000000"/>
              </w:rPr>
              <w:t>运输汽车运行产生道路扬尘污染</w:t>
            </w:r>
          </w:p>
        </w:tc>
        <w:tc>
          <w:tcPr>
            <w:tcW w:w="3186" w:type="dxa"/>
            <w:tcMar>
              <w:left w:w="0" w:type="dxa"/>
              <w:right w:w="0" w:type="dxa"/>
            </w:tcMar>
            <w:vAlign w:val="center"/>
          </w:tcPr>
          <w:p>
            <w:pPr>
              <w:topLinePunct/>
              <w:adjustRightInd w:val="0"/>
              <w:snapToGrid w:val="0"/>
              <w:jc w:val="center"/>
              <w:rPr>
                <w:color w:val="000000"/>
              </w:rPr>
            </w:pPr>
            <w:r>
              <w:rPr>
                <w:color w:val="000000"/>
              </w:rPr>
              <w:t>运输路线应定期洒水</w:t>
            </w:r>
          </w:p>
        </w:tc>
        <w:tc>
          <w:tcPr>
            <w:tcW w:w="2671" w:type="dxa"/>
            <w:tcMar>
              <w:left w:w="0" w:type="dxa"/>
              <w:right w:w="0" w:type="dxa"/>
            </w:tcMar>
            <w:vAlign w:val="center"/>
          </w:tcPr>
          <w:p>
            <w:pPr>
              <w:topLinePunct/>
              <w:adjustRightInd w:val="0"/>
              <w:snapToGrid w:val="0"/>
              <w:jc w:val="center"/>
              <w:rPr>
                <w:color w:val="000000"/>
                <w:szCs w:val="21"/>
              </w:rPr>
            </w:pPr>
            <w:r>
              <w:rPr>
                <w:color w:val="000000"/>
                <w:szCs w:val="21"/>
              </w:rPr>
              <w:t>减少道路扬尘对施工场区内人员、施工区周围厂房以及运输道路范围内污染影响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9" w:type="dxa"/>
            <w:tcMar>
              <w:left w:w="0" w:type="dxa"/>
              <w:right w:w="0" w:type="dxa"/>
            </w:tcMar>
            <w:vAlign w:val="center"/>
          </w:tcPr>
          <w:p>
            <w:pPr>
              <w:topLinePunct/>
              <w:adjustRightInd w:val="0"/>
              <w:snapToGrid w:val="0"/>
              <w:jc w:val="center"/>
              <w:rPr>
                <w:color w:val="000000"/>
              </w:rPr>
            </w:pPr>
            <w:r>
              <w:rPr>
                <w:color w:val="000000"/>
              </w:rPr>
              <w:t>2</w:t>
            </w:r>
          </w:p>
        </w:tc>
        <w:tc>
          <w:tcPr>
            <w:tcW w:w="2418" w:type="dxa"/>
            <w:tcMar>
              <w:left w:w="0" w:type="dxa"/>
              <w:right w:w="0" w:type="dxa"/>
            </w:tcMar>
            <w:vAlign w:val="center"/>
          </w:tcPr>
          <w:p>
            <w:pPr>
              <w:topLinePunct/>
              <w:adjustRightInd w:val="0"/>
              <w:snapToGrid w:val="0"/>
              <w:jc w:val="center"/>
              <w:rPr>
                <w:color w:val="000000"/>
              </w:rPr>
            </w:pPr>
            <w:r>
              <w:rPr>
                <w:color w:val="000000"/>
              </w:rPr>
              <w:t>运输过程中撒落砂石、土等材料，产生二次污染</w:t>
            </w:r>
          </w:p>
        </w:tc>
        <w:tc>
          <w:tcPr>
            <w:tcW w:w="3186" w:type="dxa"/>
            <w:tcMar>
              <w:left w:w="0" w:type="dxa"/>
              <w:right w:w="0" w:type="dxa"/>
            </w:tcMar>
            <w:vAlign w:val="center"/>
          </w:tcPr>
          <w:p>
            <w:pPr>
              <w:topLinePunct/>
              <w:adjustRightInd w:val="0"/>
              <w:snapToGrid w:val="0"/>
              <w:jc w:val="center"/>
              <w:rPr>
                <w:color w:val="000000"/>
              </w:rPr>
            </w:pPr>
            <w:r>
              <w:rPr>
                <w:color w:val="000000"/>
              </w:rPr>
              <w:t>加强运输管理，保证汽车文明、安全、中速行驶，运输砂石、土、水泥、石灰的车辆表面应加以覆盖，避免砂石、土洒落造成二次污染影响</w:t>
            </w:r>
          </w:p>
        </w:tc>
        <w:tc>
          <w:tcPr>
            <w:tcW w:w="2671" w:type="dxa"/>
            <w:tcMar>
              <w:left w:w="0" w:type="dxa"/>
              <w:right w:w="0" w:type="dxa"/>
            </w:tcMar>
            <w:vAlign w:val="center"/>
          </w:tcPr>
          <w:p>
            <w:pPr>
              <w:topLinePunct/>
              <w:adjustRightInd w:val="0"/>
              <w:snapToGrid w:val="0"/>
              <w:jc w:val="center"/>
              <w:rPr>
                <w:color w:val="000000"/>
              </w:rPr>
            </w:pPr>
            <w:r>
              <w:rPr>
                <w:color w:val="000000"/>
              </w:rPr>
              <w:t>减少二次污染影响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569" w:type="dxa"/>
            <w:tcMar>
              <w:left w:w="0" w:type="dxa"/>
              <w:right w:w="0" w:type="dxa"/>
            </w:tcMar>
            <w:vAlign w:val="center"/>
          </w:tcPr>
          <w:p>
            <w:pPr>
              <w:topLinePunct/>
              <w:adjustRightInd w:val="0"/>
              <w:snapToGrid w:val="0"/>
              <w:jc w:val="center"/>
              <w:rPr>
                <w:color w:val="000000"/>
              </w:rPr>
            </w:pPr>
            <w:r>
              <w:rPr>
                <w:color w:val="000000"/>
              </w:rPr>
              <w:t>3</w:t>
            </w:r>
          </w:p>
        </w:tc>
        <w:tc>
          <w:tcPr>
            <w:tcW w:w="2418" w:type="dxa"/>
            <w:tcMar>
              <w:left w:w="0" w:type="dxa"/>
              <w:right w:w="0" w:type="dxa"/>
            </w:tcMar>
            <w:vAlign w:val="center"/>
          </w:tcPr>
          <w:p>
            <w:pPr>
              <w:topLinePunct/>
              <w:adjustRightInd w:val="0"/>
              <w:snapToGrid w:val="0"/>
              <w:jc w:val="center"/>
              <w:rPr>
                <w:color w:val="000000"/>
              </w:rPr>
            </w:pPr>
            <w:r>
              <w:rPr>
                <w:color w:val="000000"/>
              </w:rPr>
              <w:t>扬尘对灰土拌合操作人员身体健康影响</w:t>
            </w:r>
          </w:p>
        </w:tc>
        <w:tc>
          <w:tcPr>
            <w:tcW w:w="3186" w:type="dxa"/>
            <w:tcMar>
              <w:left w:w="0" w:type="dxa"/>
              <w:right w:w="0" w:type="dxa"/>
            </w:tcMar>
            <w:vAlign w:val="center"/>
          </w:tcPr>
          <w:p>
            <w:pPr>
              <w:topLinePunct/>
              <w:adjustRightInd w:val="0"/>
              <w:snapToGrid w:val="0"/>
              <w:jc w:val="center"/>
              <w:rPr>
                <w:color w:val="000000"/>
              </w:rPr>
            </w:pPr>
            <w:r>
              <w:rPr>
                <w:color w:val="000000"/>
              </w:rPr>
              <w:t>对拌合点操作人员实行卫生保护，如配戴口罩、风镜等</w:t>
            </w:r>
          </w:p>
        </w:tc>
        <w:tc>
          <w:tcPr>
            <w:tcW w:w="2671" w:type="dxa"/>
            <w:tcMar>
              <w:left w:w="0" w:type="dxa"/>
              <w:right w:w="0" w:type="dxa"/>
            </w:tcMar>
            <w:vAlign w:val="center"/>
          </w:tcPr>
          <w:p>
            <w:pPr>
              <w:topLinePunct/>
              <w:adjustRightInd w:val="0"/>
              <w:snapToGrid w:val="0"/>
              <w:jc w:val="center"/>
              <w:rPr>
                <w:color w:val="000000"/>
              </w:rPr>
            </w:pPr>
            <w:r>
              <w:rPr>
                <w:color w:val="000000"/>
              </w:rPr>
              <w:t>减轻灰土扬尘对操作人员健康的影响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569" w:type="dxa"/>
            <w:tcMar>
              <w:left w:w="0" w:type="dxa"/>
              <w:right w:w="0" w:type="dxa"/>
            </w:tcMar>
            <w:vAlign w:val="center"/>
          </w:tcPr>
          <w:p>
            <w:pPr>
              <w:topLinePunct/>
              <w:spacing w:line="320" w:lineRule="exact"/>
              <w:jc w:val="center"/>
              <w:rPr>
                <w:color w:val="000000"/>
              </w:rPr>
            </w:pPr>
            <w:r>
              <w:rPr>
                <w:color w:val="000000"/>
              </w:rPr>
              <w:t>4</w:t>
            </w:r>
          </w:p>
        </w:tc>
        <w:tc>
          <w:tcPr>
            <w:tcW w:w="2418" w:type="dxa"/>
            <w:tcMar>
              <w:left w:w="0" w:type="dxa"/>
              <w:right w:w="0" w:type="dxa"/>
            </w:tcMar>
            <w:vAlign w:val="center"/>
          </w:tcPr>
          <w:p>
            <w:pPr>
              <w:topLinePunct/>
              <w:spacing w:line="320" w:lineRule="exact"/>
              <w:rPr>
                <w:color w:val="000000"/>
              </w:rPr>
            </w:pPr>
            <w:r>
              <w:rPr>
                <w:color w:val="000000"/>
              </w:rPr>
              <w:t>施工过程对周边环境的影响</w:t>
            </w:r>
          </w:p>
        </w:tc>
        <w:tc>
          <w:tcPr>
            <w:tcW w:w="3186" w:type="dxa"/>
            <w:tcMar>
              <w:left w:w="0" w:type="dxa"/>
              <w:right w:w="0" w:type="dxa"/>
            </w:tcMar>
            <w:vAlign w:val="center"/>
          </w:tcPr>
          <w:p>
            <w:pPr>
              <w:topLinePunct/>
              <w:spacing w:line="320" w:lineRule="exact"/>
              <w:rPr>
                <w:color w:val="000000"/>
              </w:rPr>
            </w:pPr>
            <w:r>
              <w:rPr>
                <w:color w:val="000000"/>
              </w:rPr>
              <w:t>施工现场必须全封闭设置围挡墙,严禁敞开式作业;施工现场道路、作业区、生活区必须进行地面硬化,出口必须设置定型化自动冲洗设施,出入车辆必须冲洗干净；施工中产生的物料堆应采取遮盖、洒水、喷洒覆盖剂或其他防尘措施</w:t>
            </w:r>
          </w:p>
        </w:tc>
        <w:tc>
          <w:tcPr>
            <w:tcW w:w="2671" w:type="dxa"/>
            <w:tcMar>
              <w:left w:w="0" w:type="dxa"/>
              <w:right w:w="0" w:type="dxa"/>
            </w:tcMar>
            <w:vAlign w:val="center"/>
          </w:tcPr>
          <w:p>
            <w:pPr>
              <w:topLinePunct/>
              <w:spacing w:line="320" w:lineRule="exact"/>
              <w:rPr>
                <w:color w:val="000000"/>
              </w:rPr>
            </w:pPr>
            <w:r>
              <w:rPr>
                <w:color w:val="000000"/>
              </w:rPr>
              <w:t>减轻施工过程对周边大气环境的影响</w:t>
            </w:r>
          </w:p>
        </w:tc>
      </w:tr>
    </w:tbl>
    <w:p>
      <w:pPr>
        <w:keepNext/>
        <w:keepLines/>
        <w:topLinePunct/>
        <w:spacing w:line="600" w:lineRule="exact"/>
        <w:jc w:val="left"/>
        <w:outlineLvl w:val="2"/>
        <w:rPr>
          <w:b/>
          <w:bCs/>
          <w:color w:val="000000"/>
          <w:kern w:val="44"/>
          <w:sz w:val="24"/>
          <w:szCs w:val="32"/>
        </w:rPr>
      </w:pPr>
      <w:r>
        <w:rPr>
          <w:b/>
          <w:bCs/>
          <w:color w:val="000000"/>
          <w:sz w:val="24"/>
          <w:szCs w:val="32"/>
        </w:rPr>
        <w:t>5.1.3施工期噪声污染防治措施</w:t>
      </w:r>
    </w:p>
    <w:p>
      <w:pPr>
        <w:topLinePunct/>
        <w:adjustRightInd w:val="0"/>
        <w:snapToGrid w:val="0"/>
        <w:spacing w:line="520" w:lineRule="exact"/>
        <w:ind w:firstLine="480" w:firstLineChars="200"/>
        <w:rPr>
          <w:color w:val="000000"/>
          <w:sz w:val="24"/>
        </w:rPr>
      </w:pPr>
      <w:r>
        <w:rPr>
          <w:color w:val="000000"/>
          <w:sz w:val="24"/>
        </w:rPr>
        <w:t>工程施工过程中，由于各种施工机械设备的运转和各类车辆的运行，噪声主要来自各种施工机械设备的运转及各种车辆的运行噪声，污染主要是机械噪声，评价根据工程特点提出施工期噪声污染防治措施见表5-3。</w:t>
      </w:r>
    </w:p>
    <w:p>
      <w:pPr>
        <w:topLinePunct/>
        <w:spacing w:beforeLines="50" w:afterLines="50"/>
        <w:ind w:firstLine="420" w:firstLineChars="200"/>
        <w:jc w:val="center"/>
        <w:rPr>
          <w:b/>
          <w:color w:val="000000"/>
          <w:szCs w:val="21"/>
        </w:rPr>
      </w:pPr>
      <w:r>
        <w:rPr>
          <w:b/>
          <w:color w:val="000000"/>
          <w:szCs w:val="21"/>
        </w:rPr>
        <w:t>表5-3       施工期噪声污染防治措施一览表</w:t>
      </w:r>
    </w:p>
    <w:tbl>
      <w:tblPr>
        <w:tblStyle w:val="44"/>
        <w:tblW w:w="884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843"/>
        <w:gridCol w:w="4072"/>
        <w:gridCol w:w="21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8" w:type="dxa"/>
            <w:tcMar>
              <w:left w:w="0" w:type="dxa"/>
              <w:right w:w="0" w:type="dxa"/>
            </w:tcMar>
            <w:vAlign w:val="center"/>
          </w:tcPr>
          <w:p>
            <w:pPr>
              <w:topLinePunct/>
              <w:adjustRightInd w:val="0"/>
              <w:snapToGrid w:val="0"/>
              <w:jc w:val="center"/>
              <w:rPr>
                <w:b/>
                <w:color w:val="000000"/>
                <w:szCs w:val="21"/>
              </w:rPr>
            </w:pPr>
            <w:r>
              <w:rPr>
                <w:b/>
                <w:color w:val="000000"/>
                <w:szCs w:val="21"/>
              </w:rPr>
              <w:t>序号</w:t>
            </w:r>
          </w:p>
        </w:tc>
        <w:tc>
          <w:tcPr>
            <w:tcW w:w="1843" w:type="dxa"/>
            <w:tcMar>
              <w:left w:w="0" w:type="dxa"/>
              <w:right w:w="0" w:type="dxa"/>
            </w:tcMar>
            <w:vAlign w:val="center"/>
          </w:tcPr>
          <w:p>
            <w:pPr>
              <w:topLinePunct/>
              <w:adjustRightInd w:val="0"/>
              <w:snapToGrid w:val="0"/>
              <w:jc w:val="center"/>
              <w:rPr>
                <w:b/>
                <w:color w:val="000000"/>
                <w:szCs w:val="21"/>
              </w:rPr>
            </w:pPr>
            <w:r>
              <w:rPr>
                <w:b/>
                <w:color w:val="000000"/>
                <w:szCs w:val="21"/>
              </w:rPr>
              <w:t>主要环境影响</w:t>
            </w:r>
          </w:p>
        </w:tc>
        <w:tc>
          <w:tcPr>
            <w:tcW w:w="4072" w:type="dxa"/>
            <w:tcMar>
              <w:left w:w="0" w:type="dxa"/>
              <w:right w:w="0" w:type="dxa"/>
            </w:tcMar>
            <w:vAlign w:val="center"/>
          </w:tcPr>
          <w:p>
            <w:pPr>
              <w:topLinePunct/>
              <w:adjustRightInd w:val="0"/>
              <w:snapToGrid w:val="0"/>
              <w:jc w:val="center"/>
              <w:rPr>
                <w:b/>
                <w:color w:val="000000"/>
                <w:szCs w:val="21"/>
              </w:rPr>
            </w:pPr>
            <w:r>
              <w:rPr>
                <w:b/>
                <w:color w:val="000000"/>
                <w:szCs w:val="21"/>
              </w:rPr>
              <w:t>环保措施</w:t>
            </w:r>
          </w:p>
        </w:tc>
        <w:tc>
          <w:tcPr>
            <w:tcW w:w="2161" w:type="dxa"/>
            <w:tcMar>
              <w:left w:w="0" w:type="dxa"/>
              <w:right w:w="0" w:type="dxa"/>
            </w:tcMar>
            <w:vAlign w:val="center"/>
          </w:tcPr>
          <w:p>
            <w:pPr>
              <w:topLinePunct/>
              <w:adjustRightInd w:val="0"/>
              <w:snapToGrid w:val="0"/>
              <w:jc w:val="center"/>
              <w:rPr>
                <w:b/>
                <w:color w:val="000000"/>
                <w:szCs w:val="21"/>
              </w:rPr>
            </w:pPr>
            <w:r>
              <w:rPr>
                <w:b/>
                <w:color w:val="000000"/>
                <w:szCs w:val="21"/>
              </w:rPr>
              <w:t>效益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8" w:type="dxa"/>
            <w:tcMar>
              <w:left w:w="0" w:type="dxa"/>
              <w:right w:w="0" w:type="dxa"/>
            </w:tcMar>
            <w:vAlign w:val="center"/>
          </w:tcPr>
          <w:p>
            <w:pPr>
              <w:topLinePunct/>
              <w:adjustRightInd w:val="0"/>
              <w:snapToGrid w:val="0"/>
              <w:spacing w:beforeLines="25" w:afterLines="25"/>
              <w:jc w:val="center"/>
              <w:rPr>
                <w:color w:val="000000"/>
              </w:rPr>
            </w:pPr>
            <w:r>
              <w:rPr>
                <w:color w:val="000000"/>
              </w:rPr>
              <w:t>1</w:t>
            </w:r>
          </w:p>
        </w:tc>
        <w:tc>
          <w:tcPr>
            <w:tcW w:w="1843" w:type="dxa"/>
            <w:tcMar>
              <w:left w:w="0" w:type="dxa"/>
              <w:right w:w="0" w:type="dxa"/>
            </w:tcMar>
            <w:vAlign w:val="center"/>
          </w:tcPr>
          <w:p>
            <w:pPr>
              <w:topLinePunct/>
              <w:adjustRightInd w:val="0"/>
              <w:snapToGrid w:val="0"/>
              <w:spacing w:beforeLines="25" w:afterLines="25"/>
              <w:jc w:val="center"/>
              <w:rPr>
                <w:color w:val="000000"/>
              </w:rPr>
            </w:pPr>
            <w:r>
              <w:rPr>
                <w:color w:val="000000"/>
              </w:rPr>
              <w:t>对施工生活区影响</w:t>
            </w:r>
          </w:p>
        </w:tc>
        <w:tc>
          <w:tcPr>
            <w:tcW w:w="4072" w:type="dxa"/>
            <w:tcMar>
              <w:left w:w="0" w:type="dxa"/>
              <w:right w:w="0" w:type="dxa"/>
            </w:tcMar>
            <w:vAlign w:val="center"/>
          </w:tcPr>
          <w:p>
            <w:pPr>
              <w:topLinePunct/>
              <w:adjustRightInd w:val="0"/>
              <w:snapToGrid w:val="0"/>
              <w:spacing w:beforeLines="25" w:afterLines="25"/>
              <w:jc w:val="center"/>
              <w:rPr>
                <w:color w:val="000000"/>
              </w:rPr>
            </w:pPr>
            <w:r>
              <w:rPr>
                <w:color w:val="000000"/>
              </w:rPr>
              <w:t>合理规划各种施工机械设备布局，采用科学的施工方法，严格控制施工作业范围和作业时间</w:t>
            </w:r>
          </w:p>
        </w:tc>
        <w:tc>
          <w:tcPr>
            <w:tcW w:w="2161" w:type="dxa"/>
            <w:tcMar>
              <w:left w:w="0" w:type="dxa"/>
              <w:right w:w="0" w:type="dxa"/>
            </w:tcMar>
            <w:vAlign w:val="center"/>
          </w:tcPr>
          <w:p>
            <w:pPr>
              <w:topLinePunct/>
              <w:adjustRightInd w:val="0"/>
              <w:snapToGrid w:val="0"/>
              <w:spacing w:beforeLines="25" w:afterLines="25"/>
              <w:jc w:val="center"/>
              <w:rPr>
                <w:color w:val="000000"/>
              </w:rPr>
            </w:pPr>
            <w:r>
              <w:rPr>
                <w:color w:val="000000"/>
              </w:rPr>
              <w:t>减轻噪声对施工生活区影响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8" w:type="dxa"/>
            <w:tcMar>
              <w:left w:w="0" w:type="dxa"/>
              <w:right w:w="0" w:type="dxa"/>
            </w:tcMar>
            <w:vAlign w:val="center"/>
          </w:tcPr>
          <w:p>
            <w:pPr>
              <w:topLinePunct/>
              <w:adjustRightInd w:val="0"/>
              <w:snapToGrid w:val="0"/>
              <w:spacing w:beforeLines="25" w:afterLines="25"/>
              <w:jc w:val="center"/>
              <w:rPr>
                <w:color w:val="000000"/>
              </w:rPr>
            </w:pPr>
            <w:r>
              <w:rPr>
                <w:color w:val="000000"/>
              </w:rPr>
              <w:t>2</w:t>
            </w:r>
          </w:p>
        </w:tc>
        <w:tc>
          <w:tcPr>
            <w:tcW w:w="1843" w:type="dxa"/>
            <w:tcMar>
              <w:left w:w="0" w:type="dxa"/>
              <w:right w:w="0" w:type="dxa"/>
            </w:tcMar>
            <w:vAlign w:val="center"/>
          </w:tcPr>
          <w:p>
            <w:pPr>
              <w:topLinePunct/>
              <w:adjustRightInd w:val="0"/>
              <w:snapToGrid w:val="0"/>
              <w:spacing w:beforeLines="25" w:afterLines="25"/>
              <w:jc w:val="center"/>
              <w:rPr>
                <w:color w:val="000000"/>
              </w:rPr>
            </w:pPr>
            <w:r>
              <w:rPr>
                <w:color w:val="000000"/>
              </w:rPr>
              <w:t>对高噪声源设备操作人员影响</w:t>
            </w:r>
          </w:p>
        </w:tc>
        <w:tc>
          <w:tcPr>
            <w:tcW w:w="4072" w:type="dxa"/>
            <w:tcMar>
              <w:left w:w="0" w:type="dxa"/>
              <w:right w:w="0" w:type="dxa"/>
            </w:tcMar>
            <w:vAlign w:val="center"/>
          </w:tcPr>
          <w:p>
            <w:pPr>
              <w:topLinePunct/>
              <w:adjustRightInd w:val="0"/>
              <w:snapToGrid w:val="0"/>
              <w:spacing w:beforeLines="25" w:afterLines="25"/>
              <w:jc w:val="center"/>
              <w:rPr>
                <w:color w:val="000000"/>
              </w:rPr>
            </w:pPr>
            <w:r>
              <w:rPr>
                <w:color w:val="000000"/>
              </w:rPr>
              <w:t>尽量选用低噪声设备，给高噪声设备安装隔声罩，打桩机、推土机、铲平机等强噪声源设备的操作人员配戴耳塞，加强身体防护</w:t>
            </w:r>
          </w:p>
        </w:tc>
        <w:tc>
          <w:tcPr>
            <w:tcW w:w="2161" w:type="dxa"/>
            <w:tcMar>
              <w:left w:w="0" w:type="dxa"/>
              <w:right w:w="0" w:type="dxa"/>
            </w:tcMar>
            <w:vAlign w:val="center"/>
          </w:tcPr>
          <w:p>
            <w:pPr>
              <w:topLinePunct/>
              <w:adjustRightInd w:val="0"/>
              <w:snapToGrid w:val="0"/>
              <w:spacing w:beforeLines="25" w:afterLines="25"/>
              <w:jc w:val="center"/>
              <w:rPr>
                <w:color w:val="000000"/>
              </w:rPr>
            </w:pPr>
            <w:r>
              <w:rPr>
                <w:color w:val="000000"/>
              </w:rPr>
              <w:t>减轻噪声对施工人员身体健康的影响</w:t>
            </w:r>
          </w:p>
        </w:tc>
      </w:tr>
    </w:tbl>
    <w:p>
      <w:pPr>
        <w:keepNext/>
        <w:keepLines/>
        <w:topLinePunct/>
        <w:spacing w:line="600" w:lineRule="exact"/>
        <w:jc w:val="left"/>
        <w:outlineLvl w:val="2"/>
        <w:rPr>
          <w:b/>
          <w:bCs/>
          <w:color w:val="000000"/>
          <w:sz w:val="24"/>
          <w:szCs w:val="32"/>
        </w:rPr>
      </w:pPr>
      <w:r>
        <w:rPr>
          <w:b/>
          <w:bCs/>
          <w:color w:val="000000"/>
          <w:sz w:val="24"/>
          <w:szCs w:val="32"/>
        </w:rPr>
        <w:t>5.1.4施工期固废污染防治措施分析</w:t>
      </w:r>
    </w:p>
    <w:p>
      <w:pPr>
        <w:topLinePunct/>
        <w:adjustRightInd w:val="0"/>
        <w:snapToGrid w:val="0"/>
        <w:spacing w:line="520" w:lineRule="exact"/>
        <w:ind w:firstLine="480" w:firstLineChars="200"/>
        <w:rPr>
          <w:color w:val="000000"/>
          <w:sz w:val="24"/>
        </w:rPr>
      </w:pPr>
      <w:r>
        <w:rPr>
          <w:color w:val="000000"/>
          <w:sz w:val="24"/>
        </w:rPr>
        <w:t>工程施工期固废主要是施工建筑垃圾及弃土，评价根据各种污染物排放特点及性质提出污染防治措施见表5-4。</w:t>
      </w:r>
    </w:p>
    <w:p>
      <w:pPr>
        <w:topLinePunct/>
        <w:spacing w:beforeLines="50" w:afterLines="50"/>
        <w:ind w:firstLine="420" w:firstLineChars="200"/>
        <w:jc w:val="center"/>
        <w:rPr>
          <w:b/>
          <w:color w:val="000000"/>
          <w:szCs w:val="21"/>
        </w:rPr>
      </w:pPr>
      <w:r>
        <w:rPr>
          <w:b/>
          <w:color w:val="000000"/>
          <w:szCs w:val="21"/>
        </w:rPr>
        <w:t>表5-4       施工期固废污染防治措施一览表</w:t>
      </w:r>
    </w:p>
    <w:tbl>
      <w:tblPr>
        <w:tblStyle w:val="44"/>
        <w:tblW w:w="906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3050"/>
        <w:gridCol w:w="3126"/>
        <w:gridCol w:w="21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Mar>
              <w:left w:w="0" w:type="dxa"/>
              <w:right w:w="0" w:type="dxa"/>
            </w:tcMar>
            <w:vAlign w:val="center"/>
          </w:tcPr>
          <w:p>
            <w:pPr>
              <w:topLinePunct/>
              <w:adjustRightInd w:val="0"/>
              <w:snapToGrid w:val="0"/>
              <w:jc w:val="center"/>
              <w:rPr>
                <w:b/>
                <w:color w:val="000000"/>
                <w:szCs w:val="21"/>
              </w:rPr>
            </w:pPr>
            <w:r>
              <w:rPr>
                <w:b/>
                <w:color w:val="000000"/>
                <w:szCs w:val="21"/>
              </w:rPr>
              <w:t>序号</w:t>
            </w:r>
          </w:p>
        </w:tc>
        <w:tc>
          <w:tcPr>
            <w:tcW w:w="3050" w:type="dxa"/>
            <w:tcMar>
              <w:left w:w="0" w:type="dxa"/>
              <w:right w:w="0" w:type="dxa"/>
            </w:tcMar>
            <w:vAlign w:val="center"/>
          </w:tcPr>
          <w:p>
            <w:pPr>
              <w:topLinePunct/>
              <w:adjustRightInd w:val="0"/>
              <w:snapToGrid w:val="0"/>
              <w:jc w:val="center"/>
              <w:rPr>
                <w:b/>
                <w:color w:val="000000"/>
                <w:szCs w:val="21"/>
              </w:rPr>
            </w:pPr>
            <w:r>
              <w:rPr>
                <w:b/>
                <w:color w:val="000000"/>
                <w:szCs w:val="21"/>
              </w:rPr>
              <w:t>主要环境影响</w:t>
            </w:r>
          </w:p>
        </w:tc>
        <w:tc>
          <w:tcPr>
            <w:tcW w:w="3126" w:type="dxa"/>
            <w:tcMar>
              <w:left w:w="0" w:type="dxa"/>
              <w:right w:w="0" w:type="dxa"/>
            </w:tcMar>
            <w:vAlign w:val="center"/>
          </w:tcPr>
          <w:p>
            <w:pPr>
              <w:topLinePunct/>
              <w:adjustRightInd w:val="0"/>
              <w:snapToGrid w:val="0"/>
              <w:jc w:val="center"/>
              <w:rPr>
                <w:b/>
                <w:color w:val="000000"/>
                <w:szCs w:val="21"/>
              </w:rPr>
            </w:pPr>
            <w:r>
              <w:rPr>
                <w:b/>
                <w:color w:val="000000"/>
                <w:szCs w:val="21"/>
              </w:rPr>
              <w:t>环保措施</w:t>
            </w:r>
          </w:p>
        </w:tc>
        <w:tc>
          <w:tcPr>
            <w:tcW w:w="2160" w:type="dxa"/>
            <w:tcMar>
              <w:left w:w="0" w:type="dxa"/>
              <w:right w:w="0" w:type="dxa"/>
            </w:tcMar>
            <w:vAlign w:val="center"/>
          </w:tcPr>
          <w:p>
            <w:pPr>
              <w:topLinePunct/>
              <w:adjustRightInd w:val="0"/>
              <w:snapToGrid w:val="0"/>
              <w:jc w:val="center"/>
              <w:rPr>
                <w:b/>
                <w:color w:val="000000"/>
                <w:szCs w:val="21"/>
              </w:rPr>
            </w:pPr>
            <w:r>
              <w:rPr>
                <w:b/>
                <w:color w:val="000000"/>
                <w:szCs w:val="21"/>
              </w:rPr>
              <w:t>效益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Mar>
              <w:left w:w="0" w:type="dxa"/>
              <w:right w:w="0" w:type="dxa"/>
            </w:tcMar>
            <w:vAlign w:val="center"/>
          </w:tcPr>
          <w:p>
            <w:pPr>
              <w:topLinePunct/>
              <w:adjustRightInd w:val="0"/>
              <w:snapToGrid w:val="0"/>
              <w:jc w:val="center"/>
              <w:rPr>
                <w:color w:val="000000"/>
                <w:szCs w:val="21"/>
              </w:rPr>
            </w:pPr>
            <w:r>
              <w:rPr>
                <w:color w:val="000000"/>
                <w:szCs w:val="21"/>
              </w:rPr>
              <w:t>1</w:t>
            </w:r>
          </w:p>
        </w:tc>
        <w:tc>
          <w:tcPr>
            <w:tcW w:w="3050" w:type="dxa"/>
            <w:tcMar>
              <w:left w:w="0" w:type="dxa"/>
              <w:right w:w="0" w:type="dxa"/>
            </w:tcMar>
            <w:vAlign w:val="center"/>
          </w:tcPr>
          <w:p>
            <w:pPr>
              <w:topLinePunct/>
              <w:adjustRightInd w:val="0"/>
              <w:snapToGrid w:val="0"/>
              <w:spacing w:beforeLines="25" w:afterLines="25"/>
              <w:jc w:val="left"/>
              <w:rPr>
                <w:color w:val="000000"/>
              </w:rPr>
            </w:pPr>
            <w:r>
              <w:rPr>
                <w:color w:val="000000"/>
              </w:rPr>
              <w:t>建筑垃圾遇风、雨、雪等恶劣天气材料流失，对环境产生的影响</w:t>
            </w:r>
          </w:p>
        </w:tc>
        <w:tc>
          <w:tcPr>
            <w:tcW w:w="3126" w:type="dxa"/>
            <w:tcMar>
              <w:left w:w="0" w:type="dxa"/>
              <w:right w:w="0" w:type="dxa"/>
            </w:tcMar>
            <w:vAlign w:val="center"/>
          </w:tcPr>
          <w:p>
            <w:pPr>
              <w:topLinePunct/>
              <w:adjustRightInd w:val="0"/>
              <w:snapToGrid w:val="0"/>
              <w:spacing w:beforeLines="25" w:afterLines="25"/>
              <w:jc w:val="left"/>
              <w:rPr>
                <w:color w:val="000000"/>
              </w:rPr>
            </w:pPr>
            <w:r>
              <w:rPr>
                <w:color w:val="000000"/>
              </w:rPr>
              <w:t>建筑垃圾集中堆存，堆场加防尘网覆盖，并及时清运</w:t>
            </w:r>
          </w:p>
        </w:tc>
        <w:tc>
          <w:tcPr>
            <w:tcW w:w="2160" w:type="dxa"/>
            <w:tcMar>
              <w:left w:w="0" w:type="dxa"/>
              <w:right w:w="0" w:type="dxa"/>
            </w:tcMar>
            <w:vAlign w:val="center"/>
          </w:tcPr>
          <w:p>
            <w:pPr>
              <w:topLinePunct/>
              <w:adjustRightInd w:val="0"/>
              <w:snapToGrid w:val="0"/>
              <w:spacing w:beforeLines="25" w:afterLines="25"/>
              <w:jc w:val="left"/>
              <w:rPr>
                <w:color w:val="000000"/>
              </w:rPr>
            </w:pPr>
            <w:r>
              <w:rPr>
                <w:color w:val="000000"/>
              </w:rPr>
              <w:t>避免建筑垃圾流失对环境的影响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Mar>
              <w:left w:w="0" w:type="dxa"/>
              <w:right w:w="0" w:type="dxa"/>
            </w:tcMar>
            <w:vAlign w:val="center"/>
          </w:tcPr>
          <w:p>
            <w:pPr>
              <w:topLinePunct/>
              <w:adjustRightInd w:val="0"/>
              <w:snapToGrid w:val="0"/>
              <w:jc w:val="center"/>
              <w:rPr>
                <w:color w:val="000000"/>
                <w:szCs w:val="21"/>
              </w:rPr>
            </w:pPr>
            <w:r>
              <w:rPr>
                <w:color w:val="000000"/>
                <w:szCs w:val="21"/>
              </w:rPr>
              <w:t>2</w:t>
            </w:r>
          </w:p>
        </w:tc>
        <w:tc>
          <w:tcPr>
            <w:tcW w:w="3050" w:type="dxa"/>
            <w:tcMar>
              <w:left w:w="0" w:type="dxa"/>
              <w:right w:w="0" w:type="dxa"/>
            </w:tcMar>
            <w:vAlign w:val="center"/>
          </w:tcPr>
          <w:p>
            <w:pPr>
              <w:topLinePunct/>
              <w:adjustRightInd w:val="0"/>
              <w:snapToGrid w:val="0"/>
              <w:spacing w:beforeLines="25" w:afterLines="25"/>
              <w:ind w:firstLine="210" w:firstLineChars="100"/>
              <w:jc w:val="left"/>
              <w:rPr>
                <w:color w:val="000000"/>
              </w:rPr>
            </w:pPr>
            <w:r>
              <w:rPr>
                <w:color w:val="000000"/>
              </w:rPr>
              <w:t>施工废弃物排放占地</w:t>
            </w:r>
          </w:p>
        </w:tc>
        <w:tc>
          <w:tcPr>
            <w:tcW w:w="3126" w:type="dxa"/>
            <w:tcMar>
              <w:left w:w="0" w:type="dxa"/>
              <w:right w:w="0" w:type="dxa"/>
            </w:tcMar>
            <w:vAlign w:val="center"/>
          </w:tcPr>
          <w:p>
            <w:pPr>
              <w:topLinePunct/>
              <w:adjustRightInd w:val="0"/>
              <w:snapToGrid w:val="0"/>
              <w:spacing w:beforeLines="25" w:afterLines="25"/>
              <w:jc w:val="left"/>
              <w:rPr>
                <w:color w:val="000000"/>
              </w:rPr>
            </w:pPr>
            <w:r>
              <w:rPr>
                <w:color w:val="000000"/>
              </w:rPr>
              <w:t>施工废弃物及时清除，就近拉至城市垃圾卫生填埋场处置</w:t>
            </w:r>
          </w:p>
        </w:tc>
        <w:tc>
          <w:tcPr>
            <w:tcW w:w="2160" w:type="dxa"/>
            <w:tcMar>
              <w:left w:w="0" w:type="dxa"/>
              <w:right w:w="0" w:type="dxa"/>
            </w:tcMar>
            <w:vAlign w:val="center"/>
          </w:tcPr>
          <w:p>
            <w:pPr>
              <w:topLinePunct/>
              <w:adjustRightInd w:val="0"/>
              <w:snapToGrid w:val="0"/>
              <w:spacing w:beforeLines="25" w:afterLines="25"/>
              <w:jc w:val="left"/>
              <w:rPr>
                <w:color w:val="000000"/>
              </w:rPr>
            </w:pPr>
            <w:r>
              <w:rPr>
                <w:color w:val="000000"/>
              </w:rPr>
              <w:t>减少废弃物占地对生态环境影响</w:t>
            </w:r>
          </w:p>
        </w:tc>
      </w:tr>
    </w:tbl>
    <w:p>
      <w:pPr>
        <w:keepNext/>
        <w:keepLines/>
        <w:topLinePunct/>
        <w:spacing w:line="600" w:lineRule="exact"/>
        <w:jc w:val="left"/>
        <w:outlineLvl w:val="2"/>
        <w:rPr>
          <w:b/>
          <w:bCs/>
          <w:color w:val="000000"/>
          <w:sz w:val="24"/>
          <w:szCs w:val="32"/>
        </w:rPr>
      </w:pPr>
      <w:r>
        <w:rPr>
          <w:b/>
          <w:bCs/>
          <w:color w:val="000000"/>
          <w:sz w:val="24"/>
          <w:szCs w:val="32"/>
        </w:rPr>
        <w:t>5.1.5施工期水土流失防治措施分析</w:t>
      </w:r>
    </w:p>
    <w:p>
      <w:pPr>
        <w:topLinePunct/>
        <w:spacing w:beforeLines="50" w:afterLines="50"/>
        <w:ind w:firstLine="420" w:firstLineChars="200"/>
        <w:jc w:val="center"/>
        <w:rPr>
          <w:b/>
          <w:color w:val="000000"/>
          <w:szCs w:val="21"/>
        </w:rPr>
      </w:pPr>
      <w:r>
        <w:rPr>
          <w:b/>
          <w:color w:val="000000"/>
          <w:szCs w:val="21"/>
        </w:rPr>
        <w:t>表5-5      施工期水土流失防治措施一览表</w:t>
      </w:r>
    </w:p>
    <w:tbl>
      <w:tblPr>
        <w:tblStyle w:val="44"/>
        <w:tblW w:w="906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399"/>
        <w:gridCol w:w="4111"/>
        <w:gridCol w:w="18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25" w:type="dxa"/>
            <w:tcMar>
              <w:left w:w="0" w:type="dxa"/>
              <w:right w:w="0" w:type="dxa"/>
            </w:tcMar>
            <w:vAlign w:val="center"/>
          </w:tcPr>
          <w:p>
            <w:pPr>
              <w:topLinePunct/>
              <w:adjustRightInd w:val="0"/>
              <w:snapToGrid w:val="0"/>
              <w:jc w:val="center"/>
              <w:rPr>
                <w:b/>
                <w:color w:val="000000"/>
                <w:szCs w:val="21"/>
              </w:rPr>
            </w:pPr>
            <w:r>
              <w:rPr>
                <w:b/>
                <w:color w:val="000000"/>
                <w:szCs w:val="21"/>
              </w:rPr>
              <w:t>序号</w:t>
            </w:r>
          </w:p>
        </w:tc>
        <w:tc>
          <w:tcPr>
            <w:tcW w:w="2399" w:type="dxa"/>
            <w:tcMar>
              <w:left w:w="0" w:type="dxa"/>
              <w:right w:w="0" w:type="dxa"/>
            </w:tcMar>
            <w:vAlign w:val="center"/>
          </w:tcPr>
          <w:p>
            <w:pPr>
              <w:topLinePunct/>
              <w:adjustRightInd w:val="0"/>
              <w:snapToGrid w:val="0"/>
              <w:jc w:val="center"/>
              <w:rPr>
                <w:b/>
                <w:color w:val="000000"/>
                <w:szCs w:val="21"/>
              </w:rPr>
            </w:pPr>
            <w:r>
              <w:rPr>
                <w:b/>
                <w:color w:val="000000"/>
                <w:szCs w:val="21"/>
              </w:rPr>
              <w:t>主要环境影响</w:t>
            </w:r>
          </w:p>
        </w:tc>
        <w:tc>
          <w:tcPr>
            <w:tcW w:w="4111" w:type="dxa"/>
            <w:tcMar>
              <w:left w:w="0" w:type="dxa"/>
              <w:right w:w="0" w:type="dxa"/>
            </w:tcMar>
            <w:vAlign w:val="center"/>
          </w:tcPr>
          <w:p>
            <w:pPr>
              <w:topLinePunct/>
              <w:adjustRightInd w:val="0"/>
              <w:snapToGrid w:val="0"/>
              <w:jc w:val="center"/>
              <w:rPr>
                <w:b/>
                <w:color w:val="000000"/>
                <w:szCs w:val="21"/>
              </w:rPr>
            </w:pPr>
            <w:r>
              <w:rPr>
                <w:b/>
                <w:color w:val="000000"/>
                <w:szCs w:val="21"/>
              </w:rPr>
              <w:t>环保措施</w:t>
            </w:r>
          </w:p>
        </w:tc>
        <w:tc>
          <w:tcPr>
            <w:tcW w:w="1826" w:type="dxa"/>
            <w:tcMar>
              <w:left w:w="0" w:type="dxa"/>
              <w:right w:w="0" w:type="dxa"/>
            </w:tcMar>
            <w:vAlign w:val="center"/>
          </w:tcPr>
          <w:p>
            <w:pPr>
              <w:topLinePunct/>
              <w:adjustRightInd w:val="0"/>
              <w:snapToGrid w:val="0"/>
              <w:jc w:val="center"/>
              <w:rPr>
                <w:b/>
                <w:color w:val="000000"/>
                <w:szCs w:val="21"/>
              </w:rPr>
            </w:pPr>
            <w:r>
              <w:rPr>
                <w:b/>
                <w:color w:val="000000"/>
                <w:szCs w:val="21"/>
              </w:rPr>
              <w:t>效益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Mar>
              <w:left w:w="0" w:type="dxa"/>
              <w:right w:w="0" w:type="dxa"/>
            </w:tcMar>
            <w:vAlign w:val="center"/>
          </w:tcPr>
          <w:p>
            <w:pPr>
              <w:topLinePunct/>
              <w:adjustRightInd w:val="0"/>
              <w:snapToGrid w:val="0"/>
              <w:jc w:val="center"/>
              <w:rPr>
                <w:color w:val="000000"/>
                <w:szCs w:val="21"/>
              </w:rPr>
            </w:pPr>
            <w:r>
              <w:rPr>
                <w:color w:val="000000"/>
                <w:szCs w:val="21"/>
              </w:rPr>
              <w:t>1</w:t>
            </w:r>
          </w:p>
        </w:tc>
        <w:tc>
          <w:tcPr>
            <w:tcW w:w="2399" w:type="dxa"/>
            <w:tcMar>
              <w:left w:w="0" w:type="dxa"/>
              <w:right w:w="0" w:type="dxa"/>
            </w:tcMar>
            <w:vAlign w:val="center"/>
          </w:tcPr>
          <w:p>
            <w:pPr>
              <w:topLinePunct/>
              <w:adjustRightInd w:val="0"/>
              <w:snapToGrid w:val="0"/>
              <w:spacing w:beforeLines="25" w:afterLines="25"/>
              <w:jc w:val="left"/>
              <w:rPr>
                <w:color w:val="000000"/>
              </w:rPr>
            </w:pPr>
            <w:r>
              <w:rPr>
                <w:color w:val="000000"/>
                <w:szCs w:val="28"/>
              </w:rPr>
              <w:t>项目的建设开挖，植被受到破坏，造成水土流失</w:t>
            </w:r>
          </w:p>
        </w:tc>
        <w:tc>
          <w:tcPr>
            <w:tcW w:w="4111" w:type="dxa"/>
            <w:tcMar>
              <w:left w:w="0" w:type="dxa"/>
              <w:right w:w="0" w:type="dxa"/>
            </w:tcMar>
            <w:vAlign w:val="center"/>
          </w:tcPr>
          <w:p>
            <w:pPr>
              <w:topLinePunct/>
              <w:adjustRightInd w:val="0"/>
              <w:snapToGrid w:val="0"/>
              <w:spacing w:beforeLines="25" w:afterLines="25"/>
              <w:jc w:val="left"/>
              <w:rPr>
                <w:color w:val="000000"/>
              </w:rPr>
            </w:pPr>
            <w:r>
              <w:rPr>
                <w:color w:val="000000"/>
              </w:rPr>
              <w:t>对于土质较好的地段，建议采用深挖、表土回覆的方式；对于砾石土，建议将石土分离，土层覆于地表，易与植被恢复。尽量避开农作物生长季节施工，最大限度减少农作物产量。应避开风季、暴雨季施工，减少水土流失</w:t>
            </w:r>
          </w:p>
        </w:tc>
        <w:tc>
          <w:tcPr>
            <w:tcW w:w="1826" w:type="dxa"/>
            <w:tcMar>
              <w:left w:w="0" w:type="dxa"/>
              <w:right w:w="0" w:type="dxa"/>
            </w:tcMar>
            <w:vAlign w:val="center"/>
          </w:tcPr>
          <w:p>
            <w:pPr>
              <w:topLinePunct/>
              <w:adjustRightInd w:val="0"/>
              <w:snapToGrid w:val="0"/>
              <w:spacing w:beforeLines="25" w:afterLines="25"/>
              <w:jc w:val="left"/>
              <w:rPr>
                <w:color w:val="000000"/>
              </w:rPr>
            </w:pPr>
            <w:r>
              <w:rPr>
                <w:color w:val="000000"/>
              </w:rPr>
              <w:t>能够有效减轻项目施工造成的水土流水影响</w:t>
            </w:r>
          </w:p>
        </w:tc>
      </w:tr>
    </w:tbl>
    <w:p>
      <w:pPr>
        <w:pStyle w:val="4"/>
        <w:spacing w:before="156" w:after="156"/>
        <w:rPr>
          <w:rFonts w:hAnsi="Times New Roman"/>
          <w:color w:val="000000"/>
        </w:rPr>
      </w:pPr>
      <w:bookmarkStart w:id="284" w:name="_Toc3019539"/>
      <w:bookmarkStart w:id="285" w:name="_Toc488572573"/>
      <w:r>
        <w:rPr>
          <w:rFonts w:hAnsi="Times New Roman"/>
          <w:color w:val="000000"/>
        </w:rPr>
        <w:t>5.2营运期污染防治措施</w:t>
      </w:r>
      <w:bookmarkEnd w:id="284"/>
      <w:bookmarkEnd w:id="285"/>
    </w:p>
    <w:p>
      <w:pPr>
        <w:keepNext/>
        <w:keepLines/>
        <w:topLinePunct/>
        <w:spacing w:line="600" w:lineRule="exact"/>
        <w:jc w:val="left"/>
        <w:outlineLvl w:val="2"/>
        <w:rPr>
          <w:rFonts w:eastAsiaTheme="minorEastAsia"/>
          <w:bCs/>
          <w:color w:val="000000"/>
          <w:sz w:val="24"/>
        </w:rPr>
      </w:pPr>
      <w:r>
        <w:rPr>
          <w:rFonts w:eastAsiaTheme="minorEastAsia"/>
          <w:bCs/>
          <w:color w:val="000000"/>
          <w:sz w:val="24"/>
        </w:rPr>
        <w:t>5.2.1废水处理及综合利用措施分析</w:t>
      </w:r>
    </w:p>
    <w:p>
      <w:pPr>
        <w:tabs>
          <w:tab w:val="right" w:leader="dot" w:pos="8647"/>
        </w:tabs>
        <w:spacing w:line="500" w:lineRule="exact"/>
        <w:rPr>
          <w:rFonts w:eastAsiaTheme="minorEastAsia"/>
          <w:color w:val="000000"/>
          <w:sz w:val="24"/>
        </w:rPr>
      </w:pPr>
      <w:r>
        <w:rPr>
          <w:rFonts w:eastAsiaTheme="minorEastAsia"/>
          <w:color w:val="000000"/>
          <w:sz w:val="24"/>
        </w:rPr>
        <w:t>5.2.1.1清粪工艺比选及确定</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根据《畜禽养殖业污染防治技术规范》（HJ/T81-2001），规模化养猪场清粪工艺分为三种：传统干清粪、水冲粪及水泡粪工艺，评价结合生态垫料养殖工艺，从粪污的达标排放及综合利用的角度分别进行比选，对以上四种工艺进行对比分析，最终确定适合本项目的清粪工艺，对比分析结果见表5-6。</w:t>
      </w:r>
    </w:p>
    <w:p>
      <w:pPr>
        <w:topLinePunct/>
        <w:spacing w:beforeLines="50" w:afterLines="50"/>
        <w:ind w:firstLine="480" w:firstLineChars="200"/>
        <w:jc w:val="center"/>
        <w:rPr>
          <w:rFonts w:eastAsiaTheme="minorEastAsia"/>
          <w:b/>
          <w:color w:val="000000"/>
          <w:sz w:val="24"/>
        </w:rPr>
      </w:pPr>
      <w:r>
        <w:rPr>
          <w:rFonts w:eastAsiaTheme="minorEastAsia"/>
          <w:b/>
          <w:color w:val="000000"/>
          <w:sz w:val="24"/>
        </w:rPr>
        <w:t>表5-6</w:t>
      </w:r>
      <w:r>
        <w:rPr>
          <w:rFonts w:eastAsiaTheme="minorEastAsia"/>
          <w:b/>
          <w:color w:val="000000"/>
          <w:sz w:val="24"/>
        </w:rPr>
        <w:tab/>
      </w:r>
      <w:r>
        <w:rPr>
          <w:rFonts w:eastAsiaTheme="minorEastAsia"/>
          <w:b/>
          <w:color w:val="000000"/>
          <w:sz w:val="24"/>
        </w:rPr>
        <w:t xml:space="preserve"> 清粪工艺对比分析</w:t>
      </w:r>
    </w:p>
    <w:tbl>
      <w:tblPr>
        <w:tblStyle w:val="44"/>
        <w:tblW w:w="885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875"/>
        <w:gridCol w:w="1278"/>
        <w:gridCol w:w="1608"/>
        <w:gridCol w:w="1232"/>
        <w:gridCol w:w="1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8" w:type="dxa"/>
            <w:vMerge w:val="restart"/>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工艺</w:t>
            </w:r>
          </w:p>
          <w:p>
            <w:pPr>
              <w:adjustRightInd w:val="0"/>
              <w:jc w:val="center"/>
              <w:rPr>
                <w:rFonts w:eastAsiaTheme="minorEastAsia"/>
                <w:color w:val="000000"/>
                <w:szCs w:val="21"/>
              </w:rPr>
            </w:pPr>
            <w:r>
              <w:rPr>
                <w:rFonts w:eastAsiaTheme="minorEastAsia"/>
                <w:color w:val="000000"/>
                <w:szCs w:val="21"/>
              </w:rPr>
              <w:t>名称</w:t>
            </w:r>
          </w:p>
        </w:tc>
        <w:tc>
          <w:tcPr>
            <w:tcW w:w="2875" w:type="dxa"/>
            <w:vMerge w:val="restart"/>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工艺说明</w:t>
            </w:r>
          </w:p>
        </w:tc>
        <w:tc>
          <w:tcPr>
            <w:tcW w:w="2886" w:type="dxa"/>
            <w:gridSpan w:val="2"/>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达标排放方案</w:t>
            </w:r>
          </w:p>
        </w:tc>
        <w:tc>
          <w:tcPr>
            <w:tcW w:w="2394" w:type="dxa"/>
            <w:gridSpan w:val="2"/>
            <w:vAlign w:val="center"/>
          </w:tcPr>
          <w:p>
            <w:pPr>
              <w:adjustRightInd w:val="0"/>
              <w:jc w:val="center"/>
              <w:rPr>
                <w:rFonts w:eastAsiaTheme="minorEastAsia"/>
                <w:color w:val="000000"/>
                <w:szCs w:val="21"/>
              </w:rPr>
            </w:pPr>
            <w:r>
              <w:rPr>
                <w:rFonts w:eastAsiaTheme="minorEastAsia"/>
                <w:color w:val="000000"/>
                <w:szCs w:val="21"/>
              </w:rPr>
              <w:t>综合利用方案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98" w:type="dxa"/>
            <w:vMerge w:val="continue"/>
            <w:tcMar>
              <w:left w:w="0" w:type="dxa"/>
              <w:right w:w="0" w:type="dxa"/>
            </w:tcMar>
            <w:vAlign w:val="center"/>
          </w:tcPr>
          <w:p>
            <w:pPr>
              <w:adjustRightInd w:val="0"/>
              <w:jc w:val="center"/>
              <w:rPr>
                <w:rFonts w:eastAsiaTheme="minorEastAsia"/>
                <w:color w:val="000000"/>
                <w:szCs w:val="21"/>
              </w:rPr>
            </w:pPr>
          </w:p>
        </w:tc>
        <w:tc>
          <w:tcPr>
            <w:tcW w:w="2875" w:type="dxa"/>
            <w:vMerge w:val="continue"/>
            <w:tcMar>
              <w:left w:w="0" w:type="dxa"/>
              <w:right w:w="0" w:type="dxa"/>
            </w:tcMar>
            <w:vAlign w:val="center"/>
          </w:tcPr>
          <w:p>
            <w:pPr>
              <w:adjustRightInd w:val="0"/>
              <w:jc w:val="center"/>
              <w:rPr>
                <w:rFonts w:eastAsiaTheme="minorEastAsia"/>
                <w:color w:val="000000"/>
                <w:szCs w:val="21"/>
              </w:rPr>
            </w:pPr>
          </w:p>
        </w:tc>
        <w:tc>
          <w:tcPr>
            <w:tcW w:w="127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优点</w:t>
            </w:r>
          </w:p>
        </w:tc>
        <w:tc>
          <w:tcPr>
            <w:tcW w:w="1608" w:type="dxa"/>
            <w:vAlign w:val="center"/>
          </w:tcPr>
          <w:p>
            <w:pPr>
              <w:adjustRightInd w:val="0"/>
              <w:jc w:val="center"/>
              <w:rPr>
                <w:rFonts w:eastAsiaTheme="minorEastAsia"/>
                <w:color w:val="000000"/>
                <w:szCs w:val="21"/>
              </w:rPr>
            </w:pPr>
            <w:r>
              <w:rPr>
                <w:rFonts w:eastAsiaTheme="minorEastAsia"/>
                <w:color w:val="000000"/>
                <w:szCs w:val="21"/>
              </w:rPr>
              <w:t>缺点</w:t>
            </w:r>
          </w:p>
        </w:tc>
        <w:tc>
          <w:tcPr>
            <w:tcW w:w="1232"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优点</w:t>
            </w:r>
          </w:p>
        </w:tc>
        <w:tc>
          <w:tcPr>
            <w:tcW w:w="1162" w:type="dxa"/>
            <w:vAlign w:val="center"/>
          </w:tcPr>
          <w:p>
            <w:pPr>
              <w:adjustRightInd w:val="0"/>
              <w:jc w:val="center"/>
              <w:rPr>
                <w:rFonts w:eastAsiaTheme="minorEastAsia"/>
                <w:color w:val="000000"/>
                <w:szCs w:val="21"/>
              </w:rPr>
            </w:pPr>
            <w:r>
              <w:rPr>
                <w:rFonts w:eastAsiaTheme="minorEastAsia"/>
                <w:color w:val="000000"/>
                <w:szCs w:val="21"/>
              </w:rPr>
              <w:t>缺点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水冲粪处理工艺</w:t>
            </w:r>
          </w:p>
        </w:tc>
        <w:tc>
          <w:tcPr>
            <w:tcW w:w="2875"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指畜禽排放的粪、尿和污水混合进入粪沟，每天数次放水冲洗，粪水顺粪沟流入粪便主干沟后排出的清粪工艺</w:t>
            </w:r>
          </w:p>
        </w:tc>
        <w:tc>
          <w:tcPr>
            <w:tcW w:w="127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保持猪舍内的环境清洁，劳动强度小，劳动效率高</w:t>
            </w:r>
          </w:p>
        </w:tc>
        <w:tc>
          <w:tcPr>
            <w:tcW w:w="1608" w:type="dxa"/>
            <w:vAlign w:val="center"/>
          </w:tcPr>
          <w:p>
            <w:pPr>
              <w:adjustRightInd w:val="0"/>
              <w:jc w:val="center"/>
              <w:rPr>
                <w:rFonts w:eastAsiaTheme="minorEastAsia"/>
                <w:color w:val="000000"/>
                <w:szCs w:val="21"/>
              </w:rPr>
            </w:pPr>
            <w:r>
              <w:rPr>
                <w:rFonts w:eastAsiaTheme="minorEastAsia"/>
                <w:color w:val="000000"/>
                <w:szCs w:val="21"/>
              </w:rPr>
              <w:t>排水量较大，污染物浓度较高，水处理难度较大，投资成本较高</w:t>
            </w:r>
          </w:p>
        </w:tc>
        <w:tc>
          <w:tcPr>
            <w:tcW w:w="1232"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保持猪舍内的环境清洁，劳动强度较小，污水中污染物浓度较高，有利于沼气的产生</w:t>
            </w:r>
          </w:p>
        </w:tc>
        <w:tc>
          <w:tcPr>
            <w:tcW w:w="1162" w:type="dxa"/>
            <w:vAlign w:val="center"/>
          </w:tcPr>
          <w:p>
            <w:pPr>
              <w:adjustRightInd w:val="0"/>
              <w:jc w:val="center"/>
              <w:rPr>
                <w:rFonts w:eastAsiaTheme="minorEastAsia"/>
                <w:color w:val="000000"/>
                <w:szCs w:val="21"/>
              </w:rPr>
            </w:pPr>
            <w:r>
              <w:rPr>
                <w:rFonts w:eastAsiaTheme="minorEastAsia"/>
                <w:color w:val="000000"/>
                <w:szCs w:val="21"/>
              </w:rPr>
              <w:t>排水量较大，周边需要有较多的土地资源用于消纳粪污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水泡粪工艺</w:t>
            </w:r>
          </w:p>
        </w:tc>
        <w:tc>
          <w:tcPr>
            <w:tcW w:w="2875"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在畜禽舍内的排粪沟中注入一定量的水，将粪、尿、冲洗和饲养管理用水一并排放至漏缝地板下的粪沟中，贮存一定时间（一般为 1～2 个月）、待粪沟填满后，打开出口闸门，沟中的粪水顺粪沟流入粪便主干沟后排出的清粪工艺</w:t>
            </w:r>
          </w:p>
        </w:tc>
        <w:tc>
          <w:tcPr>
            <w:tcW w:w="127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保持猪舍内的环境清洁，劳动强度小，劳动效率高</w:t>
            </w:r>
          </w:p>
        </w:tc>
        <w:tc>
          <w:tcPr>
            <w:tcW w:w="1608" w:type="dxa"/>
            <w:vAlign w:val="center"/>
          </w:tcPr>
          <w:p>
            <w:pPr>
              <w:adjustRightInd w:val="0"/>
              <w:jc w:val="center"/>
              <w:rPr>
                <w:rFonts w:eastAsiaTheme="minorEastAsia"/>
                <w:color w:val="000000"/>
                <w:szCs w:val="21"/>
              </w:rPr>
            </w:pPr>
            <w:r>
              <w:rPr>
                <w:rFonts w:eastAsiaTheme="minorEastAsia"/>
                <w:color w:val="000000"/>
                <w:szCs w:val="21"/>
              </w:rPr>
              <w:t>排水量适中，污染物浓度较高，水处理难度较大，投资成本较高</w:t>
            </w:r>
          </w:p>
        </w:tc>
        <w:tc>
          <w:tcPr>
            <w:tcW w:w="1232"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保持猪舍内的环境清洁，劳动强度较小，污水中污染物浓度较高，有利于沼气的产生</w:t>
            </w:r>
          </w:p>
        </w:tc>
        <w:tc>
          <w:tcPr>
            <w:tcW w:w="1162" w:type="dxa"/>
            <w:vAlign w:val="center"/>
          </w:tcPr>
          <w:p>
            <w:pPr>
              <w:adjustRightInd w:val="0"/>
              <w:jc w:val="center"/>
              <w:rPr>
                <w:rFonts w:eastAsiaTheme="minorEastAsia"/>
                <w:color w:val="000000"/>
                <w:szCs w:val="21"/>
              </w:rPr>
            </w:pPr>
            <w:r>
              <w:rPr>
                <w:rFonts w:eastAsiaTheme="minorEastAsia"/>
                <w:color w:val="000000"/>
                <w:szCs w:val="21"/>
              </w:rPr>
              <w:t>排水量适中，周边需要有足够的土地资源用于消纳粪污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机械刮板干清粪处理工艺</w:t>
            </w:r>
          </w:p>
        </w:tc>
        <w:tc>
          <w:tcPr>
            <w:tcW w:w="2875"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指畜禽排放的粪便一经产生便通过机械刮板清除，尿液、残余粪便及冲洗水则从排污道排出的清粪工艺</w:t>
            </w:r>
          </w:p>
        </w:tc>
        <w:tc>
          <w:tcPr>
            <w:tcW w:w="127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用水量较小、清粪比例较高，工艺废水中污染物浓度较低，有利于实现达标排放</w:t>
            </w:r>
          </w:p>
        </w:tc>
        <w:tc>
          <w:tcPr>
            <w:tcW w:w="1608" w:type="dxa"/>
            <w:vAlign w:val="center"/>
          </w:tcPr>
          <w:p>
            <w:pPr>
              <w:adjustRightInd w:val="0"/>
              <w:jc w:val="center"/>
              <w:rPr>
                <w:rFonts w:eastAsiaTheme="minorEastAsia"/>
                <w:color w:val="000000"/>
                <w:szCs w:val="21"/>
              </w:rPr>
            </w:pPr>
            <w:r>
              <w:rPr>
                <w:rFonts w:eastAsiaTheme="minorEastAsia"/>
                <w:color w:val="000000"/>
                <w:szCs w:val="21"/>
              </w:rPr>
              <w:t>一次性投资大，设备操作难度高，污水处理成本大</w:t>
            </w:r>
          </w:p>
        </w:tc>
        <w:tc>
          <w:tcPr>
            <w:tcW w:w="1232"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排水量较小，需要消纳粪污的土地资源较少</w:t>
            </w:r>
          </w:p>
        </w:tc>
        <w:tc>
          <w:tcPr>
            <w:tcW w:w="1162" w:type="dxa"/>
            <w:vAlign w:val="center"/>
          </w:tcPr>
          <w:p>
            <w:pPr>
              <w:adjustRightInd w:val="0"/>
              <w:jc w:val="center"/>
              <w:rPr>
                <w:rFonts w:eastAsiaTheme="minorEastAsia"/>
                <w:color w:val="000000"/>
                <w:szCs w:val="21"/>
              </w:rPr>
            </w:pPr>
            <w:r>
              <w:rPr>
                <w:rFonts w:eastAsiaTheme="minorEastAsia"/>
                <w:color w:val="000000"/>
                <w:szCs w:val="21"/>
              </w:rPr>
              <w:t>管理难度高，设备容易出现故障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tcMar>
              <w:left w:w="0" w:type="dxa"/>
              <w:right w:w="0" w:type="dxa"/>
            </w:tcMar>
            <w:vAlign w:val="center"/>
          </w:tcPr>
          <w:p>
            <w:pPr>
              <w:adjustRightInd w:val="0"/>
              <w:jc w:val="center"/>
              <w:rPr>
                <w:rFonts w:eastAsiaTheme="minorEastAsia"/>
                <w:color w:val="000000"/>
                <w:szCs w:val="21"/>
              </w:rPr>
            </w:pPr>
            <w:r>
              <w:rPr>
                <w:rFonts w:eastAsiaTheme="minorEastAsia"/>
                <w:color w:val="000000"/>
                <w:kern w:val="0"/>
                <w:szCs w:val="21"/>
              </w:rPr>
              <w:t>生态垫料养殖工艺</w:t>
            </w:r>
          </w:p>
        </w:tc>
        <w:tc>
          <w:tcPr>
            <w:tcW w:w="2875"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按一定比例混合秸杆、锯末屑等作为猪舍的垫料，再利用生猪的拱翻习性使猪粪、尿和垫料充分混合，通过垫料的分解发酵，使猪粪、尿中的有机物质得到充分的分解和转化的养殖工艺</w:t>
            </w:r>
          </w:p>
        </w:tc>
        <w:tc>
          <w:tcPr>
            <w:tcW w:w="127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不需要冲洗，无粪尿污水排出，垫料2~3年清理1次、劳动强度较小</w:t>
            </w:r>
          </w:p>
        </w:tc>
        <w:tc>
          <w:tcPr>
            <w:tcW w:w="1608" w:type="dxa"/>
            <w:vAlign w:val="center"/>
          </w:tcPr>
          <w:p>
            <w:pPr>
              <w:adjustRightInd w:val="0"/>
              <w:jc w:val="center"/>
              <w:rPr>
                <w:rFonts w:eastAsiaTheme="minorEastAsia"/>
                <w:color w:val="000000"/>
                <w:szCs w:val="21"/>
              </w:rPr>
            </w:pPr>
            <w:r>
              <w:rPr>
                <w:rFonts w:eastAsiaTheme="minorEastAsia"/>
                <w:color w:val="000000"/>
                <w:szCs w:val="21"/>
              </w:rPr>
              <w:t>夏天发酵床温度过高等不利于猪生长，粪污资源利用率低</w:t>
            </w:r>
          </w:p>
        </w:tc>
        <w:tc>
          <w:tcPr>
            <w:tcW w:w="1232"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不需要冲洗，无粪尿污水排出，垫料2~3年清理1次、劳动强度较小</w:t>
            </w:r>
          </w:p>
        </w:tc>
        <w:tc>
          <w:tcPr>
            <w:tcW w:w="1162" w:type="dxa"/>
            <w:vAlign w:val="center"/>
          </w:tcPr>
          <w:p>
            <w:pPr>
              <w:adjustRightInd w:val="0"/>
              <w:jc w:val="center"/>
              <w:rPr>
                <w:rFonts w:eastAsiaTheme="minorEastAsia"/>
                <w:color w:val="000000"/>
                <w:szCs w:val="21"/>
              </w:rPr>
            </w:pPr>
            <w:r>
              <w:rPr>
                <w:rFonts w:eastAsiaTheme="minorEastAsia"/>
                <w:color w:val="000000"/>
                <w:szCs w:val="21"/>
              </w:rPr>
              <w:t>夏天发酵床温度过高等不利于猪生长，粪污资源利用率低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经环保部认定的干清粪工艺</w:t>
            </w:r>
          </w:p>
        </w:tc>
        <w:tc>
          <w:tcPr>
            <w:tcW w:w="2875"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养殖圈舍不注入清水，也不将清水用于圈舍粪尿日常清理，养殖舍内粪尿产生即依靠重力经漏缝地板离开猪舍进入猪舍下部粪污储存池，粪污储存池实现定期及时清理，粪污水离开粪污储存池后即进行干湿分离和无害化处理</w:t>
            </w:r>
          </w:p>
        </w:tc>
        <w:tc>
          <w:tcPr>
            <w:tcW w:w="1278"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保持猪舍内的环境清洁，劳动强度小，不需清水冲洗，节能，成本低，易于管理</w:t>
            </w:r>
          </w:p>
        </w:tc>
        <w:tc>
          <w:tcPr>
            <w:tcW w:w="1608" w:type="dxa"/>
            <w:vAlign w:val="center"/>
          </w:tcPr>
          <w:p>
            <w:pPr>
              <w:adjustRightInd w:val="0"/>
              <w:jc w:val="center"/>
              <w:rPr>
                <w:rFonts w:eastAsiaTheme="minorEastAsia"/>
                <w:color w:val="000000"/>
                <w:szCs w:val="21"/>
              </w:rPr>
            </w:pPr>
            <w:r>
              <w:rPr>
                <w:rFonts w:eastAsiaTheme="minorEastAsia"/>
                <w:color w:val="000000"/>
                <w:szCs w:val="21"/>
              </w:rPr>
              <w:t>排水固液分离效率偏低，废水中SS浓度高</w:t>
            </w:r>
          </w:p>
        </w:tc>
        <w:tc>
          <w:tcPr>
            <w:tcW w:w="1232" w:type="dxa"/>
            <w:tcMar>
              <w:left w:w="0" w:type="dxa"/>
              <w:right w:w="0" w:type="dxa"/>
            </w:tcMar>
            <w:vAlign w:val="center"/>
          </w:tcPr>
          <w:p>
            <w:pPr>
              <w:adjustRightInd w:val="0"/>
              <w:jc w:val="center"/>
              <w:rPr>
                <w:rFonts w:eastAsiaTheme="minorEastAsia"/>
                <w:color w:val="000000"/>
                <w:szCs w:val="21"/>
              </w:rPr>
            </w:pPr>
            <w:r>
              <w:rPr>
                <w:rFonts w:eastAsiaTheme="minorEastAsia"/>
                <w:color w:val="000000"/>
                <w:szCs w:val="21"/>
              </w:rPr>
              <w:t>劳动强度小、粪污资源利用率较高，便于管理</w:t>
            </w:r>
          </w:p>
        </w:tc>
        <w:tc>
          <w:tcPr>
            <w:tcW w:w="1162" w:type="dxa"/>
            <w:vAlign w:val="center"/>
          </w:tcPr>
          <w:p>
            <w:pPr>
              <w:adjustRightInd w:val="0"/>
              <w:jc w:val="center"/>
              <w:rPr>
                <w:rFonts w:eastAsiaTheme="minorEastAsia"/>
                <w:color w:val="000000"/>
                <w:szCs w:val="21"/>
              </w:rPr>
            </w:pPr>
            <w:r>
              <w:rPr>
                <w:rFonts w:eastAsiaTheme="minorEastAsia"/>
                <w:color w:val="000000"/>
                <w:szCs w:val="21"/>
              </w:rPr>
              <w:t>排水中SS浓度高，须选择合适的污水处理设施</w:t>
            </w:r>
          </w:p>
        </w:tc>
      </w:tr>
    </w:tbl>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①</w:t>
      </w:r>
      <w:r>
        <w:rPr>
          <w:rFonts w:eastAsiaTheme="minorEastAsia"/>
          <w:color w:val="000000"/>
          <w:sz w:val="24"/>
        </w:rPr>
        <w:t>水冲粪工艺优点是用水冲的方式清粪，能够保持猪舍内的环境清洁，劳动强度小，劳动效率高；缺点是比其它几种工艺的排水量大，废水污染物浓度较高，治理难度较大，一次投入成本较高。</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②</w:t>
      </w:r>
      <w:r>
        <w:rPr>
          <w:rFonts w:eastAsiaTheme="minorEastAsia"/>
          <w:color w:val="000000"/>
          <w:sz w:val="24"/>
        </w:rPr>
        <w:t>水泡粪工艺废水排放量适中，优点在于保持猪舍内的环境清洁，清粪劳动强度较小，污水中污染物浓度较高，有利于沼气的产生，但缺点是水处理成本较高，周边需要有足够的土地资源用于消纳粪污。</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③</w:t>
      </w:r>
      <w:r>
        <w:rPr>
          <w:rFonts w:eastAsiaTheme="minorEastAsia"/>
          <w:color w:val="000000"/>
          <w:sz w:val="24"/>
        </w:rPr>
        <w:t>机械刮板干清粪工艺的优点在于粪水分离，废水产生量较小，污染物浓度较低，废水处理技术成熟、可靠，便于污染处理和资源化利用；缺点在于设备操作难度高，容易出现故障。</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④</w:t>
      </w:r>
      <w:r>
        <w:rPr>
          <w:rFonts w:eastAsiaTheme="minorEastAsia"/>
          <w:color w:val="000000"/>
          <w:sz w:val="24"/>
        </w:rPr>
        <w:t>生态垫料养殖工艺的优点是不需要冲洗，无粪尿污水排出，垫料2~3年清理1次、劳动强度较小。在发酵床的制作过程中，通过垫料的分解发酵，使猪粪、尿中的有机物质得到充分的分解和转化；缺点是夏季猪舍的温度较高，粪污资源利用率低，且不适合大规模养殖场。</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⑤</w:t>
      </w:r>
      <w:r>
        <w:rPr>
          <w:rFonts w:eastAsiaTheme="minorEastAsia"/>
          <w:color w:val="000000"/>
          <w:sz w:val="24"/>
        </w:rPr>
        <w:t>本项目采用环保部认定的干清粪工艺。</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猪生活在漏缝地板上，猪舍内产生的猪粪由于猪的踩踏及重力作用离开猪舍进入猪舍底部的粪污储存池，粪污储存池使用尿封，不注入清水，也不将清水用于圈舍粪尿日常清理。储存池底部设计成一端高一端低的倾斜结构，排粪塞位于最低端，项目粪污储存池定期排空，排空时粪尿依靠储存池底部坡度由储存池排出，进入污水处理系统干湿分离段进行干湿分离。干湿分离后的干物质制有机肥基料，液体经厌氧发酵处理后用于农田施肥，粪尿实现全部综合利用。本项目采用的清粪工艺日常清理不需使用清水，废水产生量较小，劳动强度小，管理难度低。</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针对牧原公司采用的环保部认定的干清粪工艺与目前国内干清粪工艺模式比对，评价认为就饲养机械水平、防疫水平、环境卫生水平、恶臭气体排放、人力投入量、污水产生量和可回用率等方面，环保部认定的干清粪工艺均优于传统干清粪；该项目采用现代化养殖方式，自动化程度高，粪污处理工艺以能源和资源综合利用为目的，综合上述对比分析，评价认为采用环保部认定的干清粪工艺可行。</w:t>
      </w:r>
    </w:p>
    <w:p>
      <w:pPr>
        <w:tabs>
          <w:tab w:val="right" w:leader="dot" w:pos="8647"/>
        </w:tabs>
        <w:spacing w:line="500" w:lineRule="exact"/>
        <w:rPr>
          <w:rFonts w:eastAsiaTheme="minorEastAsia"/>
          <w:color w:val="000000"/>
          <w:sz w:val="24"/>
        </w:rPr>
      </w:pPr>
      <w:r>
        <w:rPr>
          <w:rFonts w:eastAsiaTheme="minorEastAsia"/>
          <w:color w:val="000000"/>
          <w:sz w:val="24"/>
        </w:rPr>
        <w:t>5.2.1.2废水沼气化处理工艺比选</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本项目采用环保部认定的干清粪工艺清理养殖舍粪尿，养殖粪尿从粪污储存池流出后即进入污水处理站处理，项目拟采用“干湿分离（过滤+固液分离）+厌氧发酵”处理工艺处理养殖粪尿污水。</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平舆牧原农牧有限公司针对本集团已运行的UASB厌氧发酵污水处理工艺存在的问题（反应器对进水SS要求较低，操作难度大、投资多、使用寿命短），广泛考察了国内其他规模化养殖项目的实用废水治理技术，拟采用“盖泻湖沼气池（即黑膜厌氧发酵塘）”工艺。该工艺已在牧原公司唐河十场进行应用，取得较好的效果。</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两种处理工艺对比如下：</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（1）上流式厌氧污泥床反应器（UASB）</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UASB是第二代高效反应器，具有较高的水力处理负荷，适用于高浓度工业废水和养殖废水的处理。当采用UASB作为有机废水处理工艺时，废水首先进行固液分离处理，去除溶液中含有的大颗粒物质，然后废水被引进UASB反应器的底部，向上流过由絮状或颗粒状厌氧污泥组成的污泥床，随着污水与污泥相接触而发生厌氧反应，产生沼气引起污泥床的扰动。在污泥床产生的沼气有一部分附着在污泥颗粒上，自由气泡和附着在污泥颗粒上的气泡上升至反应器的上部。污泥颗粒上升撞击到三相分离器挡板的下部，这引起附着的气泡释放；脱气的污泥颗粒沉淀回到污泥层的表面。自由状态下的沼气和由污泥颗粒释放的气体被收集在三相分离器锥顶部的集气室内。液体中包含一些剩余的固体物和生物颗粒进入到三相分离器的沉淀区内，剩余固体物和生物颗粒从液体中分离并通过三相分离器的锥板间隙回到污泥层。</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UASB反应器的优点在于可维持较高的污泥浓度，污泥泥龄（30天以上），较高的进水容积负荷率，提高了厌氧反应器单位体积的处理能力。</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UASB反应器的不足之处主要是：进水中悬浮物需要适当控制，不宜过高，否则容易造成三相分离器拥堵，损坏设备；厌氧消化受温度影响很大，冬季须对装置进行加温；水力停留时间较短，废水中的有机质很难完全腐化；为提高UASB反应器的运行可靠性，必须设置各种类型的计量设备和仪表，如控制进水量、投药量等计量设备和pH计(酸度计)、温度测量等自动化仪表；对水质和负荷突然变化较敏感，耐冲击力稍差。</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（2）盖泻湖沼气池（黑膜厌氧发酵塘）工艺</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盖泻湖沼气池是在开挖好的土方基础上，采用优质HDPE材料，由底膜和顶膜密封形成的全封闭厌氧反应器。在盖泻湖沼气池内，污水中的有机物在微生物作用下降解转化生成沼气，系统配置沼气净化和利用设施。盖泻湖沼气池容积大、深度较深，污水进入池内后，每天进水量相对较少，因此耐污水的冲击负荷强；加之黑膜沼气池顶部的沼气隔温和地埋式沼气池具有冬季相对恒温的特点，池内污水温度受外界影响较小，冬季不需保温。盖泻湖沼气池主体工程位于地面以下，顶部、底部用黑膜密封，和外界环境气温不流通，形成独特的小气候，经调查在室外温度2</w:t>
      </w:r>
      <w:r>
        <w:rPr>
          <w:rFonts w:hint="eastAsia" w:ascii="宋体" w:hAnsi="宋体" w:cs="宋体"/>
          <w:color w:val="000000"/>
          <w:sz w:val="24"/>
        </w:rPr>
        <w:t>℃</w:t>
      </w:r>
      <w:r>
        <w:rPr>
          <w:rFonts w:eastAsiaTheme="minorEastAsia"/>
          <w:color w:val="000000"/>
          <w:sz w:val="24"/>
        </w:rPr>
        <w:t>，进水温度15.8</w:t>
      </w:r>
      <w:r>
        <w:rPr>
          <w:rFonts w:hint="eastAsia" w:ascii="宋体" w:hAnsi="宋体" w:cs="宋体"/>
          <w:color w:val="000000"/>
          <w:sz w:val="24"/>
        </w:rPr>
        <w:t>℃</w:t>
      </w:r>
      <w:r>
        <w:rPr>
          <w:rFonts w:eastAsiaTheme="minorEastAsia"/>
          <w:color w:val="000000"/>
          <w:sz w:val="24"/>
        </w:rPr>
        <w:t>的环境中，经盖泻湖沼气池发酵后的出水温度达19</w:t>
      </w:r>
      <w:r>
        <w:rPr>
          <w:rFonts w:hint="eastAsia" w:ascii="宋体" w:hAnsi="宋体" w:cs="宋体"/>
          <w:color w:val="000000"/>
          <w:sz w:val="24"/>
        </w:rPr>
        <w:t>℃</w:t>
      </w:r>
      <w:r>
        <w:rPr>
          <w:rFonts w:eastAsiaTheme="minorEastAsia"/>
          <w:color w:val="000000"/>
          <w:sz w:val="24"/>
        </w:rPr>
        <w:t>；在室外温度-1</w:t>
      </w:r>
      <w:r>
        <w:rPr>
          <w:rFonts w:hint="eastAsia" w:ascii="宋体" w:hAnsi="宋体" w:cs="宋体"/>
          <w:color w:val="000000"/>
          <w:sz w:val="24"/>
        </w:rPr>
        <w:t>℃</w:t>
      </w:r>
      <w:r>
        <w:rPr>
          <w:rFonts w:eastAsiaTheme="minorEastAsia"/>
          <w:color w:val="000000"/>
          <w:sz w:val="24"/>
        </w:rPr>
        <w:t>，进水温度13.6</w:t>
      </w:r>
      <w:r>
        <w:rPr>
          <w:rFonts w:hint="eastAsia" w:ascii="宋体" w:hAnsi="宋体" w:cs="宋体"/>
          <w:color w:val="000000"/>
          <w:sz w:val="24"/>
        </w:rPr>
        <w:t>℃</w:t>
      </w:r>
      <w:r>
        <w:rPr>
          <w:rFonts w:eastAsiaTheme="minorEastAsia"/>
          <w:color w:val="000000"/>
          <w:sz w:val="24"/>
        </w:rPr>
        <w:t>的环境中，发酵后的出水温度达17.9</w:t>
      </w:r>
      <w:r>
        <w:rPr>
          <w:rFonts w:hint="eastAsia" w:ascii="宋体" w:hAnsi="宋体" w:cs="宋体"/>
          <w:color w:val="000000"/>
          <w:sz w:val="24"/>
        </w:rPr>
        <w:t>℃</w:t>
      </w:r>
      <w:r>
        <w:rPr>
          <w:rFonts w:eastAsiaTheme="minorEastAsia"/>
          <w:color w:val="000000"/>
          <w:sz w:val="24"/>
        </w:rPr>
        <w:t>。污水在池内的滞留期长（35天及以上），厌氧发酵充分，可收集的沼气量多，COD去除率可达到80%以上。</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盖泻湖沼气池的优点如下：</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①</w:t>
      </w:r>
      <w:r>
        <w:rPr>
          <w:rFonts w:eastAsiaTheme="minorEastAsia"/>
          <w:color w:val="000000"/>
          <w:sz w:val="24"/>
        </w:rPr>
        <w:t>盖泻湖沼气池具有优异的化学稳定性，耐高低温，耐沥青、油及焦油，耐酸、碱、盐等80多种强酸强碱化学介质腐蚀；对进水SS浓度无要求，不会造成污泥淤积，拥堵管道。</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②</w:t>
      </w:r>
      <w:r>
        <w:rPr>
          <w:rFonts w:eastAsiaTheme="minorEastAsia"/>
          <w:color w:val="000000"/>
          <w:sz w:val="24"/>
        </w:rPr>
        <w:t>盖泻湖沼气池施工简单，建设成本低；施工简单，建设周期短；安全性高，工艺流程短，运行维护方便，广泛适用于禽畜粪污水的处理、城垃圾填埋场等。</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③</w:t>
      </w:r>
      <w:r>
        <w:rPr>
          <w:rFonts w:eastAsiaTheme="minorEastAsia"/>
          <w:color w:val="000000"/>
          <w:sz w:val="24"/>
        </w:rPr>
        <w:t>项目盖泻湖沼气池厌氧发酵产生的沼气可以作为燃料综合利用。</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④</w:t>
      </w:r>
      <w:r>
        <w:rPr>
          <w:rFonts w:eastAsiaTheme="minorEastAsia"/>
          <w:color w:val="000000"/>
          <w:sz w:val="24"/>
        </w:rPr>
        <w:t>盖泻湖沼气池内温度稳定，有利于厌氧菌发酵，即使在寒季长、气温低的北方地区，盖泻湖沼气池内也可以保持常温发酵温度，污水处理效果好。</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⑤</w:t>
      </w:r>
      <w:r>
        <w:rPr>
          <w:rFonts w:eastAsiaTheme="minorEastAsia"/>
          <w:color w:val="000000"/>
          <w:sz w:val="24"/>
        </w:rPr>
        <w:t>盖泻湖沼气池厌氧发酵容积大、污水滞留期长、沼气产生量大、运行处理费低。</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盖泻湖沼气池的缺点：需依靠四周充足的农田利用厌氧发酵产生的沼液。</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（3）工艺比选</w:t>
      </w:r>
    </w:p>
    <w:p>
      <w:pPr>
        <w:tabs>
          <w:tab w:val="right" w:leader="dot" w:pos="8647"/>
        </w:tabs>
        <w:adjustRightInd w:val="0"/>
        <w:snapToGrid w:val="0"/>
        <w:spacing w:line="500" w:lineRule="exact"/>
        <w:ind w:firstLine="480" w:firstLineChars="200"/>
        <w:rPr>
          <w:rFonts w:eastAsiaTheme="minorEastAsia"/>
          <w:color w:val="000000"/>
          <w:sz w:val="24"/>
        </w:rPr>
      </w:pPr>
      <w:r>
        <w:rPr>
          <w:rFonts w:hint="eastAsia" w:ascii="宋体" w:hAnsi="宋体" w:cs="宋体"/>
          <w:color w:val="000000"/>
          <w:sz w:val="24"/>
        </w:rPr>
        <w:t>①</w:t>
      </w:r>
      <w:r>
        <w:rPr>
          <w:rFonts w:eastAsiaTheme="minorEastAsia"/>
          <w:color w:val="000000"/>
          <w:sz w:val="24"/>
        </w:rPr>
        <w:t>工艺指标对比</w:t>
      </w:r>
    </w:p>
    <w:p>
      <w:pPr>
        <w:tabs>
          <w:tab w:val="right" w:leader="dot" w:pos="8647"/>
        </w:tabs>
        <w:adjustRightInd w:val="0"/>
        <w:snapToGrid w:val="0"/>
        <w:spacing w:line="500" w:lineRule="exact"/>
        <w:ind w:firstLine="480" w:firstLineChars="200"/>
        <w:rPr>
          <w:rFonts w:eastAsiaTheme="minorEastAsia"/>
          <w:color w:val="000000"/>
          <w:sz w:val="24"/>
        </w:rPr>
      </w:pPr>
      <w:r>
        <w:rPr>
          <w:rFonts w:eastAsiaTheme="minorEastAsia"/>
          <w:color w:val="000000"/>
          <w:sz w:val="24"/>
        </w:rPr>
        <w:t>UASB工艺和盖泻湖沼气池工艺指标对比一览表见表5-7。</w:t>
      </w:r>
    </w:p>
    <w:p>
      <w:pPr>
        <w:tabs>
          <w:tab w:val="right" w:leader="dot" w:pos="8647"/>
        </w:tabs>
        <w:spacing w:beforeLines="50" w:afterLines="50"/>
        <w:ind w:firstLine="480" w:firstLineChars="200"/>
        <w:jc w:val="center"/>
        <w:rPr>
          <w:rFonts w:eastAsiaTheme="minorEastAsia"/>
          <w:b/>
          <w:bCs/>
          <w:color w:val="000000"/>
          <w:sz w:val="24"/>
        </w:rPr>
      </w:pPr>
    </w:p>
    <w:p>
      <w:pPr>
        <w:tabs>
          <w:tab w:val="right" w:leader="dot" w:pos="8647"/>
        </w:tabs>
        <w:spacing w:beforeLines="50" w:afterLines="50"/>
        <w:ind w:firstLine="480" w:firstLineChars="200"/>
        <w:jc w:val="center"/>
        <w:rPr>
          <w:rFonts w:eastAsiaTheme="minorEastAsia"/>
          <w:b/>
          <w:bCs/>
          <w:color w:val="000000"/>
          <w:sz w:val="24"/>
        </w:rPr>
      </w:pPr>
      <w:r>
        <w:rPr>
          <w:rFonts w:eastAsiaTheme="minorEastAsia"/>
          <w:b/>
          <w:bCs/>
          <w:color w:val="000000"/>
          <w:sz w:val="24"/>
        </w:rPr>
        <w:t>表5-7   UASB工艺和盖泻湖沼气池工艺指标对比一览表</w:t>
      </w:r>
    </w:p>
    <w:tbl>
      <w:tblPr>
        <w:tblStyle w:val="44"/>
        <w:tblW w:w="88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142"/>
        <w:gridCol w:w="3260"/>
        <w:gridCol w:w="34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right"/>
              <w:rPr>
                <w:color w:val="000000"/>
                <w:spacing w:val="7"/>
                <w:szCs w:val="21"/>
              </w:rPr>
            </w:pPr>
            <w:r>
              <w:rPr>
                <w:color w:val="000000"/>
                <w:spacing w:val="7"/>
                <w:szCs w:val="21"/>
              </w:rPr>
              <w:pict>
                <v:line id="__TH_L1859" o:spid="_x0000_s3496" o:spt="20" style="position:absolute;left:0pt;margin-left:1.1pt;margin-top:1.2pt;height:25.15pt;width:104.3pt;z-index:251666432;mso-width-relative:page;mso-height-relative:page;" coordsize="21600,21600">
                  <v:path arrowok="t"/>
                  <v:fill focussize="0,0"/>
                  <v:stroke weight="0.5pt"/>
                  <v:imagedata o:title=""/>
                  <o:lock v:ext="edit"/>
                </v:line>
              </w:pict>
            </w:r>
            <w:r>
              <w:rPr>
                <w:color w:val="000000"/>
                <w:spacing w:val="7"/>
                <w:szCs w:val="21"/>
              </w:rPr>
              <w:t>工艺</w:t>
            </w:r>
          </w:p>
          <w:p>
            <w:pPr>
              <w:adjustRightInd w:val="0"/>
              <w:rPr>
                <w:color w:val="000000"/>
                <w:spacing w:val="7"/>
                <w:szCs w:val="21"/>
              </w:rPr>
            </w:pPr>
            <w:r>
              <w:rPr>
                <w:color w:val="000000"/>
                <w:spacing w:val="7"/>
                <w:szCs w:val="21"/>
              </w:rPr>
              <w:t>指标</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UASB工艺</w:t>
            </w:r>
          </w:p>
        </w:tc>
        <w:tc>
          <w:tcPr>
            <w:tcW w:w="3402" w:type="dxa"/>
            <w:vAlign w:val="center"/>
          </w:tcPr>
          <w:p>
            <w:pPr>
              <w:adjustRightInd w:val="0"/>
              <w:jc w:val="center"/>
              <w:rPr>
                <w:color w:val="000000"/>
                <w:spacing w:val="7"/>
                <w:szCs w:val="21"/>
              </w:rPr>
            </w:pPr>
            <w:r>
              <w:rPr>
                <w:color w:val="000000"/>
                <w:spacing w:val="7"/>
                <w:szCs w:val="21"/>
              </w:rPr>
              <w:t>盖泻湖沼气池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原料范围</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畜禽场污水</w:t>
            </w:r>
          </w:p>
        </w:tc>
        <w:tc>
          <w:tcPr>
            <w:tcW w:w="3402" w:type="dxa"/>
            <w:vAlign w:val="center"/>
          </w:tcPr>
          <w:p>
            <w:pPr>
              <w:adjustRightInd w:val="0"/>
              <w:jc w:val="center"/>
              <w:rPr>
                <w:color w:val="000000"/>
                <w:spacing w:val="7"/>
                <w:szCs w:val="21"/>
              </w:rPr>
            </w:pPr>
            <w:r>
              <w:rPr>
                <w:color w:val="000000"/>
                <w:spacing w:val="7"/>
                <w:szCs w:val="21"/>
              </w:rPr>
              <w:t>畜禽场污水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原料TS浓度</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＜2%</w:t>
            </w:r>
          </w:p>
        </w:tc>
        <w:tc>
          <w:tcPr>
            <w:tcW w:w="3402" w:type="dxa"/>
            <w:vAlign w:val="center"/>
          </w:tcPr>
          <w:p>
            <w:pPr>
              <w:adjustRightInd w:val="0"/>
              <w:jc w:val="center"/>
              <w:rPr>
                <w:color w:val="000000"/>
                <w:spacing w:val="7"/>
                <w:szCs w:val="21"/>
              </w:rPr>
            </w:pPr>
            <w:r>
              <w:rPr>
                <w:color w:val="000000"/>
                <w:spacing w:val="7"/>
                <w:szCs w:val="21"/>
              </w:rPr>
              <w:t>无要求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应用区域</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中部、南部</w:t>
            </w:r>
          </w:p>
        </w:tc>
        <w:tc>
          <w:tcPr>
            <w:tcW w:w="3402" w:type="dxa"/>
            <w:vAlign w:val="center"/>
          </w:tcPr>
          <w:p>
            <w:pPr>
              <w:adjustRightInd w:val="0"/>
              <w:jc w:val="center"/>
              <w:rPr>
                <w:color w:val="000000"/>
                <w:spacing w:val="7"/>
                <w:szCs w:val="21"/>
              </w:rPr>
            </w:pPr>
            <w:r>
              <w:rPr>
                <w:color w:val="000000"/>
                <w:spacing w:val="7"/>
                <w:szCs w:val="21"/>
              </w:rPr>
              <w:t>全国各地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单位能耗</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中等</w:t>
            </w:r>
          </w:p>
        </w:tc>
        <w:tc>
          <w:tcPr>
            <w:tcW w:w="3402" w:type="dxa"/>
            <w:vAlign w:val="center"/>
          </w:tcPr>
          <w:p>
            <w:pPr>
              <w:adjustRightInd w:val="0"/>
              <w:jc w:val="center"/>
              <w:rPr>
                <w:color w:val="000000"/>
                <w:spacing w:val="7"/>
                <w:szCs w:val="21"/>
              </w:rPr>
            </w:pPr>
            <w:r>
              <w:rPr>
                <w:color w:val="000000"/>
                <w:spacing w:val="7"/>
                <w:szCs w:val="21"/>
              </w:rPr>
              <w:t>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操作难度</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较高</w:t>
            </w:r>
          </w:p>
        </w:tc>
        <w:tc>
          <w:tcPr>
            <w:tcW w:w="3402" w:type="dxa"/>
            <w:vAlign w:val="center"/>
          </w:tcPr>
          <w:p>
            <w:pPr>
              <w:adjustRightInd w:val="0"/>
              <w:jc w:val="center"/>
              <w:rPr>
                <w:color w:val="000000"/>
                <w:spacing w:val="7"/>
                <w:szCs w:val="21"/>
              </w:rPr>
            </w:pPr>
            <w:r>
              <w:rPr>
                <w:color w:val="000000"/>
                <w:spacing w:val="7"/>
                <w:szCs w:val="21"/>
              </w:rPr>
              <w:t>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产气率</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≥0.5m</w:t>
            </w:r>
            <w:r>
              <w:rPr>
                <w:color w:val="000000"/>
                <w:spacing w:val="7"/>
                <w:szCs w:val="21"/>
                <w:vertAlign w:val="superscript"/>
              </w:rPr>
              <w:t>3</w:t>
            </w:r>
            <w:r>
              <w:rPr>
                <w:color w:val="000000"/>
                <w:spacing w:val="7"/>
                <w:szCs w:val="21"/>
              </w:rPr>
              <w:t>/m</w:t>
            </w:r>
            <w:r>
              <w:rPr>
                <w:color w:val="000000"/>
                <w:spacing w:val="7"/>
                <w:szCs w:val="21"/>
                <w:vertAlign w:val="superscript"/>
              </w:rPr>
              <w:t>3</w:t>
            </w:r>
          </w:p>
        </w:tc>
        <w:tc>
          <w:tcPr>
            <w:tcW w:w="3402" w:type="dxa"/>
            <w:vAlign w:val="center"/>
          </w:tcPr>
          <w:p>
            <w:pPr>
              <w:adjustRightInd w:val="0"/>
              <w:jc w:val="center"/>
              <w:rPr>
                <w:color w:val="000000"/>
                <w:spacing w:val="7"/>
                <w:szCs w:val="21"/>
              </w:rPr>
            </w:pPr>
            <w:r>
              <w:rPr>
                <w:color w:val="000000"/>
                <w:spacing w:val="7"/>
                <w:szCs w:val="21"/>
              </w:rPr>
              <w:t>≥0.8m</w:t>
            </w:r>
            <w:r>
              <w:rPr>
                <w:color w:val="000000"/>
                <w:spacing w:val="7"/>
                <w:szCs w:val="21"/>
                <w:vertAlign w:val="superscript"/>
              </w:rPr>
              <w:t>3</w:t>
            </w:r>
            <w:r>
              <w:rPr>
                <w:color w:val="000000"/>
                <w:spacing w:val="7"/>
                <w:szCs w:val="21"/>
              </w:rPr>
              <w:t>/m</w:t>
            </w:r>
            <w:r>
              <w:rPr>
                <w:color w:val="000000"/>
                <w:spacing w:val="7"/>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主体工程使用寿命</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5~10年</w:t>
            </w:r>
          </w:p>
        </w:tc>
        <w:tc>
          <w:tcPr>
            <w:tcW w:w="3402" w:type="dxa"/>
            <w:vAlign w:val="center"/>
          </w:tcPr>
          <w:p>
            <w:pPr>
              <w:adjustRightInd w:val="0"/>
              <w:jc w:val="center"/>
              <w:rPr>
                <w:color w:val="000000"/>
                <w:spacing w:val="7"/>
                <w:szCs w:val="21"/>
              </w:rPr>
            </w:pPr>
            <w:r>
              <w:rPr>
                <w:color w:val="000000"/>
                <w:spacing w:val="7"/>
                <w:szCs w:val="21"/>
              </w:rPr>
              <w:t>10~20年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配套装置</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须配套建设保温加热设备、沼气贮存装置；自动化程度要求高，须配套监控设备</w:t>
            </w:r>
          </w:p>
        </w:tc>
        <w:tc>
          <w:tcPr>
            <w:tcW w:w="3402" w:type="dxa"/>
            <w:vAlign w:val="center"/>
          </w:tcPr>
          <w:p>
            <w:pPr>
              <w:adjustRightInd w:val="0"/>
              <w:jc w:val="center"/>
              <w:rPr>
                <w:color w:val="000000"/>
                <w:spacing w:val="7"/>
                <w:szCs w:val="21"/>
              </w:rPr>
            </w:pPr>
            <w:r>
              <w:rPr>
                <w:color w:val="000000"/>
                <w:spacing w:val="7"/>
                <w:szCs w:val="21"/>
              </w:rPr>
              <w:t>沼气池集厌氧发酵、贮气于一体；池内污水温度受外界影响较小；污水进出自流、污泥产生量小，自动除渣，不容易堵塞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建设成本</w:t>
            </w:r>
          </w:p>
        </w:tc>
        <w:tc>
          <w:tcPr>
            <w:tcW w:w="3260" w:type="dxa"/>
            <w:tcMar>
              <w:left w:w="0" w:type="dxa"/>
              <w:right w:w="0" w:type="dxa"/>
            </w:tcMar>
            <w:vAlign w:val="center"/>
          </w:tcPr>
          <w:p>
            <w:pPr>
              <w:adjustRightInd w:val="0"/>
              <w:jc w:val="center"/>
              <w:rPr>
                <w:color w:val="000000"/>
                <w:spacing w:val="7"/>
                <w:szCs w:val="21"/>
                <w:vertAlign w:val="superscript"/>
              </w:rPr>
            </w:pPr>
            <w:r>
              <w:rPr>
                <w:color w:val="000000"/>
                <w:spacing w:val="7"/>
                <w:szCs w:val="21"/>
              </w:rPr>
              <w:t>500~700元/m</w:t>
            </w:r>
            <w:r>
              <w:rPr>
                <w:color w:val="000000"/>
                <w:spacing w:val="7"/>
                <w:szCs w:val="21"/>
                <w:vertAlign w:val="superscript"/>
              </w:rPr>
              <w:t>3</w:t>
            </w:r>
          </w:p>
        </w:tc>
        <w:tc>
          <w:tcPr>
            <w:tcW w:w="3402" w:type="dxa"/>
            <w:vAlign w:val="center"/>
          </w:tcPr>
          <w:p>
            <w:pPr>
              <w:adjustRightInd w:val="0"/>
              <w:jc w:val="center"/>
              <w:rPr>
                <w:color w:val="000000"/>
                <w:spacing w:val="7"/>
                <w:szCs w:val="21"/>
              </w:rPr>
            </w:pPr>
            <w:r>
              <w:rPr>
                <w:color w:val="000000"/>
                <w:spacing w:val="7"/>
                <w:szCs w:val="21"/>
              </w:rPr>
              <w:t>50~60元/m</w:t>
            </w:r>
            <w:r>
              <w:rPr>
                <w:color w:val="000000"/>
                <w:spacing w:val="7"/>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trPr>
        <w:tc>
          <w:tcPr>
            <w:tcW w:w="2142" w:type="dxa"/>
            <w:tcMar>
              <w:left w:w="0" w:type="dxa"/>
              <w:right w:w="0" w:type="dxa"/>
            </w:tcMar>
            <w:vAlign w:val="center"/>
          </w:tcPr>
          <w:p>
            <w:pPr>
              <w:adjustRightInd w:val="0"/>
              <w:jc w:val="center"/>
              <w:rPr>
                <w:color w:val="000000"/>
                <w:spacing w:val="7"/>
                <w:szCs w:val="21"/>
              </w:rPr>
            </w:pPr>
            <w:r>
              <w:rPr>
                <w:color w:val="000000"/>
                <w:spacing w:val="7"/>
                <w:szCs w:val="21"/>
              </w:rPr>
              <w:t>经济效益</w:t>
            </w:r>
          </w:p>
        </w:tc>
        <w:tc>
          <w:tcPr>
            <w:tcW w:w="3260" w:type="dxa"/>
            <w:tcMar>
              <w:left w:w="0" w:type="dxa"/>
              <w:right w:w="0" w:type="dxa"/>
            </w:tcMar>
            <w:vAlign w:val="center"/>
          </w:tcPr>
          <w:p>
            <w:pPr>
              <w:adjustRightInd w:val="0"/>
              <w:jc w:val="center"/>
              <w:rPr>
                <w:color w:val="000000"/>
                <w:spacing w:val="7"/>
                <w:szCs w:val="21"/>
              </w:rPr>
            </w:pPr>
            <w:r>
              <w:rPr>
                <w:color w:val="000000"/>
                <w:spacing w:val="7"/>
                <w:szCs w:val="21"/>
              </w:rPr>
              <w:t>低</w:t>
            </w:r>
          </w:p>
        </w:tc>
        <w:tc>
          <w:tcPr>
            <w:tcW w:w="3402" w:type="dxa"/>
            <w:vAlign w:val="center"/>
          </w:tcPr>
          <w:p>
            <w:pPr>
              <w:adjustRightInd w:val="0"/>
              <w:jc w:val="center"/>
              <w:rPr>
                <w:color w:val="000000"/>
                <w:spacing w:val="7"/>
                <w:szCs w:val="21"/>
              </w:rPr>
            </w:pPr>
            <w:r>
              <w:rPr>
                <w:color w:val="000000"/>
                <w:spacing w:val="7"/>
                <w:szCs w:val="21"/>
              </w:rPr>
              <w:t>佳</w:t>
            </w:r>
          </w:p>
        </w:tc>
      </w:tr>
    </w:tbl>
    <w:p>
      <w:pPr>
        <w:tabs>
          <w:tab w:val="right" w:leader="dot" w:pos="8647"/>
        </w:tabs>
        <w:adjustRightInd w:val="0"/>
        <w:snapToGrid w:val="0"/>
        <w:spacing w:line="500" w:lineRule="exact"/>
        <w:ind w:firstLine="480" w:firstLineChars="200"/>
        <w:rPr>
          <w:color w:val="000000"/>
          <w:sz w:val="24"/>
        </w:rPr>
      </w:pPr>
      <w:r>
        <w:rPr>
          <w:color w:val="000000"/>
          <w:sz w:val="24"/>
        </w:rPr>
        <w:t>由以上分析可知，盖泻湖沼气池工艺建设成本低，抗污水冲击力强，管理方便，污染物去除率高等优点。</w:t>
      </w:r>
    </w:p>
    <w:p>
      <w:pPr>
        <w:tabs>
          <w:tab w:val="right" w:leader="dot" w:pos="8647"/>
        </w:tabs>
        <w:adjustRightInd w:val="0"/>
        <w:snapToGrid w:val="0"/>
        <w:spacing w:line="500" w:lineRule="exact"/>
        <w:ind w:firstLine="480" w:firstLineChars="200"/>
        <w:rPr>
          <w:color w:val="000000"/>
          <w:sz w:val="24"/>
        </w:rPr>
      </w:pPr>
      <w:r>
        <w:rPr>
          <w:rFonts w:hint="eastAsia" w:ascii="宋体" w:hAnsi="宋体" w:cs="宋体"/>
          <w:color w:val="000000"/>
          <w:sz w:val="24"/>
        </w:rPr>
        <w:t>②</w:t>
      </w:r>
      <w:r>
        <w:rPr>
          <w:color w:val="000000"/>
          <w:sz w:val="24"/>
        </w:rPr>
        <w:t>处理效果对比</w:t>
      </w:r>
    </w:p>
    <w:p>
      <w:pPr>
        <w:tabs>
          <w:tab w:val="right" w:leader="dot" w:pos="8647"/>
        </w:tabs>
        <w:adjustRightInd w:val="0"/>
        <w:snapToGrid w:val="0"/>
        <w:spacing w:line="500" w:lineRule="exact"/>
        <w:ind w:firstLine="480" w:firstLineChars="200"/>
        <w:rPr>
          <w:color w:val="000000"/>
          <w:sz w:val="24"/>
        </w:rPr>
      </w:pPr>
      <w:r>
        <w:rPr>
          <w:color w:val="000000"/>
          <w:sz w:val="24"/>
        </w:rPr>
        <w:t>根据牧原公司提供的数据，牧原公司已运行养殖场（采用干清粪养殖工艺，污水处理采用UASB厌氧发酵）废水处理效果见表5-8。</w:t>
      </w:r>
    </w:p>
    <w:p>
      <w:pPr>
        <w:tabs>
          <w:tab w:val="right" w:leader="dot" w:pos="8647"/>
        </w:tabs>
        <w:spacing w:beforeLines="50" w:afterLines="50"/>
        <w:ind w:firstLine="420" w:firstLineChars="200"/>
        <w:jc w:val="center"/>
        <w:rPr>
          <w:b/>
          <w:bCs/>
          <w:color w:val="000000"/>
          <w:szCs w:val="21"/>
        </w:rPr>
      </w:pPr>
      <w:r>
        <w:rPr>
          <w:b/>
          <w:bCs/>
          <w:color w:val="000000"/>
          <w:szCs w:val="21"/>
        </w:rPr>
        <w:t>表5-8  牧原公司已运行养殖场废水处理效果</w:t>
      </w:r>
    </w:p>
    <w:tbl>
      <w:tblPr>
        <w:tblStyle w:val="44"/>
        <w:tblW w:w="8946"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809"/>
        <w:gridCol w:w="851"/>
        <w:gridCol w:w="956"/>
        <w:gridCol w:w="957"/>
        <w:gridCol w:w="957"/>
        <w:gridCol w:w="957"/>
        <w:gridCol w:w="1559"/>
        <w:gridCol w:w="90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2660" w:type="dxa"/>
            <w:gridSpan w:val="2"/>
            <w:vMerge w:val="restart"/>
            <w:vAlign w:val="center"/>
          </w:tcPr>
          <w:p>
            <w:pPr>
              <w:jc w:val="center"/>
              <w:rPr>
                <w:color w:val="000000"/>
                <w:szCs w:val="21"/>
              </w:rPr>
            </w:pPr>
            <w:r>
              <w:rPr>
                <w:color w:val="000000"/>
                <w:szCs w:val="21"/>
              </w:rPr>
              <w:t>处理工段</w:t>
            </w:r>
          </w:p>
        </w:tc>
        <w:tc>
          <w:tcPr>
            <w:tcW w:w="3827" w:type="dxa"/>
            <w:gridSpan w:val="4"/>
            <w:tcBorders>
              <w:right w:val="single" w:color="auto" w:sz="4" w:space="0"/>
            </w:tcBorders>
            <w:vAlign w:val="center"/>
          </w:tcPr>
          <w:p>
            <w:pPr>
              <w:jc w:val="center"/>
              <w:rPr>
                <w:color w:val="000000"/>
                <w:szCs w:val="21"/>
              </w:rPr>
            </w:pPr>
            <w:r>
              <w:rPr>
                <w:color w:val="000000"/>
                <w:szCs w:val="21"/>
              </w:rPr>
              <w:t>主要污染物浓度（mg/L）</w:t>
            </w:r>
          </w:p>
        </w:tc>
        <w:tc>
          <w:tcPr>
            <w:tcW w:w="1559" w:type="dxa"/>
            <w:vMerge w:val="restart"/>
            <w:tcBorders>
              <w:left w:val="single" w:color="auto" w:sz="4" w:space="0"/>
              <w:right w:val="single" w:color="auto" w:sz="4" w:space="0"/>
            </w:tcBorders>
            <w:vAlign w:val="center"/>
          </w:tcPr>
          <w:p>
            <w:pPr>
              <w:jc w:val="center"/>
              <w:rPr>
                <w:color w:val="000000"/>
                <w:szCs w:val="21"/>
              </w:rPr>
            </w:pPr>
            <w:r>
              <w:rPr>
                <w:color w:val="000000"/>
                <w:szCs w:val="21"/>
              </w:rPr>
              <w:t>性状</w:t>
            </w:r>
          </w:p>
        </w:tc>
        <w:tc>
          <w:tcPr>
            <w:tcW w:w="900" w:type="dxa"/>
            <w:vMerge w:val="restart"/>
            <w:tcBorders>
              <w:left w:val="single" w:color="auto" w:sz="4" w:space="0"/>
            </w:tcBorders>
            <w:vAlign w:val="center"/>
          </w:tcPr>
          <w:p>
            <w:pPr>
              <w:jc w:val="center"/>
              <w:rPr>
                <w:color w:val="000000"/>
                <w:szCs w:val="21"/>
              </w:rPr>
            </w:pPr>
            <w:r>
              <w:rPr>
                <w:color w:val="000000"/>
                <w:szCs w:val="21"/>
              </w:rPr>
              <w:t>水力停留时间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2660" w:type="dxa"/>
            <w:gridSpan w:val="2"/>
            <w:vMerge w:val="continue"/>
            <w:vAlign w:val="center"/>
          </w:tcPr>
          <w:p>
            <w:pPr>
              <w:jc w:val="center"/>
              <w:rPr>
                <w:color w:val="000000"/>
                <w:szCs w:val="21"/>
              </w:rPr>
            </w:pPr>
          </w:p>
        </w:tc>
        <w:tc>
          <w:tcPr>
            <w:tcW w:w="956" w:type="dxa"/>
            <w:vAlign w:val="center"/>
          </w:tcPr>
          <w:p>
            <w:pPr>
              <w:jc w:val="center"/>
              <w:rPr>
                <w:color w:val="000000"/>
                <w:szCs w:val="21"/>
              </w:rPr>
            </w:pPr>
            <w:r>
              <w:rPr>
                <w:color w:val="000000"/>
                <w:szCs w:val="21"/>
              </w:rPr>
              <w:t>COD</w:t>
            </w:r>
          </w:p>
        </w:tc>
        <w:tc>
          <w:tcPr>
            <w:tcW w:w="957" w:type="dxa"/>
            <w:vAlign w:val="center"/>
          </w:tcPr>
          <w:p>
            <w:pPr>
              <w:jc w:val="center"/>
              <w:rPr>
                <w:color w:val="000000"/>
                <w:szCs w:val="21"/>
              </w:rPr>
            </w:pPr>
            <w:r>
              <w:rPr>
                <w:color w:val="000000"/>
                <w:szCs w:val="21"/>
              </w:rPr>
              <w:t>BOD</w:t>
            </w:r>
            <w:r>
              <w:rPr>
                <w:color w:val="000000"/>
                <w:szCs w:val="21"/>
                <w:vertAlign w:val="subscript"/>
              </w:rPr>
              <w:t>5</w:t>
            </w:r>
          </w:p>
        </w:tc>
        <w:tc>
          <w:tcPr>
            <w:tcW w:w="957" w:type="dxa"/>
            <w:vAlign w:val="center"/>
          </w:tcPr>
          <w:p>
            <w:pPr>
              <w:jc w:val="center"/>
              <w:rPr>
                <w:color w:val="000000"/>
                <w:szCs w:val="21"/>
              </w:rPr>
            </w:pPr>
            <w:r>
              <w:rPr>
                <w:color w:val="000000"/>
                <w:szCs w:val="21"/>
              </w:rPr>
              <w:t>SS</w:t>
            </w:r>
          </w:p>
        </w:tc>
        <w:tc>
          <w:tcPr>
            <w:tcW w:w="957" w:type="dxa"/>
            <w:tcBorders>
              <w:right w:val="single" w:color="auto" w:sz="4" w:space="0"/>
            </w:tcBorders>
            <w:vAlign w:val="center"/>
          </w:tcPr>
          <w:p>
            <w:pPr>
              <w:jc w:val="center"/>
              <w:rPr>
                <w:color w:val="000000"/>
                <w:szCs w:val="21"/>
              </w:rPr>
            </w:pPr>
            <w:r>
              <w:rPr>
                <w:color w:val="000000"/>
                <w:szCs w:val="21"/>
              </w:rPr>
              <w:t>NH</w:t>
            </w:r>
            <w:r>
              <w:rPr>
                <w:color w:val="000000"/>
                <w:szCs w:val="21"/>
                <w:vertAlign w:val="subscript"/>
              </w:rPr>
              <w:t>3</w:t>
            </w:r>
            <w:r>
              <w:rPr>
                <w:color w:val="000000"/>
                <w:szCs w:val="21"/>
              </w:rPr>
              <w:t>-N</w:t>
            </w:r>
          </w:p>
        </w:tc>
        <w:tc>
          <w:tcPr>
            <w:tcW w:w="1559" w:type="dxa"/>
            <w:vMerge w:val="continue"/>
            <w:tcBorders>
              <w:left w:val="single" w:color="auto" w:sz="4" w:space="0"/>
              <w:right w:val="single" w:color="auto" w:sz="4" w:space="0"/>
            </w:tcBorders>
            <w:vAlign w:val="center"/>
          </w:tcPr>
          <w:p>
            <w:pPr>
              <w:jc w:val="center"/>
              <w:rPr>
                <w:color w:val="000000"/>
                <w:szCs w:val="21"/>
              </w:rPr>
            </w:pPr>
          </w:p>
        </w:tc>
        <w:tc>
          <w:tcPr>
            <w:tcW w:w="900" w:type="dxa"/>
            <w:vMerge w:val="continue"/>
            <w:tcBorders>
              <w:left w:val="single" w:color="auto" w:sz="4" w:space="0"/>
            </w:tcBorders>
            <w:vAlign w:val="center"/>
          </w:tcPr>
          <w:p>
            <w:pPr>
              <w:jc w:val="center"/>
              <w:rPr>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809" w:type="dxa"/>
            <w:vMerge w:val="restart"/>
            <w:vAlign w:val="center"/>
          </w:tcPr>
          <w:p>
            <w:pPr>
              <w:jc w:val="center"/>
              <w:rPr>
                <w:color w:val="000000"/>
                <w:szCs w:val="21"/>
              </w:rPr>
            </w:pPr>
            <w:r>
              <w:rPr>
                <w:color w:val="000000"/>
                <w:szCs w:val="21"/>
              </w:rPr>
              <w:t>UASB进、出口</w:t>
            </w:r>
          </w:p>
        </w:tc>
        <w:tc>
          <w:tcPr>
            <w:tcW w:w="851" w:type="dxa"/>
            <w:vAlign w:val="center"/>
          </w:tcPr>
          <w:p>
            <w:pPr>
              <w:jc w:val="center"/>
              <w:rPr>
                <w:color w:val="000000"/>
                <w:szCs w:val="21"/>
              </w:rPr>
            </w:pPr>
            <w:r>
              <w:rPr>
                <w:color w:val="000000"/>
                <w:szCs w:val="21"/>
              </w:rPr>
              <w:t>进水</w:t>
            </w:r>
          </w:p>
        </w:tc>
        <w:tc>
          <w:tcPr>
            <w:tcW w:w="956" w:type="dxa"/>
            <w:vAlign w:val="center"/>
          </w:tcPr>
          <w:p>
            <w:pPr>
              <w:jc w:val="center"/>
              <w:rPr>
                <w:color w:val="000000"/>
                <w:szCs w:val="21"/>
              </w:rPr>
            </w:pPr>
            <w:r>
              <w:rPr>
                <w:color w:val="000000"/>
                <w:szCs w:val="21"/>
              </w:rPr>
              <w:t>8230</w:t>
            </w:r>
          </w:p>
        </w:tc>
        <w:tc>
          <w:tcPr>
            <w:tcW w:w="957" w:type="dxa"/>
            <w:vAlign w:val="center"/>
          </w:tcPr>
          <w:p>
            <w:pPr>
              <w:jc w:val="center"/>
              <w:rPr>
                <w:color w:val="000000"/>
                <w:szCs w:val="21"/>
              </w:rPr>
            </w:pPr>
            <w:r>
              <w:rPr>
                <w:color w:val="000000"/>
                <w:szCs w:val="21"/>
              </w:rPr>
              <w:t>3873</w:t>
            </w:r>
          </w:p>
        </w:tc>
        <w:tc>
          <w:tcPr>
            <w:tcW w:w="957" w:type="dxa"/>
            <w:vAlign w:val="center"/>
          </w:tcPr>
          <w:p>
            <w:pPr>
              <w:jc w:val="center"/>
              <w:rPr>
                <w:color w:val="000000"/>
                <w:szCs w:val="21"/>
              </w:rPr>
            </w:pPr>
            <w:r>
              <w:rPr>
                <w:color w:val="000000"/>
                <w:szCs w:val="21"/>
              </w:rPr>
              <w:t>2424</w:t>
            </w:r>
          </w:p>
        </w:tc>
        <w:tc>
          <w:tcPr>
            <w:tcW w:w="957" w:type="dxa"/>
            <w:tcBorders>
              <w:right w:val="single" w:color="auto" w:sz="4" w:space="0"/>
            </w:tcBorders>
            <w:vAlign w:val="center"/>
          </w:tcPr>
          <w:p>
            <w:pPr>
              <w:jc w:val="center"/>
              <w:rPr>
                <w:color w:val="000000"/>
                <w:szCs w:val="21"/>
              </w:rPr>
            </w:pPr>
            <w:r>
              <w:rPr>
                <w:color w:val="000000"/>
                <w:szCs w:val="21"/>
              </w:rPr>
              <w:t>968</w:t>
            </w:r>
          </w:p>
        </w:tc>
        <w:tc>
          <w:tcPr>
            <w:tcW w:w="1559" w:type="dxa"/>
            <w:vMerge w:val="restart"/>
            <w:tcBorders>
              <w:left w:val="single" w:color="auto" w:sz="4" w:space="0"/>
              <w:right w:val="single" w:color="auto" w:sz="4" w:space="0"/>
            </w:tcBorders>
            <w:vAlign w:val="center"/>
          </w:tcPr>
          <w:p>
            <w:pPr>
              <w:jc w:val="center"/>
              <w:rPr>
                <w:color w:val="000000"/>
                <w:szCs w:val="21"/>
              </w:rPr>
            </w:pPr>
            <w:r>
              <w:rPr>
                <w:color w:val="000000"/>
                <w:szCs w:val="21"/>
              </w:rPr>
              <w:t>棕色，腐化程度较低，沼液异味大</w:t>
            </w:r>
          </w:p>
        </w:tc>
        <w:tc>
          <w:tcPr>
            <w:tcW w:w="900" w:type="dxa"/>
            <w:vMerge w:val="restart"/>
            <w:tcBorders>
              <w:left w:val="single" w:color="auto" w:sz="4" w:space="0"/>
            </w:tcBorders>
            <w:vAlign w:val="center"/>
          </w:tcPr>
          <w:p>
            <w:pPr>
              <w:jc w:val="center"/>
              <w:rPr>
                <w:color w:val="000000"/>
                <w:szCs w:val="21"/>
              </w:rPr>
            </w:pPr>
            <w:r>
              <w:rPr>
                <w:color w:val="000000"/>
                <w:szCs w:val="21"/>
              </w:rPr>
              <w:t>3天</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809" w:type="dxa"/>
            <w:vMerge w:val="continue"/>
            <w:vAlign w:val="center"/>
          </w:tcPr>
          <w:p>
            <w:pPr>
              <w:jc w:val="center"/>
              <w:rPr>
                <w:color w:val="000000"/>
                <w:szCs w:val="21"/>
              </w:rPr>
            </w:pPr>
          </w:p>
        </w:tc>
        <w:tc>
          <w:tcPr>
            <w:tcW w:w="851" w:type="dxa"/>
            <w:vAlign w:val="center"/>
          </w:tcPr>
          <w:p>
            <w:pPr>
              <w:jc w:val="center"/>
              <w:rPr>
                <w:color w:val="000000"/>
                <w:szCs w:val="21"/>
              </w:rPr>
            </w:pPr>
            <w:r>
              <w:rPr>
                <w:color w:val="000000"/>
                <w:szCs w:val="21"/>
              </w:rPr>
              <w:t>去除率</w:t>
            </w:r>
          </w:p>
        </w:tc>
        <w:tc>
          <w:tcPr>
            <w:tcW w:w="956" w:type="dxa"/>
            <w:vAlign w:val="center"/>
          </w:tcPr>
          <w:p>
            <w:pPr>
              <w:jc w:val="center"/>
              <w:rPr>
                <w:color w:val="000000"/>
                <w:szCs w:val="21"/>
              </w:rPr>
            </w:pPr>
            <w:r>
              <w:rPr>
                <w:color w:val="000000"/>
                <w:szCs w:val="21"/>
              </w:rPr>
              <w:t>60%</w:t>
            </w:r>
          </w:p>
        </w:tc>
        <w:tc>
          <w:tcPr>
            <w:tcW w:w="957" w:type="dxa"/>
            <w:vAlign w:val="center"/>
          </w:tcPr>
          <w:p>
            <w:pPr>
              <w:jc w:val="center"/>
              <w:rPr>
                <w:color w:val="000000"/>
                <w:szCs w:val="21"/>
              </w:rPr>
            </w:pPr>
            <w:r>
              <w:rPr>
                <w:color w:val="000000"/>
                <w:szCs w:val="21"/>
              </w:rPr>
              <w:t>75%</w:t>
            </w:r>
          </w:p>
        </w:tc>
        <w:tc>
          <w:tcPr>
            <w:tcW w:w="957" w:type="dxa"/>
            <w:vAlign w:val="center"/>
          </w:tcPr>
          <w:p>
            <w:pPr>
              <w:jc w:val="center"/>
              <w:rPr>
                <w:color w:val="000000"/>
                <w:szCs w:val="21"/>
              </w:rPr>
            </w:pPr>
            <w:r>
              <w:rPr>
                <w:color w:val="000000"/>
                <w:szCs w:val="21"/>
              </w:rPr>
              <w:t>65%</w:t>
            </w:r>
          </w:p>
        </w:tc>
        <w:tc>
          <w:tcPr>
            <w:tcW w:w="957" w:type="dxa"/>
            <w:tcBorders>
              <w:right w:val="single" w:color="auto" w:sz="4" w:space="0"/>
            </w:tcBorders>
            <w:vAlign w:val="center"/>
          </w:tcPr>
          <w:p>
            <w:pPr>
              <w:jc w:val="center"/>
              <w:rPr>
                <w:color w:val="000000"/>
                <w:szCs w:val="21"/>
              </w:rPr>
            </w:pPr>
            <w:r>
              <w:rPr>
                <w:color w:val="000000"/>
                <w:szCs w:val="21"/>
              </w:rPr>
              <w:t>10%</w:t>
            </w:r>
          </w:p>
        </w:tc>
        <w:tc>
          <w:tcPr>
            <w:tcW w:w="1559" w:type="dxa"/>
            <w:vMerge w:val="continue"/>
            <w:tcBorders>
              <w:left w:val="single" w:color="auto" w:sz="4" w:space="0"/>
              <w:right w:val="single" w:color="auto" w:sz="4" w:space="0"/>
            </w:tcBorders>
            <w:vAlign w:val="center"/>
          </w:tcPr>
          <w:p>
            <w:pPr>
              <w:jc w:val="center"/>
              <w:rPr>
                <w:color w:val="000000"/>
                <w:szCs w:val="21"/>
              </w:rPr>
            </w:pPr>
          </w:p>
        </w:tc>
        <w:tc>
          <w:tcPr>
            <w:tcW w:w="900" w:type="dxa"/>
            <w:vMerge w:val="continue"/>
            <w:tcBorders>
              <w:left w:val="single" w:color="auto" w:sz="4" w:space="0"/>
            </w:tcBorders>
            <w:vAlign w:val="center"/>
          </w:tcPr>
          <w:p>
            <w:pPr>
              <w:jc w:val="center"/>
              <w:rPr>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809" w:type="dxa"/>
            <w:vMerge w:val="continue"/>
            <w:vAlign w:val="center"/>
          </w:tcPr>
          <w:p>
            <w:pPr>
              <w:jc w:val="center"/>
              <w:rPr>
                <w:color w:val="000000"/>
                <w:szCs w:val="21"/>
              </w:rPr>
            </w:pPr>
          </w:p>
        </w:tc>
        <w:tc>
          <w:tcPr>
            <w:tcW w:w="851" w:type="dxa"/>
            <w:vAlign w:val="center"/>
          </w:tcPr>
          <w:p>
            <w:pPr>
              <w:jc w:val="center"/>
              <w:rPr>
                <w:color w:val="000000"/>
                <w:szCs w:val="21"/>
              </w:rPr>
            </w:pPr>
            <w:r>
              <w:rPr>
                <w:color w:val="000000"/>
                <w:szCs w:val="21"/>
              </w:rPr>
              <w:t>出水</w:t>
            </w:r>
          </w:p>
        </w:tc>
        <w:tc>
          <w:tcPr>
            <w:tcW w:w="956" w:type="dxa"/>
            <w:vAlign w:val="center"/>
          </w:tcPr>
          <w:p>
            <w:pPr>
              <w:jc w:val="center"/>
              <w:rPr>
                <w:color w:val="000000"/>
                <w:szCs w:val="21"/>
              </w:rPr>
            </w:pPr>
            <w:r>
              <w:rPr>
                <w:color w:val="000000"/>
                <w:szCs w:val="21"/>
              </w:rPr>
              <w:t>3292</w:t>
            </w:r>
          </w:p>
        </w:tc>
        <w:tc>
          <w:tcPr>
            <w:tcW w:w="957" w:type="dxa"/>
            <w:vAlign w:val="center"/>
          </w:tcPr>
          <w:p>
            <w:pPr>
              <w:jc w:val="center"/>
              <w:rPr>
                <w:color w:val="000000"/>
                <w:szCs w:val="21"/>
              </w:rPr>
            </w:pPr>
            <w:r>
              <w:rPr>
                <w:color w:val="000000"/>
                <w:szCs w:val="21"/>
              </w:rPr>
              <w:t>968</w:t>
            </w:r>
          </w:p>
        </w:tc>
        <w:tc>
          <w:tcPr>
            <w:tcW w:w="957" w:type="dxa"/>
            <w:vAlign w:val="center"/>
          </w:tcPr>
          <w:p>
            <w:pPr>
              <w:jc w:val="center"/>
              <w:rPr>
                <w:color w:val="000000"/>
                <w:szCs w:val="21"/>
              </w:rPr>
            </w:pPr>
            <w:r>
              <w:rPr>
                <w:color w:val="000000"/>
                <w:szCs w:val="21"/>
              </w:rPr>
              <w:t>848</w:t>
            </w:r>
          </w:p>
        </w:tc>
        <w:tc>
          <w:tcPr>
            <w:tcW w:w="957" w:type="dxa"/>
            <w:tcBorders>
              <w:right w:val="single" w:color="auto" w:sz="4" w:space="0"/>
            </w:tcBorders>
            <w:vAlign w:val="center"/>
          </w:tcPr>
          <w:p>
            <w:pPr>
              <w:jc w:val="center"/>
              <w:rPr>
                <w:color w:val="000000"/>
                <w:szCs w:val="21"/>
              </w:rPr>
            </w:pPr>
            <w:r>
              <w:rPr>
                <w:color w:val="000000"/>
                <w:szCs w:val="21"/>
              </w:rPr>
              <w:t>871</w:t>
            </w:r>
          </w:p>
        </w:tc>
        <w:tc>
          <w:tcPr>
            <w:tcW w:w="1559" w:type="dxa"/>
            <w:vMerge w:val="continue"/>
            <w:tcBorders>
              <w:left w:val="single" w:color="auto" w:sz="4" w:space="0"/>
              <w:right w:val="single" w:color="auto" w:sz="4" w:space="0"/>
            </w:tcBorders>
            <w:vAlign w:val="center"/>
          </w:tcPr>
          <w:p>
            <w:pPr>
              <w:jc w:val="center"/>
              <w:rPr>
                <w:color w:val="000000"/>
                <w:szCs w:val="21"/>
              </w:rPr>
            </w:pPr>
          </w:p>
        </w:tc>
        <w:tc>
          <w:tcPr>
            <w:tcW w:w="900" w:type="dxa"/>
            <w:vMerge w:val="continue"/>
            <w:tcBorders>
              <w:left w:val="single" w:color="auto" w:sz="4" w:space="0"/>
            </w:tcBorders>
            <w:vAlign w:val="center"/>
          </w:tcPr>
          <w:p>
            <w:pPr>
              <w:jc w:val="center"/>
              <w:rPr>
                <w:color w:val="000000"/>
                <w:szCs w:val="21"/>
              </w:rPr>
            </w:pPr>
          </w:p>
        </w:tc>
      </w:tr>
    </w:tbl>
    <w:p>
      <w:pPr>
        <w:tabs>
          <w:tab w:val="right" w:leader="dot" w:pos="8647"/>
        </w:tabs>
        <w:adjustRightInd w:val="0"/>
        <w:snapToGrid w:val="0"/>
        <w:spacing w:line="500" w:lineRule="exact"/>
        <w:ind w:firstLine="480" w:firstLineChars="200"/>
        <w:rPr>
          <w:color w:val="000000"/>
          <w:sz w:val="24"/>
        </w:rPr>
      </w:pPr>
      <w:r>
        <w:rPr>
          <w:color w:val="000000"/>
          <w:sz w:val="24"/>
        </w:rPr>
        <w:t>本项目（采用环保部认定的干清粪养殖工艺，污水处理采用盖泻湖沼气池厌氧发酵）设计废水处理效果见表5-9。</w:t>
      </w:r>
    </w:p>
    <w:p>
      <w:pPr>
        <w:tabs>
          <w:tab w:val="right" w:leader="dot" w:pos="8647"/>
        </w:tabs>
        <w:spacing w:beforeLines="50" w:afterLines="50"/>
        <w:ind w:firstLine="420" w:firstLineChars="200"/>
        <w:jc w:val="center"/>
        <w:rPr>
          <w:b/>
          <w:bCs/>
          <w:color w:val="000000"/>
          <w:sz w:val="24"/>
        </w:rPr>
      </w:pPr>
      <w:r>
        <w:rPr>
          <w:b/>
          <w:bCs/>
          <w:color w:val="000000"/>
          <w:szCs w:val="21"/>
        </w:rPr>
        <w:t>表5-9  本项目设计废水处理效果</w:t>
      </w:r>
    </w:p>
    <w:tbl>
      <w:tblPr>
        <w:tblStyle w:val="44"/>
        <w:tblW w:w="8946"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809"/>
        <w:gridCol w:w="851"/>
        <w:gridCol w:w="1134"/>
        <w:gridCol w:w="850"/>
        <w:gridCol w:w="993"/>
        <w:gridCol w:w="1134"/>
        <w:gridCol w:w="1275"/>
        <w:gridCol w:w="90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2660" w:type="dxa"/>
            <w:gridSpan w:val="2"/>
            <w:vMerge w:val="restart"/>
            <w:vAlign w:val="center"/>
          </w:tcPr>
          <w:p>
            <w:pPr>
              <w:jc w:val="center"/>
              <w:rPr>
                <w:color w:val="000000"/>
                <w:szCs w:val="21"/>
              </w:rPr>
            </w:pPr>
            <w:r>
              <w:rPr>
                <w:color w:val="000000"/>
                <w:szCs w:val="21"/>
              </w:rPr>
              <w:t>处理工段</w:t>
            </w:r>
          </w:p>
        </w:tc>
        <w:tc>
          <w:tcPr>
            <w:tcW w:w="4111" w:type="dxa"/>
            <w:gridSpan w:val="4"/>
            <w:tcBorders>
              <w:right w:val="single" w:color="auto" w:sz="4" w:space="0"/>
            </w:tcBorders>
            <w:vAlign w:val="center"/>
          </w:tcPr>
          <w:p>
            <w:pPr>
              <w:jc w:val="center"/>
              <w:rPr>
                <w:color w:val="000000"/>
                <w:szCs w:val="21"/>
              </w:rPr>
            </w:pPr>
            <w:r>
              <w:rPr>
                <w:color w:val="000000"/>
                <w:szCs w:val="21"/>
              </w:rPr>
              <w:t>主要污染物浓度（mg/L）</w:t>
            </w:r>
          </w:p>
        </w:tc>
        <w:tc>
          <w:tcPr>
            <w:tcW w:w="1275" w:type="dxa"/>
            <w:vMerge w:val="restart"/>
            <w:tcBorders>
              <w:left w:val="single" w:color="auto" w:sz="4" w:space="0"/>
              <w:right w:val="single" w:color="auto" w:sz="4" w:space="0"/>
            </w:tcBorders>
            <w:vAlign w:val="center"/>
          </w:tcPr>
          <w:p>
            <w:pPr>
              <w:jc w:val="center"/>
              <w:rPr>
                <w:color w:val="000000"/>
                <w:szCs w:val="21"/>
              </w:rPr>
            </w:pPr>
            <w:r>
              <w:rPr>
                <w:color w:val="000000"/>
                <w:szCs w:val="21"/>
              </w:rPr>
              <w:t>性状</w:t>
            </w:r>
          </w:p>
        </w:tc>
        <w:tc>
          <w:tcPr>
            <w:tcW w:w="900" w:type="dxa"/>
            <w:vMerge w:val="restart"/>
            <w:tcBorders>
              <w:left w:val="single" w:color="auto" w:sz="4" w:space="0"/>
            </w:tcBorders>
            <w:vAlign w:val="center"/>
          </w:tcPr>
          <w:p>
            <w:pPr>
              <w:jc w:val="center"/>
              <w:rPr>
                <w:color w:val="000000"/>
                <w:szCs w:val="21"/>
              </w:rPr>
            </w:pPr>
            <w:r>
              <w:rPr>
                <w:color w:val="000000"/>
                <w:szCs w:val="21"/>
              </w:rPr>
              <w:t>水力停留时间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2660" w:type="dxa"/>
            <w:gridSpan w:val="2"/>
            <w:vMerge w:val="continue"/>
            <w:vAlign w:val="center"/>
          </w:tcPr>
          <w:p>
            <w:pPr>
              <w:jc w:val="center"/>
              <w:rPr>
                <w:color w:val="000000"/>
                <w:szCs w:val="21"/>
              </w:rPr>
            </w:pPr>
          </w:p>
        </w:tc>
        <w:tc>
          <w:tcPr>
            <w:tcW w:w="1134" w:type="dxa"/>
            <w:vAlign w:val="center"/>
          </w:tcPr>
          <w:p>
            <w:pPr>
              <w:jc w:val="center"/>
              <w:rPr>
                <w:color w:val="000000"/>
                <w:szCs w:val="21"/>
              </w:rPr>
            </w:pPr>
            <w:r>
              <w:rPr>
                <w:color w:val="000000"/>
                <w:szCs w:val="21"/>
              </w:rPr>
              <w:t>COD</w:t>
            </w:r>
          </w:p>
        </w:tc>
        <w:tc>
          <w:tcPr>
            <w:tcW w:w="850" w:type="dxa"/>
            <w:vAlign w:val="center"/>
          </w:tcPr>
          <w:p>
            <w:pPr>
              <w:jc w:val="center"/>
              <w:rPr>
                <w:color w:val="000000"/>
                <w:szCs w:val="21"/>
              </w:rPr>
            </w:pPr>
            <w:r>
              <w:rPr>
                <w:color w:val="000000"/>
                <w:szCs w:val="21"/>
              </w:rPr>
              <w:t>BOD</w:t>
            </w:r>
            <w:r>
              <w:rPr>
                <w:color w:val="000000"/>
                <w:szCs w:val="21"/>
                <w:vertAlign w:val="subscript"/>
              </w:rPr>
              <w:t>5</w:t>
            </w:r>
          </w:p>
        </w:tc>
        <w:tc>
          <w:tcPr>
            <w:tcW w:w="993" w:type="dxa"/>
            <w:vAlign w:val="center"/>
          </w:tcPr>
          <w:p>
            <w:pPr>
              <w:jc w:val="center"/>
              <w:rPr>
                <w:color w:val="000000"/>
                <w:szCs w:val="21"/>
              </w:rPr>
            </w:pPr>
            <w:r>
              <w:rPr>
                <w:color w:val="000000"/>
                <w:szCs w:val="21"/>
              </w:rPr>
              <w:t>NH</w:t>
            </w:r>
            <w:r>
              <w:rPr>
                <w:color w:val="000000"/>
                <w:szCs w:val="21"/>
                <w:vertAlign w:val="subscript"/>
              </w:rPr>
              <w:t>3</w:t>
            </w:r>
            <w:r>
              <w:rPr>
                <w:color w:val="000000"/>
                <w:szCs w:val="21"/>
              </w:rPr>
              <w:t>-N</w:t>
            </w:r>
          </w:p>
        </w:tc>
        <w:tc>
          <w:tcPr>
            <w:tcW w:w="1134" w:type="dxa"/>
            <w:tcBorders>
              <w:right w:val="single" w:color="auto" w:sz="4" w:space="0"/>
            </w:tcBorders>
            <w:vAlign w:val="center"/>
          </w:tcPr>
          <w:p>
            <w:pPr>
              <w:jc w:val="center"/>
              <w:rPr>
                <w:color w:val="000000"/>
                <w:szCs w:val="21"/>
              </w:rPr>
            </w:pPr>
            <w:r>
              <w:rPr>
                <w:color w:val="000000"/>
                <w:szCs w:val="21"/>
              </w:rPr>
              <w:t xml:space="preserve">SS </w:t>
            </w:r>
          </w:p>
        </w:tc>
        <w:tc>
          <w:tcPr>
            <w:tcW w:w="1275" w:type="dxa"/>
            <w:vMerge w:val="continue"/>
            <w:tcBorders>
              <w:left w:val="single" w:color="auto" w:sz="4" w:space="0"/>
              <w:right w:val="single" w:color="auto" w:sz="4" w:space="0"/>
            </w:tcBorders>
            <w:vAlign w:val="center"/>
          </w:tcPr>
          <w:p>
            <w:pPr>
              <w:jc w:val="center"/>
              <w:rPr>
                <w:color w:val="000000"/>
                <w:szCs w:val="21"/>
              </w:rPr>
            </w:pPr>
          </w:p>
        </w:tc>
        <w:tc>
          <w:tcPr>
            <w:tcW w:w="900" w:type="dxa"/>
            <w:vMerge w:val="continue"/>
            <w:tcBorders>
              <w:left w:val="single" w:color="auto" w:sz="4" w:space="0"/>
            </w:tcBorders>
            <w:vAlign w:val="center"/>
          </w:tcPr>
          <w:p>
            <w:pPr>
              <w:jc w:val="center"/>
              <w:rPr>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809" w:type="dxa"/>
            <w:vMerge w:val="restart"/>
            <w:vAlign w:val="center"/>
          </w:tcPr>
          <w:p>
            <w:pPr>
              <w:jc w:val="center"/>
              <w:rPr>
                <w:color w:val="000000"/>
                <w:szCs w:val="21"/>
              </w:rPr>
            </w:pPr>
            <w:r>
              <w:rPr>
                <w:color w:val="000000"/>
                <w:szCs w:val="21"/>
              </w:rPr>
              <w:t>盖泻湖沼气池进、出口</w:t>
            </w:r>
          </w:p>
        </w:tc>
        <w:tc>
          <w:tcPr>
            <w:tcW w:w="851" w:type="dxa"/>
            <w:vAlign w:val="center"/>
          </w:tcPr>
          <w:p>
            <w:pPr>
              <w:topLinePunct/>
              <w:spacing w:line="320" w:lineRule="exact"/>
              <w:jc w:val="center"/>
              <w:rPr>
                <w:color w:val="000000"/>
                <w:szCs w:val="21"/>
              </w:rPr>
            </w:pPr>
            <w:r>
              <w:rPr>
                <w:color w:val="000000"/>
                <w:szCs w:val="21"/>
              </w:rPr>
              <w:t>进水</w:t>
            </w:r>
          </w:p>
        </w:tc>
        <w:tc>
          <w:tcPr>
            <w:tcW w:w="1134" w:type="dxa"/>
            <w:vAlign w:val="center"/>
          </w:tcPr>
          <w:p>
            <w:pPr>
              <w:topLinePunct/>
              <w:spacing w:line="320" w:lineRule="exact"/>
              <w:jc w:val="center"/>
              <w:rPr>
                <w:color w:val="000000"/>
                <w:szCs w:val="21"/>
              </w:rPr>
            </w:pPr>
            <w:r>
              <w:rPr>
                <w:color w:val="000000"/>
                <w:szCs w:val="21"/>
              </w:rPr>
              <w:t>15000</w:t>
            </w:r>
          </w:p>
        </w:tc>
        <w:tc>
          <w:tcPr>
            <w:tcW w:w="850" w:type="dxa"/>
            <w:vAlign w:val="center"/>
          </w:tcPr>
          <w:p>
            <w:pPr>
              <w:topLinePunct/>
              <w:spacing w:line="320" w:lineRule="exact"/>
              <w:jc w:val="center"/>
              <w:rPr>
                <w:color w:val="000000"/>
                <w:szCs w:val="21"/>
              </w:rPr>
            </w:pPr>
            <w:r>
              <w:rPr>
                <w:color w:val="000000"/>
                <w:szCs w:val="21"/>
              </w:rPr>
              <w:t>8000</w:t>
            </w:r>
          </w:p>
        </w:tc>
        <w:tc>
          <w:tcPr>
            <w:tcW w:w="993" w:type="dxa"/>
            <w:vAlign w:val="center"/>
          </w:tcPr>
          <w:p>
            <w:pPr>
              <w:topLinePunct/>
              <w:spacing w:line="320" w:lineRule="exact"/>
              <w:jc w:val="center"/>
              <w:rPr>
                <w:color w:val="000000"/>
                <w:szCs w:val="21"/>
              </w:rPr>
            </w:pPr>
            <w:r>
              <w:rPr>
                <w:color w:val="000000"/>
                <w:szCs w:val="21"/>
              </w:rPr>
              <w:t>1200</w:t>
            </w:r>
          </w:p>
        </w:tc>
        <w:tc>
          <w:tcPr>
            <w:tcW w:w="1134" w:type="dxa"/>
            <w:tcBorders>
              <w:right w:val="single" w:color="auto" w:sz="4" w:space="0"/>
            </w:tcBorders>
            <w:vAlign w:val="center"/>
          </w:tcPr>
          <w:p>
            <w:pPr>
              <w:topLinePunct/>
              <w:spacing w:line="320" w:lineRule="exact"/>
              <w:jc w:val="center"/>
              <w:rPr>
                <w:color w:val="000000"/>
                <w:szCs w:val="21"/>
              </w:rPr>
            </w:pPr>
            <w:r>
              <w:rPr>
                <w:color w:val="000000"/>
                <w:szCs w:val="21"/>
              </w:rPr>
              <w:t>16000</w:t>
            </w:r>
          </w:p>
        </w:tc>
        <w:tc>
          <w:tcPr>
            <w:tcW w:w="1275" w:type="dxa"/>
            <w:vMerge w:val="restart"/>
            <w:tcBorders>
              <w:left w:val="single" w:color="auto" w:sz="4" w:space="0"/>
              <w:right w:val="single" w:color="auto" w:sz="4" w:space="0"/>
            </w:tcBorders>
            <w:vAlign w:val="center"/>
          </w:tcPr>
          <w:p>
            <w:pPr>
              <w:jc w:val="center"/>
              <w:rPr>
                <w:color w:val="000000"/>
                <w:szCs w:val="21"/>
              </w:rPr>
            </w:pPr>
            <w:r>
              <w:rPr>
                <w:color w:val="000000"/>
                <w:szCs w:val="21"/>
              </w:rPr>
              <w:t>红棕色，腐化程度较高，沼液异味小</w:t>
            </w:r>
          </w:p>
        </w:tc>
        <w:tc>
          <w:tcPr>
            <w:tcW w:w="900" w:type="dxa"/>
            <w:vMerge w:val="restart"/>
            <w:tcBorders>
              <w:left w:val="single" w:color="auto" w:sz="4" w:space="0"/>
            </w:tcBorders>
            <w:vAlign w:val="center"/>
          </w:tcPr>
          <w:p>
            <w:pPr>
              <w:jc w:val="center"/>
              <w:rPr>
                <w:color w:val="000000"/>
                <w:kern w:val="0"/>
                <w:szCs w:val="21"/>
              </w:rPr>
            </w:pPr>
            <w:r>
              <w:rPr>
                <w:color w:val="000000"/>
                <w:kern w:val="0"/>
                <w:szCs w:val="21"/>
              </w:rPr>
              <w:t>35天</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809" w:type="dxa"/>
            <w:vMerge w:val="continue"/>
            <w:vAlign w:val="center"/>
          </w:tcPr>
          <w:p>
            <w:pPr>
              <w:jc w:val="center"/>
              <w:rPr>
                <w:color w:val="000000"/>
                <w:szCs w:val="21"/>
              </w:rPr>
            </w:pPr>
          </w:p>
        </w:tc>
        <w:tc>
          <w:tcPr>
            <w:tcW w:w="851" w:type="dxa"/>
            <w:vAlign w:val="center"/>
          </w:tcPr>
          <w:p>
            <w:pPr>
              <w:topLinePunct/>
              <w:spacing w:line="320" w:lineRule="exact"/>
              <w:jc w:val="center"/>
              <w:rPr>
                <w:color w:val="000000"/>
                <w:szCs w:val="21"/>
              </w:rPr>
            </w:pPr>
            <w:r>
              <w:rPr>
                <w:color w:val="000000"/>
                <w:szCs w:val="21"/>
              </w:rPr>
              <w:t>去除率</w:t>
            </w:r>
          </w:p>
        </w:tc>
        <w:tc>
          <w:tcPr>
            <w:tcW w:w="1134" w:type="dxa"/>
            <w:vAlign w:val="center"/>
          </w:tcPr>
          <w:p>
            <w:pPr>
              <w:topLinePunct/>
              <w:spacing w:line="320" w:lineRule="exact"/>
              <w:jc w:val="center"/>
              <w:rPr>
                <w:color w:val="000000"/>
                <w:szCs w:val="21"/>
              </w:rPr>
            </w:pPr>
            <w:r>
              <w:rPr>
                <w:color w:val="000000"/>
                <w:szCs w:val="21"/>
              </w:rPr>
              <w:t>80%</w:t>
            </w:r>
          </w:p>
        </w:tc>
        <w:tc>
          <w:tcPr>
            <w:tcW w:w="850" w:type="dxa"/>
            <w:vAlign w:val="center"/>
          </w:tcPr>
          <w:p>
            <w:pPr>
              <w:topLinePunct/>
              <w:spacing w:line="320" w:lineRule="exact"/>
              <w:jc w:val="center"/>
              <w:rPr>
                <w:color w:val="000000"/>
                <w:szCs w:val="21"/>
              </w:rPr>
            </w:pPr>
            <w:r>
              <w:rPr>
                <w:color w:val="000000"/>
                <w:szCs w:val="21"/>
              </w:rPr>
              <w:t>82.5%</w:t>
            </w:r>
          </w:p>
        </w:tc>
        <w:tc>
          <w:tcPr>
            <w:tcW w:w="993" w:type="dxa"/>
            <w:vAlign w:val="center"/>
          </w:tcPr>
          <w:p>
            <w:pPr>
              <w:topLinePunct/>
              <w:spacing w:line="320" w:lineRule="exact"/>
              <w:jc w:val="center"/>
              <w:rPr>
                <w:color w:val="000000"/>
                <w:szCs w:val="21"/>
              </w:rPr>
            </w:pPr>
            <w:r>
              <w:rPr>
                <w:color w:val="000000"/>
                <w:szCs w:val="21"/>
              </w:rPr>
              <w:t>25%</w:t>
            </w:r>
          </w:p>
        </w:tc>
        <w:tc>
          <w:tcPr>
            <w:tcW w:w="1134" w:type="dxa"/>
            <w:tcBorders>
              <w:right w:val="single" w:color="auto" w:sz="4" w:space="0"/>
            </w:tcBorders>
            <w:vAlign w:val="center"/>
          </w:tcPr>
          <w:p>
            <w:pPr>
              <w:topLinePunct/>
              <w:spacing w:line="320" w:lineRule="exact"/>
              <w:jc w:val="center"/>
              <w:rPr>
                <w:color w:val="000000"/>
                <w:szCs w:val="21"/>
              </w:rPr>
            </w:pPr>
            <w:r>
              <w:rPr>
                <w:color w:val="000000"/>
                <w:szCs w:val="21"/>
              </w:rPr>
              <w:t>87.5%</w:t>
            </w:r>
          </w:p>
        </w:tc>
        <w:tc>
          <w:tcPr>
            <w:tcW w:w="1275" w:type="dxa"/>
            <w:vMerge w:val="continue"/>
            <w:tcBorders>
              <w:left w:val="single" w:color="auto" w:sz="4" w:space="0"/>
              <w:right w:val="single" w:color="auto" w:sz="4" w:space="0"/>
            </w:tcBorders>
            <w:vAlign w:val="center"/>
          </w:tcPr>
          <w:p>
            <w:pPr>
              <w:jc w:val="center"/>
              <w:rPr>
                <w:color w:val="000000"/>
                <w:kern w:val="0"/>
                <w:szCs w:val="21"/>
              </w:rPr>
            </w:pPr>
          </w:p>
        </w:tc>
        <w:tc>
          <w:tcPr>
            <w:tcW w:w="900" w:type="dxa"/>
            <w:vMerge w:val="continue"/>
            <w:tcBorders>
              <w:left w:val="single" w:color="auto" w:sz="4" w:space="0"/>
            </w:tcBorders>
            <w:vAlign w:val="center"/>
          </w:tcPr>
          <w:p>
            <w:pPr>
              <w:jc w:val="center"/>
              <w:rPr>
                <w:color w:val="000000"/>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809" w:type="dxa"/>
            <w:vMerge w:val="continue"/>
            <w:vAlign w:val="center"/>
          </w:tcPr>
          <w:p>
            <w:pPr>
              <w:jc w:val="center"/>
              <w:rPr>
                <w:color w:val="000000"/>
                <w:szCs w:val="21"/>
              </w:rPr>
            </w:pPr>
          </w:p>
        </w:tc>
        <w:tc>
          <w:tcPr>
            <w:tcW w:w="851" w:type="dxa"/>
            <w:vAlign w:val="center"/>
          </w:tcPr>
          <w:p>
            <w:pPr>
              <w:topLinePunct/>
              <w:spacing w:line="320" w:lineRule="exact"/>
              <w:jc w:val="center"/>
              <w:rPr>
                <w:color w:val="000000"/>
                <w:szCs w:val="21"/>
              </w:rPr>
            </w:pPr>
            <w:r>
              <w:rPr>
                <w:color w:val="000000"/>
                <w:szCs w:val="21"/>
              </w:rPr>
              <w:t>出水</w:t>
            </w:r>
          </w:p>
        </w:tc>
        <w:tc>
          <w:tcPr>
            <w:tcW w:w="1134" w:type="dxa"/>
            <w:vAlign w:val="center"/>
          </w:tcPr>
          <w:p>
            <w:pPr>
              <w:topLinePunct/>
              <w:spacing w:line="320" w:lineRule="exact"/>
              <w:jc w:val="center"/>
              <w:rPr>
                <w:color w:val="000000"/>
                <w:szCs w:val="21"/>
              </w:rPr>
            </w:pPr>
            <w:r>
              <w:rPr>
                <w:color w:val="000000"/>
                <w:szCs w:val="21"/>
              </w:rPr>
              <w:t>3000</w:t>
            </w:r>
          </w:p>
        </w:tc>
        <w:tc>
          <w:tcPr>
            <w:tcW w:w="850" w:type="dxa"/>
            <w:vAlign w:val="center"/>
          </w:tcPr>
          <w:p>
            <w:pPr>
              <w:topLinePunct/>
              <w:spacing w:line="320" w:lineRule="exact"/>
              <w:jc w:val="center"/>
              <w:rPr>
                <w:color w:val="000000"/>
                <w:szCs w:val="21"/>
              </w:rPr>
            </w:pPr>
            <w:r>
              <w:rPr>
                <w:color w:val="000000"/>
                <w:szCs w:val="21"/>
              </w:rPr>
              <w:t>1400</w:t>
            </w:r>
          </w:p>
        </w:tc>
        <w:tc>
          <w:tcPr>
            <w:tcW w:w="993" w:type="dxa"/>
            <w:vAlign w:val="center"/>
          </w:tcPr>
          <w:p>
            <w:pPr>
              <w:topLinePunct/>
              <w:spacing w:line="320" w:lineRule="exact"/>
              <w:jc w:val="center"/>
              <w:rPr>
                <w:color w:val="000000"/>
                <w:szCs w:val="21"/>
              </w:rPr>
            </w:pPr>
            <w:r>
              <w:rPr>
                <w:color w:val="000000"/>
                <w:szCs w:val="21"/>
              </w:rPr>
              <w:t>900</w:t>
            </w:r>
          </w:p>
        </w:tc>
        <w:tc>
          <w:tcPr>
            <w:tcW w:w="1134" w:type="dxa"/>
            <w:tcBorders>
              <w:right w:val="single" w:color="auto" w:sz="4" w:space="0"/>
            </w:tcBorders>
            <w:vAlign w:val="center"/>
          </w:tcPr>
          <w:p>
            <w:pPr>
              <w:topLinePunct/>
              <w:spacing w:line="320" w:lineRule="exact"/>
              <w:jc w:val="center"/>
              <w:rPr>
                <w:color w:val="000000"/>
                <w:szCs w:val="21"/>
              </w:rPr>
            </w:pPr>
            <w:r>
              <w:rPr>
                <w:color w:val="000000"/>
                <w:szCs w:val="21"/>
              </w:rPr>
              <w:t>2000</w:t>
            </w:r>
          </w:p>
        </w:tc>
        <w:tc>
          <w:tcPr>
            <w:tcW w:w="1275" w:type="dxa"/>
            <w:vMerge w:val="continue"/>
            <w:tcBorders>
              <w:left w:val="single" w:color="auto" w:sz="4" w:space="0"/>
              <w:right w:val="single" w:color="auto" w:sz="4" w:space="0"/>
            </w:tcBorders>
            <w:vAlign w:val="center"/>
          </w:tcPr>
          <w:p>
            <w:pPr>
              <w:jc w:val="center"/>
              <w:rPr>
                <w:color w:val="000000"/>
                <w:kern w:val="0"/>
                <w:szCs w:val="21"/>
              </w:rPr>
            </w:pPr>
          </w:p>
        </w:tc>
        <w:tc>
          <w:tcPr>
            <w:tcW w:w="900" w:type="dxa"/>
            <w:vMerge w:val="continue"/>
            <w:tcBorders>
              <w:left w:val="single" w:color="auto" w:sz="4" w:space="0"/>
            </w:tcBorders>
            <w:vAlign w:val="center"/>
          </w:tcPr>
          <w:p>
            <w:pPr>
              <w:jc w:val="center"/>
              <w:rPr>
                <w:color w:val="000000"/>
                <w:kern w:val="0"/>
                <w:szCs w:val="21"/>
              </w:rPr>
            </w:pPr>
          </w:p>
        </w:tc>
      </w:tr>
    </w:tbl>
    <w:p>
      <w:pPr>
        <w:tabs>
          <w:tab w:val="right" w:leader="dot" w:pos="8647"/>
        </w:tabs>
        <w:adjustRightInd w:val="0"/>
        <w:snapToGrid w:val="0"/>
        <w:spacing w:line="500" w:lineRule="exact"/>
        <w:ind w:firstLine="480" w:firstLineChars="200"/>
        <w:rPr>
          <w:color w:val="000000"/>
          <w:sz w:val="24"/>
        </w:rPr>
      </w:pPr>
      <w:r>
        <w:rPr>
          <w:color w:val="000000"/>
          <w:sz w:val="24"/>
        </w:rPr>
        <w:t>由上可知，UASB厌氧发酵工艺主要污染物处理效率分别为COD 60%、BOD</w:t>
      </w:r>
      <w:r>
        <w:rPr>
          <w:color w:val="000000"/>
          <w:sz w:val="24"/>
          <w:vertAlign w:val="subscript"/>
        </w:rPr>
        <w:t>5</w:t>
      </w:r>
      <w:r>
        <w:rPr>
          <w:color w:val="000000"/>
          <w:sz w:val="24"/>
        </w:rPr>
        <w:t>75%、SS65%、氨氮10%，水力停留时间为3天，出水呈棕色，腐化程度较低，沼液异味大；盖泻湖沼气池厌氧发酵工艺主要污染物处理效率分别为COD 80%、BOD</w:t>
      </w:r>
      <w:r>
        <w:rPr>
          <w:color w:val="000000"/>
          <w:sz w:val="24"/>
          <w:vertAlign w:val="subscript"/>
        </w:rPr>
        <w:t>5</w:t>
      </w:r>
      <w:r>
        <w:rPr>
          <w:color w:val="000000"/>
          <w:sz w:val="24"/>
        </w:rPr>
        <w:t xml:space="preserve"> 82.5%、SS 87.5%、氨氮25%，设计水力停留时间为35天，出水呈红棕色，腐化程度较高，沼液异味小。</w:t>
      </w:r>
    </w:p>
    <w:p>
      <w:pPr>
        <w:tabs>
          <w:tab w:val="right" w:leader="dot" w:pos="8647"/>
        </w:tabs>
        <w:adjustRightInd w:val="0"/>
        <w:snapToGrid w:val="0"/>
        <w:spacing w:line="500" w:lineRule="exact"/>
        <w:ind w:firstLine="480" w:firstLineChars="200"/>
        <w:rPr>
          <w:color w:val="000000"/>
          <w:sz w:val="24"/>
        </w:rPr>
      </w:pPr>
      <w:r>
        <w:rPr>
          <w:color w:val="000000"/>
          <w:sz w:val="24"/>
        </w:rPr>
        <w:t>经比较，因为采用环保部认定的干清粪工艺后，养殖废水中COD、氨氮、悬浮物浓度较大，宜采用污染物处理效率较高，对进水悬浮物浓度无要求的盖泻湖沼气池厌氧发酵工艺污染物处理；且项目拟选场址位于农村地区，周边有大量农田可供沼液综合利用。因此本项目选用盖泻湖沼气池处理场内养殖及生活废水，该处理模式符合《省环保厅、省农业厅、省农业农村局关于印发畜禽养殖业污染源总量减排技术指导意见（试行）的通知》（豫环文【2012】99号）猪场污染减排模式2：养猪场采用干清粪方式，建设治污设施，粪便生产有机肥基料，污水/尿液经处理后还田，无污水排放口进行外排，有与养殖规模相适应的消纳土地，且治污设施满足养殖场规模需求。保证COD、氨氮100%总量减排。</w:t>
      </w:r>
    </w:p>
    <w:p>
      <w:pPr>
        <w:tabs>
          <w:tab w:val="right" w:leader="dot" w:pos="8647"/>
        </w:tabs>
        <w:adjustRightInd w:val="0"/>
        <w:snapToGrid w:val="0"/>
        <w:spacing w:line="500" w:lineRule="exact"/>
        <w:ind w:firstLine="480" w:firstLineChars="200"/>
        <w:rPr>
          <w:color w:val="000000"/>
          <w:sz w:val="24"/>
        </w:rPr>
      </w:pPr>
      <w:r>
        <w:rPr>
          <w:color w:val="000000"/>
          <w:sz w:val="24"/>
        </w:rPr>
        <w:t>本项目盖泻湖沼气池设计水力停留时间为30天，能够在保证废水处理效果。废水进厌氧发酵塘前经过收集池均匀水质水量，再经过固液分离机处理，能够减少废水中的粪便固形物，做到沼液的保氮保肥，最大限度的发挥盖泻湖沼气池除臭杀菌的作用。经过厌氧发酵处理后产生的沼液属于高浓度有机废水，该废水具有有机物浓度高、可生化性好、易降解的特点，是较为理想的农田肥料。</w:t>
      </w:r>
    </w:p>
    <w:p>
      <w:pPr>
        <w:tabs>
          <w:tab w:val="left" w:pos="5625"/>
        </w:tabs>
        <w:topLinePunct/>
        <w:adjustRightInd w:val="0"/>
        <w:snapToGrid w:val="0"/>
        <w:spacing w:line="520" w:lineRule="exact"/>
        <w:rPr>
          <w:color w:val="000000"/>
          <w:sz w:val="24"/>
        </w:rPr>
      </w:pPr>
      <w:r>
        <w:rPr>
          <w:color w:val="000000"/>
          <w:sz w:val="24"/>
        </w:rPr>
        <w:t>5.2.1.3本项目废水治理工艺</w:t>
      </w:r>
    </w:p>
    <w:p>
      <w:pPr>
        <w:topLinePunct/>
        <w:adjustRightInd w:val="0"/>
        <w:snapToGrid w:val="0"/>
        <w:spacing w:line="500" w:lineRule="exact"/>
        <w:ind w:firstLine="480" w:firstLineChars="200"/>
        <w:rPr>
          <w:color w:val="000000"/>
          <w:sz w:val="24"/>
        </w:rPr>
      </w:pPr>
      <w:r>
        <w:rPr>
          <w:color w:val="000000"/>
          <w:sz w:val="24"/>
        </w:rPr>
        <w:t>项目生猪饲养猪舍采用漏缝地板饲养，粪尿一经产生便依靠重力经过漏缝地板离开猪舍，在猪舍下部贮存池暂存后由密闭管道输送至治污区处理。采用“盖泄湖沼气池+沼气、沼液、沼渣综合利用”的处理工艺。</w:t>
      </w:r>
    </w:p>
    <w:p>
      <w:pPr>
        <w:topLinePunct/>
        <w:adjustRightInd w:val="0"/>
        <w:snapToGrid w:val="0"/>
        <w:spacing w:line="500" w:lineRule="exact"/>
        <w:rPr>
          <w:color w:val="000000"/>
          <w:sz w:val="24"/>
        </w:rPr>
      </w:pPr>
      <w:r>
        <w:rPr>
          <w:rFonts w:hint="eastAsia" w:ascii="宋体" w:hAnsi="宋体" w:cs="宋体"/>
          <w:color w:val="000000"/>
          <w:sz w:val="24"/>
        </w:rPr>
        <w:t>①</w:t>
      </w:r>
      <w:r>
        <w:rPr>
          <w:color w:val="000000"/>
          <w:sz w:val="24"/>
        </w:rPr>
        <w:t>工程废水处理工艺：</w:t>
      </w:r>
    </w:p>
    <w:p>
      <w:pPr>
        <w:topLinePunct/>
        <w:adjustRightInd w:val="0"/>
        <w:snapToGrid w:val="0"/>
        <w:spacing w:line="500" w:lineRule="exact"/>
        <w:ind w:firstLine="480" w:firstLineChars="200"/>
        <w:rPr>
          <w:bCs/>
          <w:color w:val="000000"/>
          <w:sz w:val="24"/>
        </w:rPr>
      </w:pPr>
      <w:r>
        <w:rPr>
          <w:bCs/>
          <w:color w:val="000000"/>
          <w:sz w:val="24"/>
        </w:rPr>
        <w:t>本工程污染治理详细工艺描述如下：</w:t>
      </w:r>
    </w:p>
    <w:p>
      <w:pPr>
        <w:topLinePunct/>
        <w:spacing w:line="500" w:lineRule="exact"/>
        <w:ind w:firstLine="480" w:firstLineChars="200"/>
        <w:rPr>
          <w:bCs/>
          <w:color w:val="000000"/>
          <w:sz w:val="24"/>
        </w:rPr>
      </w:pPr>
      <w:r>
        <w:rPr>
          <w:bCs/>
          <w:color w:val="000000"/>
          <w:sz w:val="24"/>
        </w:rPr>
        <w:t>收集池、固液分离机：主要目的是为减轻后续工艺负荷，减少投资，通过物理方法去除杂质，实现减量化，均衡水质、水量。</w:t>
      </w:r>
    </w:p>
    <w:p>
      <w:pPr>
        <w:topLinePunct/>
        <w:spacing w:line="500" w:lineRule="exact"/>
        <w:ind w:firstLine="480" w:firstLineChars="200"/>
        <w:rPr>
          <w:color w:val="000000"/>
          <w:sz w:val="24"/>
        </w:rPr>
      </w:pPr>
      <w:r>
        <w:rPr>
          <w:bCs/>
          <w:color w:val="000000"/>
          <w:sz w:val="24"/>
        </w:rPr>
        <w:t>盖泻湖沼气池：本项目废水经固液分离、调节后经进入盖泻湖沼气池，经30天厌氧发酵去除大部分有机物，沼液排入沼液储存池暂存，沼渣经底部设置排沼渣管道排出。</w:t>
      </w:r>
      <w:r>
        <w:rPr>
          <w:color w:val="000000"/>
          <w:sz w:val="24"/>
        </w:rPr>
        <w:t>沼液储存池：项目设1个沼液储存池，沼液部分回用冲洗猪舍，其余作为肥料定期给附近农田施肥。</w:t>
      </w:r>
    </w:p>
    <w:p>
      <w:pPr>
        <w:topLinePunct/>
        <w:adjustRightInd w:val="0"/>
        <w:snapToGrid w:val="0"/>
        <w:spacing w:line="520" w:lineRule="exact"/>
        <w:ind w:firstLine="480" w:firstLineChars="200"/>
        <w:rPr>
          <w:color w:val="000000"/>
          <w:sz w:val="24"/>
        </w:rPr>
      </w:pPr>
      <w:r>
        <w:rPr>
          <w:color w:val="000000"/>
          <w:sz w:val="24"/>
        </w:rPr>
        <w:t>项目污染处理及综合利用工艺见图5-1。</w:t>
      </w:r>
    </w:p>
    <w:p>
      <w:pPr>
        <w:topLinePunct/>
        <w:adjustRightInd w:val="0"/>
        <w:snapToGrid w:val="0"/>
        <w:spacing w:line="520" w:lineRule="exact"/>
        <w:ind w:firstLine="480" w:firstLineChars="200"/>
        <w:rPr>
          <w:b/>
          <w:color w:val="000000"/>
          <w:sz w:val="24"/>
          <w:u w:val="single"/>
        </w:rPr>
      </w:pPr>
      <w:r>
        <w:rPr>
          <w:rFonts w:hint="eastAsia" w:eastAsia="宋体"/>
          <w:b/>
          <w:sz w:val="24"/>
          <w:szCs w:val="24"/>
          <w:lang w:eastAsia="zh-CN"/>
        </w:rPr>
        <w:drawing>
          <wp:anchor distT="0" distB="0" distL="114300" distR="114300" simplePos="0" relativeHeight="255468544" behindDoc="0" locked="0" layoutInCell="1" allowOverlap="1">
            <wp:simplePos x="0" y="0"/>
            <wp:positionH relativeFrom="column">
              <wp:posOffset>231140</wp:posOffset>
            </wp:positionH>
            <wp:positionV relativeFrom="paragraph">
              <wp:posOffset>118745</wp:posOffset>
            </wp:positionV>
            <wp:extent cx="4678680" cy="4220845"/>
            <wp:effectExtent l="0" t="0" r="7620" b="8255"/>
            <wp:wrapNone/>
            <wp:docPr id="36" name="图片 2411" descr="1578279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11" descr="1578279001(1)"/>
                    <pic:cNvPicPr>
                      <a:picLocks noChangeAspect="1"/>
                    </pic:cNvPicPr>
                  </pic:nvPicPr>
                  <pic:blipFill>
                    <a:blip r:embed="rId12"/>
                    <a:stretch>
                      <a:fillRect/>
                    </a:stretch>
                  </pic:blipFill>
                  <pic:spPr>
                    <a:xfrm>
                      <a:off x="0" y="0"/>
                      <a:ext cx="4678680" cy="4220845"/>
                    </a:xfrm>
                    <a:prstGeom prst="rect">
                      <a:avLst/>
                    </a:prstGeom>
                    <a:noFill/>
                    <a:ln>
                      <a:noFill/>
                    </a:ln>
                  </pic:spPr>
                </pic:pic>
              </a:graphicData>
            </a:graphic>
          </wp:anchor>
        </w:drawing>
      </w: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pStyle w:val="2"/>
        <w:rPr>
          <w:b/>
          <w:color w:val="000000"/>
          <w:sz w:val="24"/>
          <w:u w:val="single"/>
        </w:rPr>
      </w:pPr>
    </w:p>
    <w:p>
      <w:pPr>
        <w:topLinePunct/>
        <w:adjustRightInd w:val="0"/>
        <w:snapToGrid w:val="0"/>
        <w:spacing w:line="520" w:lineRule="exact"/>
        <w:rPr>
          <w:b/>
          <w:color w:val="000000"/>
          <w:sz w:val="24"/>
          <w:u w:val="single"/>
        </w:rPr>
      </w:pPr>
      <w:r>
        <w:rPr>
          <w:b/>
          <w:color w:val="000000"/>
        </w:rPr>
        <w:pict>
          <v:shape id="_x0000_s3736" o:spid="_x0000_s3736" o:spt="202" type="#_x0000_t202" style="position:absolute;left:0pt;margin-left:88.85pt;margin-top:5.9pt;height:22.8pt;width:284.95pt;z-index:251691008;mso-width-relative:margin;mso-height-relative:margin;mso-height-percent:200;" stroked="f" coordsize="21600,21600">
            <v:path/>
            <v:fill focussize="0,0"/>
            <v:stroke on="f" joinstyle="miter"/>
            <v:imagedata o:title=""/>
            <o:lock v:ext="edit"/>
            <v:textbox style="mso-fit-shape-to-text:t;">
              <w:txbxContent>
                <w:p>
                  <w:r>
                    <w:rPr>
                      <w:rFonts w:hint="eastAsia"/>
                      <w:b/>
                      <w:color w:val="000000"/>
                      <w:sz w:val="24"/>
                    </w:rPr>
                    <w:t xml:space="preserve">图 5-1    </w:t>
                  </w:r>
                  <w:r>
                    <w:rPr>
                      <w:b/>
                      <w:color w:val="000000"/>
                      <w:sz w:val="24"/>
                    </w:rPr>
                    <w:t>项目污染处理及综合利用工艺</w:t>
                  </w:r>
                  <w:r>
                    <w:rPr>
                      <w:rFonts w:hint="eastAsia"/>
                      <w:b/>
                      <w:color w:val="000000"/>
                      <w:sz w:val="24"/>
                    </w:rPr>
                    <w:t>流程</w:t>
                  </w:r>
                </w:p>
              </w:txbxContent>
            </v:textbox>
          </v:shape>
        </w:pict>
      </w:r>
    </w:p>
    <w:p>
      <w:pPr>
        <w:topLinePunct/>
        <w:adjustRightInd w:val="0"/>
        <w:snapToGrid w:val="0"/>
        <w:spacing w:line="520" w:lineRule="exact"/>
        <w:ind w:firstLine="480" w:firstLineChars="200"/>
        <w:rPr>
          <w:bCs/>
          <w:color w:val="000000"/>
          <w:sz w:val="24"/>
        </w:rPr>
      </w:pPr>
      <w:r>
        <w:rPr>
          <w:bCs/>
          <w:color w:val="000000"/>
          <w:sz w:val="24"/>
        </w:rPr>
        <w:fldChar w:fldCharType="begin"/>
      </w:r>
      <w:r>
        <w:rPr>
          <w:bCs/>
          <w:color w:val="000000"/>
          <w:sz w:val="24"/>
        </w:rPr>
        <w:instrText xml:space="preserve">= 2 \* GB3</w:instrText>
      </w:r>
      <w:r>
        <w:rPr>
          <w:bCs/>
          <w:color w:val="000000"/>
          <w:sz w:val="24"/>
        </w:rPr>
        <w:fldChar w:fldCharType="separate"/>
      </w:r>
      <w:r>
        <w:rPr>
          <w:rFonts w:hint="eastAsia" w:ascii="宋体" w:hAnsi="宋体" w:cs="宋体"/>
          <w:bCs/>
          <w:color w:val="000000"/>
          <w:sz w:val="24"/>
        </w:rPr>
        <w:t>②</w:t>
      </w:r>
      <w:r>
        <w:rPr>
          <w:bCs/>
          <w:color w:val="000000"/>
          <w:sz w:val="24"/>
        </w:rPr>
        <w:fldChar w:fldCharType="end"/>
      </w:r>
      <w:r>
        <w:rPr>
          <w:bCs/>
          <w:color w:val="000000"/>
          <w:sz w:val="24"/>
        </w:rPr>
        <w:t>水处理规模</w:t>
      </w:r>
    </w:p>
    <w:p>
      <w:pPr>
        <w:topLinePunct/>
        <w:spacing w:line="500" w:lineRule="exact"/>
        <w:ind w:firstLine="480" w:firstLineChars="200"/>
        <w:rPr>
          <w:bCs/>
          <w:color w:val="000000"/>
          <w:sz w:val="24"/>
        </w:rPr>
      </w:pPr>
      <w:r>
        <w:rPr>
          <w:bCs/>
          <w:color w:val="000000"/>
          <w:sz w:val="24"/>
        </w:rPr>
        <w:t>本项目夏季废水产生量为</w:t>
      </w:r>
      <w:r>
        <w:rPr>
          <w:rFonts w:hint="eastAsia"/>
          <w:bCs/>
          <w:sz w:val="24"/>
        </w:rPr>
        <w:t>255.17</w:t>
      </w:r>
      <w:r>
        <w:rPr>
          <w:bCs/>
          <w:color w:val="000000"/>
          <w:sz w:val="24"/>
        </w:rPr>
        <w:t>m</w:t>
      </w:r>
      <w:r>
        <w:rPr>
          <w:bCs/>
          <w:color w:val="000000"/>
          <w:sz w:val="24"/>
          <w:vertAlign w:val="superscript"/>
        </w:rPr>
        <w:t>3</w:t>
      </w:r>
      <w:r>
        <w:rPr>
          <w:bCs/>
          <w:color w:val="000000"/>
          <w:sz w:val="24"/>
        </w:rPr>
        <w:t>/d，盖泄湖沼气池的设计容积为10243m</w:t>
      </w:r>
      <w:r>
        <w:rPr>
          <w:bCs/>
          <w:color w:val="000000"/>
          <w:sz w:val="24"/>
          <w:vertAlign w:val="superscript"/>
        </w:rPr>
        <w:t>3</w:t>
      </w:r>
      <w:r>
        <w:rPr>
          <w:bCs/>
          <w:color w:val="000000"/>
          <w:sz w:val="24"/>
        </w:rPr>
        <w:t>，发酵温度为常温，水力停留时间为30天。盖泄湖沼气池为全封闭结构。满足工艺要求，盖泄湖沼气池设施可正常运行。</w:t>
      </w:r>
    </w:p>
    <w:p>
      <w:pPr>
        <w:topLinePunct/>
        <w:adjustRightInd w:val="0"/>
        <w:snapToGrid w:val="0"/>
        <w:spacing w:line="520" w:lineRule="exact"/>
        <w:ind w:firstLine="480" w:firstLineChars="200"/>
        <w:rPr>
          <w:bCs/>
          <w:color w:val="000000"/>
          <w:sz w:val="24"/>
        </w:rPr>
      </w:pPr>
      <w:r>
        <w:rPr>
          <w:bCs/>
          <w:color w:val="000000"/>
          <w:sz w:val="24"/>
        </w:rPr>
        <w:fldChar w:fldCharType="begin"/>
      </w:r>
      <w:r>
        <w:rPr>
          <w:bCs/>
          <w:color w:val="000000"/>
          <w:sz w:val="24"/>
        </w:rPr>
        <w:instrText xml:space="preserve">= 3 \* GB3</w:instrText>
      </w:r>
      <w:r>
        <w:rPr>
          <w:bCs/>
          <w:color w:val="000000"/>
          <w:sz w:val="24"/>
        </w:rPr>
        <w:fldChar w:fldCharType="separate"/>
      </w:r>
      <w:r>
        <w:rPr>
          <w:rFonts w:hint="eastAsia" w:ascii="宋体" w:hAnsi="宋体" w:cs="宋体"/>
          <w:bCs/>
          <w:color w:val="000000"/>
          <w:sz w:val="24"/>
        </w:rPr>
        <w:t>③</w:t>
      </w:r>
      <w:r>
        <w:rPr>
          <w:bCs/>
          <w:color w:val="000000"/>
          <w:sz w:val="24"/>
        </w:rPr>
        <w:fldChar w:fldCharType="end"/>
      </w:r>
      <w:r>
        <w:rPr>
          <w:bCs/>
          <w:color w:val="000000"/>
          <w:sz w:val="24"/>
        </w:rPr>
        <w:t>沼液储存池</w:t>
      </w:r>
    </w:p>
    <w:p>
      <w:pPr>
        <w:topLinePunct/>
        <w:spacing w:line="500" w:lineRule="exact"/>
        <w:ind w:firstLine="480" w:firstLineChars="200"/>
        <w:rPr>
          <w:b/>
          <w:bCs w:val="0"/>
          <w:color w:val="000000"/>
          <w:sz w:val="24"/>
          <w:u w:val="single"/>
        </w:rPr>
      </w:pPr>
      <w:r>
        <w:rPr>
          <w:b/>
          <w:bCs w:val="0"/>
          <w:color w:val="000000"/>
          <w:sz w:val="24"/>
          <w:u w:val="single"/>
        </w:rPr>
        <w:t>沼液储存池的容积：沼液储存池的容积根据《畜禽养殖污水贮存设施设计要求》（GB/T26624-2011）确定的，总容积应为养殖污水量、降雨量和预留体积之和。结合相关法规、牧原养殖场产污水实际及当地农业施肥实际要求，项目实际沼液储存池设计为能够容纳166天以上的沼液量。根据《畜禽养殖污水贮存设施设计要求》（GB/T26624-2011）中要求，宜预留0.9m高的空间，预留体积按照设施的实际长和宽以及预留高度进行计算，并且池体高度或深度不能超过6m。根据牧原公司设计资料，工程设一个沼液储存池，沼液储存池占地面积</w:t>
      </w:r>
      <w:r>
        <w:rPr>
          <w:rFonts w:hint="eastAsia"/>
          <w:b/>
          <w:bCs w:val="0"/>
          <w:color w:val="000000"/>
          <w:sz w:val="24"/>
          <w:u w:val="single"/>
        </w:rPr>
        <w:t>11640</w:t>
      </w:r>
      <w:r>
        <w:rPr>
          <w:b/>
          <w:bCs w:val="0"/>
          <w:sz w:val="24"/>
          <w:u w:val="single"/>
        </w:rPr>
        <w:t>m</w:t>
      </w:r>
      <w:r>
        <w:rPr>
          <w:b/>
          <w:bCs w:val="0"/>
          <w:sz w:val="24"/>
          <w:u w:val="single"/>
          <w:vertAlign w:val="superscript"/>
        </w:rPr>
        <w:t>2</w:t>
      </w:r>
      <w:r>
        <w:rPr>
          <w:b/>
          <w:bCs w:val="0"/>
          <w:color w:val="000000"/>
          <w:sz w:val="24"/>
          <w:u w:val="single"/>
        </w:rPr>
        <w:t>，深5.5m，则有效池容深度为4.1m，所建沼液储存池总容积为64006m</w:t>
      </w:r>
      <w:r>
        <w:rPr>
          <w:b/>
          <w:bCs w:val="0"/>
          <w:color w:val="000000"/>
          <w:sz w:val="24"/>
          <w:u w:val="single"/>
          <w:vertAlign w:val="superscript"/>
        </w:rPr>
        <w:t>3</w:t>
      </w:r>
      <w:r>
        <w:rPr>
          <w:b/>
          <w:bCs w:val="0"/>
          <w:color w:val="000000"/>
          <w:sz w:val="24"/>
          <w:u w:val="single"/>
        </w:rPr>
        <w:t>，有效容积为</w:t>
      </w:r>
      <w:r>
        <w:rPr>
          <w:rFonts w:hint="eastAsia"/>
          <w:b/>
          <w:bCs w:val="0"/>
          <w:color w:val="000000"/>
          <w:sz w:val="24"/>
          <w:u w:val="single"/>
        </w:rPr>
        <w:t>47700</w:t>
      </w:r>
      <w:r>
        <w:rPr>
          <w:b/>
          <w:bCs w:val="0"/>
          <w:color w:val="000000"/>
          <w:sz w:val="24"/>
          <w:u w:val="single"/>
        </w:rPr>
        <w:t>m</w:t>
      </w:r>
      <w:r>
        <w:rPr>
          <w:b/>
          <w:bCs w:val="0"/>
          <w:color w:val="000000"/>
          <w:sz w:val="24"/>
          <w:u w:val="single"/>
          <w:vertAlign w:val="superscript"/>
        </w:rPr>
        <w:t>3</w:t>
      </w:r>
      <w:r>
        <w:rPr>
          <w:b/>
          <w:bCs w:val="0"/>
          <w:color w:val="000000"/>
          <w:sz w:val="24"/>
          <w:u w:val="single"/>
        </w:rPr>
        <w:t>。工程夏季最大沼液量为</w:t>
      </w:r>
      <w:r>
        <w:rPr>
          <w:rFonts w:hint="eastAsia"/>
          <w:b/>
          <w:bCs w:val="0"/>
          <w:color w:val="000000"/>
          <w:sz w:val="24"/>
          <w:u w:val="single"/>
        </w:rPr>
        <w:t>255.14</w:t>
      </w:r>
      <w:r>
        <w:rPr>
          <w:b/>
          <w:bCs w:val="0"/>
          <w:color w:val="000000"/>
          <w:sz w:val="24"/>
          <w:u w:val="single"/>
        </w:rPr>
        <w:t xml:space="preserve"> m</w:t>
      </w:r>
      <w:r>
        <w:rPr>
          <w:b/>
          <w:bCs w:val="0"/>
          <w:color w:val="000000"/>
          <w:sz w:val="24"/>
          <w:u w:val="single"/>
          <w:vertAlign w:val="superscript"/>
        </w:rPr>
        <w:t>3</w:t>
      </w:r>
      <w:r>
        <w:rPr>
          <w:b/>
          <w:bCs w:val="0"/>
          <w:color w:val="000000"/>
          <w:sz w:val="24"/>
          <w:u w:val="single"/>
        </w:rPr>
        <w:t>/d，另外考虑到预留雨水量，历年小时最大暴雨量取历年最大日降水量的10%，平舆县历年最大日降雨量为1994年7月12日的224.9mm/d，则小时最大降雨量为22.49mm/h。（降雨时间按2.5h，沼液池表面积为</w:t>
      </w:r>
      <w:r>
        <w:rPr>
          <w:rFonts w:hint="eastAsia"/>
          <w:b/>
          <w:bCs w:val="0"/>
          <w:color w:val="000000"/>
          <w:sz w:val="24"/>
          <w:u w:val="single"/>
        </w:rPr>
        <w:t>11640</w:t>
      </w:r>
      <w:r>
        <w:rPr>
          <w:b/>
          <w:bCs w:val="0"/>
          <w:color w:val="000000"/>
          <w:sz w:val="24"/>
          <w:u w:val="single"/>
        </w:rPr>
        <w:t>m</w:t>
      </w:r>
      <w:r>
        <w:rPr>
          <w:b/>
          <w:bCs w:val="0"/>
          <w:color w:val="000000"/>
          <w:sz w:val="24"/>
          <w:u w:val="single"/>
          <w:vertAlign w:val="superscript"/>
        </w:rPr>
        <w:t>2</w:t>
      </w:r>
      <w:r>
        <w:rPr>
          <w:b/>
          <w:bCs w:val="0"/>
          <w:color w:val="000000"/>
          <w:sz w:val="24"/>
          <w:u w:val="single"/>
        </w:rPr>
        <w:t>），所占有效容积为</w:t>
      </w:r>
      <w:r>
        <w:rPr>
          <w:rFonts w:hint="eastAsia"/>
          <w:b/>
          <w:bCs w:val="0"/>
          <w:color w:val="000000"/>
          <w:sz w:val="24"/>
          <w:u w:val="single"/>
        </w:rPr>
        <w:t>750</w:t>
      </w:r>
      <w:r>
        <w:rPr>
          <w:b/>
          <w:bCs w:val="0"/>
          <w:color w:val="000000"/>
          <w:sz w:val="24"/>
          <w:u w:val="single"/>
        </w:rPr>
        <w:t>m</w:t>
      </w:r>
      <w:r>
        <w:rPr>
          <w:b/>
          <w:bCs w:val="0"/>
          <w:color w:val="000000"/>
          <w:sz w:val="24"/>
          <w:u w:val="single"/>
          <w:vertAlign w:val="superscript"/>
        </w:rPr>
        <w:t>3</w:t>
      </w:r>
      <w:r>
        <w:rPr>
          <w:b/>
          <w:bCs w:val="0"/>
          <w:color w:val="000000"/>
          <w:sz w:val="24"/>
          <w:u w:val="single"/>
        </w:rPr>
        <w:t>，剩余有效容积</w:t>
      </w:r>
      <w:r>
        <w:rPr>
          <w:rFonts w:hint="eastAsia"/>
          <w:b/>
          <w:bCs w:val="0"/>
          <w:color w:val="000000"/>
          <w:sz w:val="24"/>
          <w:u w:val="single"/>
        </w:rPr>
        <w:t>46950</w:t>
      </w:r>
      <w:r>
        <w:rPr>
          <w:b/>
          <w:bCs w:val="0"/>
          <w:color w:val="000000"/>
          <w:sz w:val="24"/>
          <w:u w:val="single"/>
        </w:rPr>
        <w:t>m</w:t>
      </w:r>
      <w:r>
        <w:rPr>
          <w:b/>
          <w:bCs w:val="0"/>
          <w:color w:val="000000"/>
          <w:sz w:val="24"/>
          <w:u w:val="single"/>
          <w:vertAlign w:val="superscript"/>
        </w:rPr>
        <w:t>3</w:t>
      </w:r>
      <w:r>
        <w:rPr>
          <w:b/>
          <w:bCs w:val="0"/>
          <w:color w:val="000000"/>
          <w:sz w:val="24"/>
          <w:u w:val="single"/>
        </w:rPr>
        <w:t>，本项目166天废水量为</w:t>
      </w:r>
      <w:r>
        <w:rPr>
          <w:rFonts w:hint="eastAsia"/>
          <w:b/>
          <w:bCs w:val="0"/>
          <w:color w:val="000000"/>
          <w:sz w:val="24"/>
          <w:u w:val="single"/>
        </w:rPr>
        <w:t>38664.42</w:t>
      </w:r>
      <w:r>
        <w:rPr>
          <w:b/>
          <w:bCs w:val="0"/>
          <w:color w:val="000000"/>
          <w:sz w:val="24"/>
          <w:u w:val="single"/>
        </w:rPr>
        <w:t xml:space="preserve"> m</w:t>
      </w:r>
      <w:r>
        <w:rPr>
          <w:b/>
          <w:bCs w:val="0"/>
          <w:color w:val="000000"/>
          <w:sz w:val="24"/>
          <w:u w:val="single"/>
          <w:vertAlign w:val="superscript"/>
        </w:rPr>
        <w:t>3</w:t>
      </w:r>
      <w:r>
        <w:rPr>
          <w:b/>
          <w:bCs w:val="0"/>
          <w:color w:val="000000"/>
          <w:sz w:val="24"/>
          <w:u w:val="single"/>
        </w:rPr>
        <w:t>，项目沼液暂存池可以满足工程166天的沼液量。</w:t>
      </w:r>
    </w:p>
    <w:p>
      <w:pPr>
        <w:topLinePunct/>
        <w:spacing w:line="500" w:lineRule="exact"/>
        <w:ind w:firstLine="480" w:firstLineChars="200"/>
        <w:jc w:val="left"/>
        <w:rPr>
          <w:bCs/>
          <w:color w:val="000000"/>
          <w:sz w:val="24"/>
        </w:rPr>
      </w:pPr>
      <w:r>
        <w:rPr>
          <w:bCs/>
          <w:color w:val="000000"/>
          <w:sz w:val="24"/>
        </w:rPr>
        <w:t>废水处理工程所需设备及工程建设内容见表5-10。</w:t>
      </w:r>
    </w:p>
    <w:p>
      <w:pPr>
        <w:topLinePunct/>
        <w:spacing w:beforeLines="50" w:afterLines="50"/>
        <w:jc w:val="center"/>
        <w:rPr>
          <w:rFonts w:ascii="宋体" w:hAnsi="宋体" w:cs="宋体"/>
          <w:b/>
          <w:color w:val="000000"/>
          <w:sz w:val="24"/>
        </w:rPr>
      </w:pPr>
      <w:r>
        <w:rPr>
          <w:rFonts w:hint="eastAsia" w:ascii="宋体" w:hAnsi="宋体" w:cs="宋体"/>
          <w:b/>
          <w:color w:val="000000"/>
          <w:sz w:val="24"/>
        </w:rPr>
        <w:t>表5-10  废水处理工程主要构筑物设计一览表</w:t>
      </w:r>
    </w:p>
    <w:tbl>
      <w:tblPr>
        <w:tblStyle w:val="44"/>
        <w:tblW w:w="894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18"/>
        <w:gridCol w:w="1575"/>
        <w:gridCol w:w="1743"/>
        <w:gridCol w:w="50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3" w:hRule="atLeast"/>
        </w:trPr>
        <w:tc>
          <w:tcPr>
            <w:tcW w:w="618" w:type="dxa"/>
            <w:vAlign w:val="center"/>
          </w:tcPr>
          <w:p>
            <w:pPr>
              <w:topLinePunct/>
              <w:spacing w:line="320" w:lineRule="exact"/>
              <w:jc w:val="center"/>
              <w:rPr>
                <w:rFonts w:ascii="宋体" w:hAnsi="宋体" w:cs="宋体"/>
                <w:bCs/>
                <w:color w:val="000000"/>
                <w:szCs w:val="21"/>
              </w:rPr>
            </w:pPr>
            <w:r>
              <w:rPr>
                <w:rFonts w:hint="eastAsia" w:ascii="宋体" w:hAnsi="宋体" w:cs="宋体"/>
                <w:bCs/>
                <w:color w:val="000000"/>
                <w:szCs w:val="21"/>
              </w:rPr>
              <w:t>序号</w:t>
            </w:r>
          </w:p>
        </w:tc>
        <w:tc>
          <w:tcPr>
            <w:tcW w:w="1575" w:type="dxa"/>
            <w:vAlign w:val="center"/>
          </w:tcPr>
          <w:p>
            <w:pPr>
              <w:topLinePunct/>
              <w:spacing w:line="320" w:lineRule="exact"/>
              <w:jc w:val="center"/>
              <w:rPr>
                <w:rFonts w:ascii="宋体" w:hAnsi="宋体" w:cs="宋体"/>
                <w:bCs/>
                <w:color w:val="000000"/>
                <w:szCs w:val="21"/>
              </w:rPr>
            </w:pPr>
            <w:r>
              <w:rPr>
                <w:rFonts w:hint="eastAsia" w:ascii="宋体" w:hAnsi="宋体" w:cs="宋体"/>
                <w:bCs/>
                <w:color w:val="000000"/>
                <w:szCs w:val="21"/>
              </w:rPr>
              <w:t>工程内容</w:t>
            </w:r>
          </w:p>
        </w:tc>
        <w:tc>
          <w:tcPr>
            <w:tcW w:w="1743" w:type="dxa"/>
            <w:vAlign w:val="center"/>
          </w:tcPr>
          <w:p>
            <w:pPr>
              <w:topLinePunct/>
              <w:spacing w:line="320" w:lineRule="exact"/>
              <w:jc w:val="center"/>
              <w:rPr>
                <w:rFonts w:ascii="宋体" w:hAnsi="宋体" w:cs="宋体"/>
                <w:bCs/>
                <w:color w:val="000000"/>
                <w:szCs w:val="21"/>
              </w:rPr>
            </w:pPr>
            <w:r>
              <w:rPr>
                <w:rFonts w:hint="eastAsia" w:ascii="宋体" w:hAnsi="宋体" w:cs="宋体"/>
                <w:bCs/>
                <w:color w:val="000000"/>
                <w:szCs w:val="21"/>
              </w:rPr>
              <w:t>设计规模</w:t>
            </w:r>
          </w:p>
        </w:tc>
        <w:tc>
          <w:tcPr>
            <w:tcW w:w="5010" w:type="dxa"/>
            <w:vAlign w:val="center"/>
          </w:tcPr>
          <w:p>
            <w:pPr>
              <w:topLinePunct/>
              <w:spacing w:line="320" w:lineRule="exact"/>
              <w:jc w:val="center"/>
              <w:rPr>
                <w:rFonts w:ascii="宋体" w:hAnsi="宋体" w:cs="宋体"/>
                <w:bCs/>
                <w:color w:val="000000"/>
                <w:szCs w:val="21"/>
              </w:rPr>
            </w:pPr>
            <w:r>
              <w:rPr>
                <w:rFonts w:hint="eastAsia" w:ascii="宋体" w:hAnsi="宋体" w:cs="宋体"/>
                <w:bCs/>
                <w:color w:val="000000"/>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c>
          <w:tcPr>
            <w:tcW w:w="618" w:type="dxa"/>
            <w:vAlign w:val="center"/>
          </w:tcPr>
          <w:p>
            <w:pPr>
              <w:topLinePunct/>
              <w:spacing w:line="320" w:lineRule="exact"/>
              <w:jc w:val="center"/>
              <w:rPr>
                <w:rFonts w:ascii="宋体" w:hAnsi="宋体" w:cs="宋体"/>
                <w:bCs/>
                <w:color w:val="000000"/>
                <w:szCs w:val="21"/>
              </w:rPr>
            </w:pPr>
            <w:r>
              <w:rPr>
                <w:rFonts w:hint="eastAsia" w:ascii="宋体" w:hAnsi="宋体" w:cs="宋体"/>
                <w:bCs/>
                <w:color w:val="000000"/>
                <w:szCs w:val="21"/>
              </w:rPr>
              <w:t>1</w:t>
            </w:r>
          </w:p>
        </w:tc>
        <w:tc>
          <w:tcPr>
            <w:tcW w:w="1575" w:type="dxa"/>
            <w:vAlign w:val="center"/>
          </w:tcPr>
          <w:p>
            <w:pPr>
              <w:topLinePunct/>
              <w:spacing w:line="320" w:lineRule="exact"/>
              <w:jc w:val="center"/>
              <w:rPr>
                <w:rFonts w:ascii="宋体" w:hAnsi="宋体" w:cs="宋体"/>
                <w:bCs/>
                <w:color w:val="000000"/>
                <w:szCs w:val="21"/>
              </w:rPr>
            </w:pPr>
            <w:r>
              <w:rPr>
                <w:rFonts w:hint="eastAsia" w:ascii="宋体" w:hAnsi="宋体" w:cs="宋体"/>
                <w:bCs/>
                <w:color w:val="000000"/>
                <w:szCs w:val="21"/>
              </w:rPr>
              <w:t>收集池</w:t>
            </w:r>
          </w:p>
        </w:tc>
        <w:tc>
          <w:tcPr>
            <w:tcW w:w="1743" w:type="dxa"/>
            <w:vAlign w:val="center"/>
          </w:tcPr>
          <w:p>
            <w:pPr>
              <w:topLinePunct/>
              <w:spacing w:line="320" w:lineRule="exact"/>
              <w:jc w:val="center"/>
              <w:rPr>
                <w:rFonts w:ascii="宋体" w:hAnsi="宋体" w:cs="宋体"/>
                <w:bCs/>
                <w:color w:val="000000"/>
                <w:szCs w:val="21"/>
              </w:rPr>
            </w:pPr>
            <w:r>
              <w:rPr>
                <w:rFonts w:hint="eastAsia" w:ascii="宋体" w:hAnsi="宋体" w:cs="宋体"/>
                <w:bCs/>
                <w:color w:val="000000"/>
                <w:kern w:val="0"/>
                <w:szCs w:val="21"/>
              </w:rPr>
              <w:t>395.64m</w:t>
            </w:r>
            <w:r>
              <w:rPr>
                <w:rFonts w:hint="eastAsia" w:ascii="宋体" w:hAnsi="宋体" w:cs="宋体"/>
                <w:bCs/>
                <w:color w:val="000000"/>
                <w:kern w:val="0"/>
                <w:szCs w:val="21"/>
                <w:vertAlign w:val="superscript"/>
              </w:rPr>
              <w:t>3</w:t>
            </w:r>
          </w:p>
        </w:tc>
        <w:tc>
          <w:tcPr>
            <w:tcW w:w="5010" w:type="dxa"/>
            <w:vAlign w:val="center"/>
          </w:tcPr>
          <w:p>
            <w:pPr>
              <w:topLinePunct/>
              <w:spacing w:line="320" w:lineRule="exact"/>
              <w:jc w:val="center"/>
              <w:rPr>
                <w:rFonts w:ascii="宋体" w:hAnsi="宋体" w:cs="宋体"/>
                <w:bCs/>
                <w:color w:val="000000"/>
                <w:szCs w:val="21"/>
              </w:rPr>
            </w:pPr>
            <w:r>
              <w:rPr>
                <w:rFonts w:hint="eastAsia" w:ascii="宋体" w:hAnsi="宋体" w:cs="宋体"/>
                <w:bCs/>
                <w:color w:val="000000"/>
                <w:szCs w:val="21"/>
              </w:rPr>
              <w:t>混凝土防渗，均衡水质、水量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8" w:type="dxa"/>
            <w:vAlign w:val="center"/>
          </w:tcPr>
          <w:p>
            <w:pPr>
              <w:topLinePunct/>
              <w:spacing w:line="320" w:lineRule="exact"/>
              <w:jc w:val="center"/>
              <w:rPr>
                <w:rFonts w:ascii="宋体" w:hAnsi="宋体" w:cs="宋体"/>
                <w:bCs/>
                <w:color w:val="000000"/>
                <w:szCs w:val="21"/>
              </w:rPr>
            </w:pPr>
            <w:r>
              <w:rPr>
                <w:rFonts w:hint="eastAsia" w:ascii="宋体" w:hAnsi="宋体" w:cs="宋体"/>
                <w:bCs/>
                <w:color w:val="000000"/>
                <w:szCs w:val="21"/>
              </w:rPr>
              <w:t>2</w:t>
            </w:r>
          </w:p>
        </w:tc>
        <w:tc>
          <w:tcPr>
            <w:tcW w:w="1575" w:type="dxa"/>
            <w:vAlign w:val="center"/>
          </w:tcPr>
          <w:p>
            <w:pPr>
              <w:topLinePunct/>
              <w:spacing w:line="320" w:lineRule="exact"/>
              <w:jc w:val="center"/>
              <w:rPr>
                <w:rFonts w:ascii="宋体" w:hAnsi="宋体" w:cs="宋体"/>
                <w:bCs/>
                <w:color w:val="000000"/>
                <w:szCs w:val="21"/>
              </w:rPr>
            </w:pPr>
            <w:r>
              <w:rPr>
                <w:rFonts w:hint="eastAsia" w:ascii="宋体" w:hAnsi="宋体" w:cs="宋体"/>
                <w:bCs/>
                <w:color w:val="000000"/>
                <w:szCs w:val="21"/>
              </w:rPr>
              <w:t>盖泄湖沼气池</w:t>
            </w:r>
          </w:p>
        </w:tc>
        <w:tc>
          <w:tcPr>
            <w:tcW w:w="1743" w:type="dxa"/>
            <w:vAlign w:val="center"/>
          </w:tcPr>
          <w:p>
            <w:pPr>
              <w:topLinePunct/>
              <w:spacing w:line="320" w:lineRule="exact"/>
              <w:jc w:val="center"/>
              <w:rPr>
                <w:rFonts w:ascii="宋体" w:hAnsi="宋体" w:cs="宋体"/>
                <w:bCs/>
                <w:color w:val="000000"/>
                <w:szCs w:val="21"/>
              </w:rPr>
            </w:pPr>
            <w:r>
              <w:rPr>
                <w:rFonts w:hint="eastAsia" w:ascii="宋体" w:hAnsi="宋体" w:cs="宋体"/>
                <w:bCs/>
                <w:color w:val="000000"/>
                <w:szCs w:val="21"/>
              </w:rPr>
              <w:t>10243m</w:t>
            </w:r>
            <w:r>
              <w:rPr>
                <w:rFonts w:hint="eastAsia" w:ascii="宋体" w:hAnsi="宋体" w:cs="宋体"/>
                <w:bCs/>
                <w:color w:val="000000"/>
                <w:szCs w:val="21"/>
                <w:vertAlign w:val="superscript"/>
              </w:rPr>
              <w:t>3</w:t>
            </w:r>
          </w:p>
        </w:tc>
        <w:tc>
          <w:tcPr>
            <w:tcW w:w="5010" w:type="dxa"/>
            <w:vAlign w:val="center"/>
          </w:tcPr>
          <w:p>
            <w:pPr>
              <w:pStyle w:val="14"/>
              <w:ind w:firstLine="1050" w:firstLineChars="500"/>
              <w:rPr>
                <w:rFonts w:ascii="宋体" w:hAnsi="宋体" w:cs="宋体"/>
                <w:bCs/>
                <w:szCs w:val="21"/>
              </w:rPr>
            </w:pPr>
            <w:r>
              <w:rPr>
                <w:rFonts w:hint="eastAsia" w:ascii="宋体" w:hAnsi="宋体" w:cs="宋体"/>
                <w:bCs/>
                <w:color w:val="000000"/>
                <w:szCs w:val="21"/>
              </w:rPr>
              <w:t>采用</w:t>
            </w:r>
            <w:r>
              <w:rPr>
                <w:rFonts w:hint="eastAsia" w:ascii="宋体" w:hAnsi="宋体" w:cs="宋体"/>
                <w:bCs/>
                <w:szCs w:val="21"/>
              </w:rPr>
              <w:t>HDPE膜防渗，顶部覆膜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18" w:type="dxa"/>
            <w:vAlign w:val="center"/>
          </w:tcPr>
          <w:p>
            <w:pPr>
              <w:topLinePunct/>
              <w:spacing w:line="320" w:lineRule="exact"/>
              <w:jc w:val="center"/>
              <w:rPr>
                <w:rFonts w:ascii="宋体" w:hAnsi="宋体" w:cs="宋体"/>
                <w:bCs/>
                <w:color w:val="000000"/>
                <w:szCs w:val="21"/>
              </w:rPr>
            </w:pPr>
            <w:r>
              <w:rPr>
                <w:rFonts w:hint="eastAsia" w:ascii="宋体" w:hAnsi="宋体" w:cs="宋体"/>
                <w:bCs/>
                <w:color w:val="000000"/>
                <w:szCs w:val="21"/>
              </w:rPr>
              <w:t>3</w:t>
            </w:r>
          </w:p>
        </w:tc>
        <w:tc>
          <w:tcPr>
            <w:tcW w:w="1575" w:type="dxa"/>
            <w:vAlign w:val="center"/>
          </w:tcPr>
          <w:p>
            <w:pPr>
              <w:topLinePunct/>
              <w:spacing w:line="320" w:lineRule="exact"/>
              <w:jc w:val="center"/>
              <w:rPr>
                <w:rFonts w:ascii="宋体" w:hAnsi="宋体" w:cs="宋体"/>
                <w:bCs/>
                <w:color w:val="000000"/>
                <w:szCs w:val="21"/>
              </w:rPr>
            </w:pPr>
            <w:r>
              <w:rPr>
                <w:rFonts w:hint="eastAsia" w:ascii="宋体" w:hAnsi="宋体" w:cs="宋体"/>
                <w:bCs/>
                <w:color w:val="000000"/>
                <w:szCs w:val="21"/>
              </w:rPr>
              <w:t>沼液储存池</w:t>
            </w:r>
          </w:p>
        </w:tc>
        <w:tc>
          <w:tcPr>
            <w:tcW w:w="1743" w:type="dxa"/>
            <w:vAlign w:val="center"/>
          </w:tcPr>
          <w:p>
            <w:pPr>
              <w:topLinePunct/>
              <w:spacing w:line="320" w:lineRule="exact"/>
              <w:jc w:val="center"/>
              <w:rPr>
                <w:rFonts w:ascii="宋体" w:hAnsi="宋体" w:cs="宋体"/>
                <w:bCs/>
                <w:color w:val="000000"/>
                <w:szCs w:val="21"/>
              </w:rPr>
            </w:pPr>
            <w:r>
              <w:rPr>
                <w:rFonts w:hint="eastAsia" w:ascii="宋体" w:hAnsi="宋体" w:cs="宋体"/>
                <w:bCs/>
                <w:color w:val="000000"/>
                <w:kern w:val="0"/>
                <w:szCs w:val="21"/>
              </w:rPr>
              <w:t>总容积</w:t>
            </w:r>
            <w:r>
              <w:rPr>
                <w:rFonts w:hint="eastAsia" w:ascii="宋体" w:hAnsi="宋体" w:cs="宋体"/>
                <w:bCs/>
                <w:color w:val="000000"/>
                <w:szCs w:val="21"/>
              </w:rPr>
              <w:t>64006m</w:t>
            </w:r>
            <w:r>
              <w:rPr>
                <w:rFonts w:hint="eastAsia" w:ascii="宋体" w:hAnsi="宋体" w:cs="宋体"/>
                <w:bCs/>
                <w:color w:val="000000"/>
                <w:szCs w:val="21"/>
                <w:vertAlign w:val="superscript"/>
              </w:rPr>
              <w:t>3</w:t>
            </w:r>
          </w:p>
        </w:tc>
        <w:tc>
          <w:tcPr>
            <w:tcW w:w="5010" w:type="dxa"/>
            <w:vAlign w:val="center"/>
          </w:tcPr>
          <w:p>
            <w:pPr>
              <w:topLinePunct/>
              <w:spacing w:line="320" w:lineRule="exact"/>
              <w:jc w:val="center"/>
              <w:rPr>
                <w:rFonts w:ascii="宋体" w:hAnsi="宋体" w:cs="宋体"/>
                <w:bCs/>
                <w:color w:val="000000"/>
                <w:szCs w:val="21"/>
              </w:rPr>
            </w:pPr>
            <w:r>
              <w:rPr>
                <w:rFonts w:hint="eastAsia" w:ascii="宋体" w:hAnsi="宋体" w:cs="宋体"/>
                <w:bCs/>
                <w:color w:val="000000"/>
                <w:szCs w:val="21"/>
              </w:rPr>
              <w:t>1.5MMHDPE防渗膜</w:t>
            </w:r>
          </w:p>
        </w:tc>
      </w:tr>
    </w:tbl>
    <w:p>
      <w:pPr>
        <w:numPr>
          <w:ilvl w:val="0"/>
          <w:numId w:val="4"/>
        </w:numPr>
        <w:topLinePunct/>
        <w:spacing w:line="500" w:lineRule="exact"/>
        <w:rPr>
          <w:bCs/>
          <w:color w:val="000000"/>
          <w:sz w:val="24"/>
        </w:rPr>
      </w:pPr>
      <w:r>
        <w:rPr>
          <w:bCs/>
          <w:color w:val="000000"/>
          <w:sz w:val="24"/>
        </w:rPr>
        <w:t>水处理效果的分析</w:t>
      </w:r>
    </w:p>
    <w:p>
      <w:pPr>
        <w:topLinePunct/>
        <w:spacing w:line="500" w:lineRule="exact"/>
        <w:ind w:firstLine="480" w:firstLineChars="200"/>
        <w:rPr>
          <w:bCs/>
          <w:color w:val="000000"/>
          <w:sz w:val="24"/>
        </w:rPr>
      </w:pPr>
      <w:r>
        <w:rPr>
          <w:bCs/>
          <w:color w:val="000000"/>
          <w:sz w:val="24"/>
        </w:rPr>
        <w:t>项目废水处理预测结果见表5-11。</w:t>
      </w:r>
    </w:p>
    <w:p>
      <w:pPr>
        <w:topLinePunct/>
        <w:spacing w:beforeLines="50" w:afterLines="50"/>
        <w:jc w:val="center"/>
        <w:rPr>
          <w:rFonts w:ascii="宋体" w:hAnsi="宋体" w:cs="宋体"/>
          <w:b/>
          <w:color w:val="000000"/>
          <w:sz w:val="24"/>
        </w:rPr>
      </w:pPr>
      <w:r>
        <w:rPr>
          <w:rFonts w:hint="eastAsia" w:ascii="宋体" w:hAnsi="宋体" w:cs="宋体"/>
          <w:b/>
          <w:color w:val="000000"/>
          <w:sz w:val="24"/>
        </w:rPr>
        <w:t>表5-11   废水处理效率及预测结果</w:t>
      </w:r>
    </w:p>
    <w:tbl>
      <w:tblPr>
        <w:tblStyle w:val="44"/>
        <w:tblW w:w="894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526"/>
        <w:gridCol w:w="1456"/>
        <w:gridCol w:w="1491"/>
        <w:gridCol w:w="1491"/>
        <w:gridCol w:w="1491"/>
        <w:gridCol w:w="149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82" w:type="dxa"/>
            <w:gridSpan w:val="2"/>
            <w:vMerge w:val="restart"/>
            <w:vAlign w:val="center"/>
          </w:tcPr>
          <w:p>
            <w:pPr>
              <w:topLinePunct/>
              <w:spacing w:line="320" w:lineRule="exact"/>
              <w:jc w:val="center"/>
              <w:rPr>
                <w:bCs/>
                <w:color w:val="000000"/>
                <w:szCs w:val="21"/>
              </w:rPr>
            </w:pPr>
            <w:r>
              <w:rPr>
                <w:bCs/>
                <w:color w:val="000000"/>
                <w:szCs w:val="21"/>
              </w:rPr>
              <w:t>处理工段</w:t>
            </w:r>
          </w:p>
        </w:tc>
        <w:tc>
          <w:tcPr>
            <w:tcW w:w="5964" w:type="dxa"/>
            <w:gridSpan w:val="4"/>
            <w:vAlign w:val="center"/>
          </w:tcPr>
          <w:p>
            <w:pPr>
              <w:topLinePunct/>
              <w:spacing w:line="320" w:lineRule="exact"/>
              <w:jc w:val="center"/>
              <w:rPr>
                <w:bCs/>
                <w:color w:val="000000"/>
                <w:szCs w:val="21"/>
              </w:rPr>
            </w:pPr>
            <w:r>
              <w:rPr>
                <w:bCs/>
                <w:color w:val="000000"/>
                <w:szCs w:val="21"/>
              </w:rPr>
              <w:t>主要污染物浓度（mg/L）</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982" w:type="dxa"/>
            <w:gridSpan w:val="2"/>
            <w:vMerge w:val="continue"/>
            <w:vAlign w:val="center"/>
          </w:tcPr>
          <w:p>
            <w:pPr>
              <w:topLinePunct/>
              <w:spacing w:line="320" w:lineRule="exact"/>
              <w:jc w:val="center"/>
              <w:rPr>
                <w:bCs/>
                <w:color w:val="000000"/>
                <w:szCs w:val="21"/>
              </w:rPr>
            </w:pPr>
          </w:p>
        </w:tc>
        <w:tc>
          <w:tcPr>
            <w:tcW w:w="1491" w:type="dxa"/>
            <w:vAlign w:val="center"/>
          </w:tcPr>
          <w:p>
            <w:pPr>
              <w:topLinePunct/>
              <w:spacing w:line="320" w:lineRule="exact"/>
              <w:jc w:val="center"/>
              <w:rPr>
                <w:bCs/>
                <w:color w:val="000000"/>
                <w:szCs w:val="21"/>
              </w:rPr>
            </w:pPr>
            <w:r>
              <w:rPr>
                <w:bCs/>
                <w:color w:val="000000"/>
                <w:szCs w:val="21"/>
              </w:rPr>
              <w:t>COD</w:t>
            </w:r>
          </w:p>
        </w:tc>
        <w:tc>
          <w:tcPr>
            <w:tcW w:w="1491" w:type="dxa"/>
            <w:vAlign w:val="center"/>
          </w:tcPr>
          <w:p>
            <w:pPr>
              <w:topLinePunct/>
              <w:spacing w:line="320" w:lineRule="exact"/>
              <w:jc w:val="center"/>
              <w:rPr>
                <w:bCs/>
                <w:color w:val="000000"/>
                <w:szCs w:val="21"/>
              </w:rPr>
            </w:pPr>
            <w:r>
              <w:rPr>
                <w:bCs/>
                <w:color w:val="000000"/>
                <w:szCs w:val="21"/>
              </w:rPr>
              <w:t>BOD</w:t>
            </w:r>
            <w:r>
              <w:rPr>
                <w:bCs/>
                <w:color w:val="000000"/>
                <w:szCs w:val="21"/>
                <w:vertAlign w:val="subscript"/>
              </w:rPr>
              <w:t>5</w:t>
            </w:r>
          </w:p>
        </w:tc>
        <w:tc>
          <w:tcPr>
            <w:tcW w:w="1491" w:type="dxa"/>
            <w:vAlign w:val="center"/>
          </w:tcPr>
          <w:p>
            <w:pPr>
              <w:topLinePunct/>
              <w:spacing w:line="320" w:lineRule="exact"/>
              <w:jc w:val="center"/>
              <w:rPr>
                <w:bCs/>
                <w:color w:val="000000"/>
                <w:szCs w:val="21"/>
              </w:rPr>
            </w:pPr>
            <w:r>
              <w:rPr>
                <w:bCs/>
                <w:color w:val="000000"/>
                <w:szCs w:val="21"/>
              </w:rPr>
              <w:t>NH</w:t>
            </w:r>
            <w:r>
              <w:rPr>
                <w:bCs/>
                <w:color w:val="000000"/>
                <w:szCs w:val="21"/>
                <w:vertAlign w:val="subscript"/>
              </w:rPr>
              <w:t>3</w:t>
            </w:r>
            <w:r>
              <w:rPr>
                <w:bCs/>
                <w:color w:val="000000"/>
                <w:szCs w:val="21"/>
              </w:rPr>
              <w:t>-N</w:t>
            </w:r>
          </w:p>
        </w:tc>
        <w:tc>
          <w:tcPr>
            <w:tcW w:w="1491" w:type="dxa"/>
            <w:vAlign w:val="center"/>
          </w:tcPr>
          <w:p>
            <w:pPr>
              <w:topLinePunct/>
              <w:spacing w:line="320" w:lineRule="exact"/>
              <w:jc w:val="center"/>
              <w:rPr>
                <w:bCs/>
                <w:color w:val="000000"/>
                <w:szCs w:val="21"/>
              </w:rPr>
            </w:pPr>
            <w:r>
              <w:rPr>
                <w:bCs/>
                <w:color w:val="000000"/>
                <w:szCs w:val="21"/>
              </w:rPr>
              <w:t>SS</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526" w:type="dxa"/>
            <w:vMerge w:val="restart"/>
            <w:vAlign w:val="center"/>
          </w:tcPr>
          <w:p>
            <w:pPr>
              <w:topLinePunct/>
              <w:spacing w:line="320" w:lineRule="exact"/>
              <w:jc w:val="center"/>
              <w:rPr>
                <w:bCs/>
                <w:color w:val="000000"/>
                <w:szCs w:val="21"/>
              </w:rPr>
            </w:pPr>
            <w:r>
              <w:rPr>
                <w:bCs/>
                <w:color w:val="000000"/>
                <w:szCs w:val="21"/>
              </w:rPr>
              <w:t>废水处理系统</w:t>
            </w:r>
          </w:p>
        </w:tc>
        <w:tc>
          <w:tcPr>
            <w:tcW w:w="1456" w:type="dxa"/>
            <w:vAlign w:val="center"/>
          </w:tcPr>
          <w:p>
            <w:pPr>
              <w:topLinePunct/>
              <w:spacing w:line="320" w:lineRule="exact"/>
              <w:jc w:val="center"/>
              <w:rPr>
                <w:bCs/>
                <w:color w:val="000000"/>
                <w:szCs w:val="21"/>
              </w:rPr>
            </w:pPr>
            <w:r>
              <w:rPr>
                <w:bCs/>
                <w:color w:val="000000"/>
                <w:szCs w:val="21"/>
              </w:rPr>
              <w:t>进水</w:t>
            </w:r>
          </w:p>
        </w:tc>
        <w:tc>
          <w:tcPr>
            <w:tcW w:w="1491" w:type="dxa"/>
            <w:vAlign w:val="center"/>
          </w:tcPr>
          <w:p>
            <w:pPr>
              <w:topLinePunct/>
              <w:spacing w:line="320" w:lineRule="exact"/>
              <w:jc w:val="center"/>
              <w:rPr>
                <w:bCs/>
                <w:color w:val="000000"/>
                <w:szCs w:val="21"/>
              </w:rPr>
            </w:pPr>
            <w:r>
              <w:rPr>
                <w:bCs/>
                <w:color w:val="000000"/>
                <w:szCs w:val="21"/>
              </w:rPr>
              <w:t>15000</w:t>
            </w:r>
          </w:p>
        </w:tc>
        <w:tc>
          <w:tcPr>
            <w:tcW w:w="1491" w:type="dxa"/>
            <w:vAlign w:val="center"/>
          </w:tcPr>
          <w:p>
            <w:pPr>
              <w:topLinePunct/>
              <w:spacing w:line="320" w:lineRule="exact"/>
              <w:jc w:val="center"/>
              <w:rPr>
                <w:bCs/>
                <w:color w:val="000000"/>
                <w:szCs w:val="21"/>
              </w:rPr>
            </w:pPr>
            <w:r>
              <w:rPr>
                <w:bCs/>
                <w:color w:val="000000"/>
                <w:szCs w:val="21"/>
              </w:rPr>
              <w:t>8000</w:t>
            </w:r>
          </w:p>
        </w:tc>
        <w:tc>
          <w:tcPr>
            <w:tcW w:w="1491" w:type="dxa"/>
            <w:vAlign w:val="center"/>
          </w:tcPr>
          <w:p>
            <w:pPr>
              <w:topLinePunct/>
              <w:spacing w:line="320" w:lineRule="exact"/>
              <w:jc w:val="center"/>
              <w:rPr>
                <w:bCs/>
                <w:color w:val="000000"/>
                <w:szCs w:val="21"/>
              </w:rPr>
            </w:pPr>
            <w:r>
              <w:rPr>
                <w:bCs/>
                <w:color w:val="000000"/>
                <w:szCs w:val="21"/>
              </w:rPr>
              <w:t>1200</w:t>
            </w:r>
          </w:p>
        </w:tc>
        <w:tc>
          <w:tcPr>
            <w:tcW w:w="1491" w:type="dxa"/>
            <w:vAlign w:val="center"/>
          </w:tcPr>
          <w:p>
            <w:pPr>
              <w:topLinePunct/>
              <w:spacing w:line="320" w:lineRule="exact"/>
              <w:jc w:val="center"/>
              <w:rPr>
                <w:bCs/>
                <w:color w:val="000000"/>
                <w:szCs w:val="21"/>
              </w:rPr>
            </w:pPr>
            <w:r>
              <w:rPr>
                <w:bCs/>
                <w:color w:val="000000"/>
                <w:szCs w:val="21"/>
              </w:rPr>
              <w:t>16000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526" w:type="dxa"/>
            <w:vMerge w:val="continue"/>
            <w:vAlign w:val="center"/>
          </w:tcPr>
          <w:p>
            <w:pPr>
              <w:topLinePunct/>
              <w:spacing w:line="320" w:lineRule="exact"/>
              <w:jc w:val="center"/>
              <w:rPr>
                <w:bCs/>
                <w:color w:val="000000"/>
                <w:szCs w:val="21"/>
              </w:rPr>
            </w:pPr>
          </w:p>
        </w:tc>
        <w:tc>
          <w:tcPr>
            <w:tcW w:w="1456" w:type="dxa"/>
            <w:vAlign w:val="center"/>
          </w:tcPr>
          <w:p>
            <w:pPr>
              <w:topLinePunct/>
              <w:spacing w:line="320" w:lineRule="exact"/>
              <w:jc w:val="center"/>
              <w:rPr>
                <w:bCs/>
                <w:color w:val="000000"/>
                <w:szCs w:val="21"/>
              </w:rPr>
            </w:pPr>
            <w:r>
              <w:rPr>
                <w:bCs/>
                <w:color w:val="000000"/>
                <w:szCs w:val="21"/>
              </w:rPr>
              <w:t>去除率</w:t>
            </w:r>
          </w:p>
        </w:tc>
        <w:tc>
          <w:tcPr>
            <w:tcW w:w="1491" w:type="dxa"/>
            <w:vAlign w:val="center"/>
          </w:tcPr>
          <w:p>
            <w:pPr>
              <w:topLinePunct/>
              <w:spacing w:line="320" w:lineRule="exact"/>
              <w:jc w:val="center"/>
              <w:rPr>
                <w:bCs/>
                <w:color w:val="000000"/>
                <w:szCs w:val="21"/>
              </w:rPr>
            </w:pPr>
            <w:r>
              <w:rPr>
                <w:bCs/>
                <w:color w:val="000000"/>
                <w:szCs w:val="21"/>
              </w:rPr>
              <w:t>80%</w:t>
            </w:r>
          </w:p>
        </w:tc>
        <w:tc>
          <w:tcPr>
            <w:tcW w:w="1491" w:type="dxa"/>
            <w:vAlign w:val="center"/>
          </w:tcPr>
          <w:p>
            <w:pPr>
              <w:topLinePunct/>
              <w:spacing w:line="320" w:lineRule="exact"/>
              <w:jc w:val="center"/>
              <w:rPr>
                <w:bCs/>
                <w:color w:val="000000"/>
                <w:szCs w:val="21"/>
              </w:rPr>
            </w:pPr>
            <w:r>
              <w:rPr>
                <w:bCs/>
                <w:color w:val="000000"/>
                <w:szCs w:val="21"/>
              </w:rPr>
              <w:t>82.5%</w:t>
            </w:r>
          </w:p>
        </w:tc>
        <w:tc>
          <w:tcPr>
            <w:tcW w:w="1491" w:type="dxa"/>
            <w:vAlign w:val="center"/>
          </w:tcPr>
          <w:p>
            <w:pPr>
              <w:topLinePunct/>
              <w:spacing w:line="320" w:lineRule="exact"/>
              <w:jc w:val="center"/>
              <w:rPr>
                <w:bCs/>
                <w:color w:val="000000"/>
                <w:szCs w:val="21"/>
              </w:rPr>
            </w:pPr>
            <w:r>
              <w:rPr>
                <w:bCs/>
                <w:color w:val="000000"/>
                <w:szCs w:val="21"/>
              </w:rPr>
              <w:t>25%</w:t>
            </w:r>
          </w:p>
        </w:tc>
        <w:tc>
          <w:tcPr>
            <w:tcW w:w="1491" w:type="dxa"/>
            <w:vAlign w:val="center"/>
          </w:tcPr>
          <w:p>
            <w:pPr>
              <w:topLinePunct/>
              <w:spacing w:line="320" w:lineRule="exact"/>
              <w:jc w:val="center"/>
              <w:rPr>
                <w:bCs/>
                <w:color w:val="000000"/>
                <w:szCs w:val="21"/>
              </w:rPr>
            </w:pPr>
            <w:r>
              <w:rPr>
                <w:bCs/>
                <w:color w:val="000000"/>
                <w:szCs w:val="21"/>
              </w:rPr>
              <w:t>87.5%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526" w:type="dxa"/>
            <w:vMerge w:val="continue"/>
            <w:vAlign w:val="center"/>
          </w:tcPr>
          <w:p>
            <w:pPr>
              <w:topLinePunct/>
              <w:spacing w:line="320" w:lineRule="exact"/>
              <w:jc w:val="center"/>
              <w:rPr>
                <w:bCs/>
                <w:color w:val="000000"/>
                <w:szCs w:val="21"/>
              </w:rPr>
            </w:pPr>
          </w:p>
        </w:tc>
        <w:tc>
          <w:tcPr>
            <w:tcW w:w="1456" w:type="dxa"/>
            <w:vAlign w:val="center"/>
          </w:tcPr>
          <w:p>
            <w:pPr>
              <w:topLinePunct/>
              <w:spacing w:line="320" w:lineRule="exact"/>
              <w:jc w:val="center"/>
              <w:rPr>
                <w:bCs/>
                <w:color w:val="000000"/>
                <w:szCs w:val="21"/>
              </w:rPr>
            </w:pPr>
            <w:r>
              <w:rPr>
                <w:bCs/>
                <w:color w:val="000000"/>
                <w:szCs w:val="21"/>
              </w:rPr>
              <w:t>出水</w:t>
            </w:r>
          </w:p>
        </w:tc>
        <w:tc>
          <w:tcPr>
            <w:tcW w:w="1491" w:type="dxa"/>
            <w:vAlign w:val="center"/>
          </w:tcPr>
          <w:p>
            <w:pPr>
              <w:topLinePunct/>
              <w:spacing w:line="320" w:lineRule="exact"/>
              <w:jc w:val="center"/>
              <w:rPr>
                <w:bCs/>
                <w:color w:val="000000"/>
                <w:szCs w:val="21"/>
              </w:rPr>
            </w:pPr>
            <w:r>
              <w:rPr>
                <w:bCs/>
                <w:color w:val="000000"/>
                <w:szCs w:val="21"/>
              </w:rPr>
              <w:t>3000</w:t>
            </w:r>
          </w:p>
        </w:tc>
        <w:tc>
          <w:tcPr>
            <w:tcW w:w="1491" w:type="dxa"/>
            <w:vAlign w:val="center"/>
          </w:tcPr>
          <w:p>
            <w:pPr>
              <w:topLinePunct/>
              <w:spacing w:line="320" w:lineRule="exact"/>
              <w:jc w:val="center"/>
              <w:rPr>
                <w:bCs/>
                <w:color w:val="000000"/>
                <w:szCs w:val="21"/>
              </w:rPr>
            </w:pPr>
            <w:r>
              <w:rPr>
                <w:bCs/>
                <w:color w:val="000000"/>
                <w:szCs w:val="21"/>
              </w:rPr>
              <w:t>1400</w:t>
            </w:r>
          </w:p>
        </w:tc>
        <w:tc>
          <w:tcPr>
            <w:tcW w:w="1491" w:type="dxa"/>
            <w:vAlign w:val="center"/>
          </w:tcPr>
          <w:p>
            <w:pPr>
              <w:topLinePunct/>
              <w:spacing w:line="320" w:lineRule="exact"/>
              <w:jc w:val="center"/>
              <w:rPr>
                <w:bCs/>
                <w:color w:val="000000"/>
                <w:szCs w:val="21"/>
              </w:rPr>
            </w:pPr>
            <w:r>
              <w:rPr>
                <w:bCs/>
                <w:color w:val="000000"/>
                <w:szCs w:val="21"/>
              </w:rPr>
              <w:t>900</w:t>
            </w:r>
          </w:p>
        </w:tc>
        <w:tc>
          <w:tcPr>
            <w:tcW w:w="1491" w:type="dxa"/>
            <w:vAlign w:val="center"/>
          </w:tcPr>
          <w:p>
            <w:pPr>
              <w:topLinePunct/>
              <w:spacing w:line="320" w:lineRule="exact"/>
              <w:jc w:val="center"/>
              <w:rPr>
                <w:bCs/>
                <w:color w:val="000000"/>
                <w:szCs w:val="21"/>
              </w:rPr>
            </w:pPr>
            <w:r>
              <w:rPr>
                <w:bCs/>
                <w:color w:val="000000"/>
                <w:szCs w:val="21"/>
              </w:rPr>
              <w:t>2000</w:t>
            </w:r>
          </w:p>
        </w:tc>
      </w:tr>
    </w:tbl>
    <w:p>
      <w:pPr>
        <w:topLinePunct/>
        <w:spacing w:line="500" w:lineRule="exact"/>
        <w:ind w:firstLine="480" w:firstLineChars="200"/>
        <w:rPr>
          <w:bCs/>
          <w:color w:val="000000"/>
          <w:sz w:val="24"/>
        </w:rPr>
      </w:pPr>
      <w:r>
        <w:rPr>
          <w:bCs/>
          <w:color w:val="000000"/>
          <w:sz w:val="24"/>
        </w:rPr>
        <w:t>由表5-11知，养殖区综合废水经污水处置工程处理后，COD、BOD</w:t>
      </w:r>
      <w:r>
        <w:rPr>
          <w:bCs/>
          <w:color w:val="000000"/>
          <w:sz w:val="24"/>
          <w:vertAlign w:val="subscript"/>
        </w:rPr>
        <w:t>5</w:t>
      </w:r>
      <w:r>
        <w:rPr>
          <w:bCs/>
          <w:color w:val="000000"/>
          <w:sz w:val="24"/>
        </w:rPr>
        <w:t>、氨氮和SS的去除率分别达到80%、82.5%、25%和87.5%以上，产生的沼液经处理后进入沼液储存池暂存。</w:t>
      </w:r>
    </w:p>
    <w:p>
      <w:pPr>
        <w:topLinePunct/>
        <w:spacing w:line="500" w:lineRule="exact"/>
        <w:ind w:left="480"/>
        <w:rPr>
          <w:bCs/>
          <w:color w:val="000000"/>
          <w:sz w:val="24"/>
        </w:rPr>
      </w:pPr>
      <w:r>
        <w:rPr>
          <w:bCs/>
          <w:color w:val="000000"/>
          <w:sz w:val="24"/>
        </w:rPr>
        <w:fldChar w:fldCharType="begin"/>
      </w:r>
      <w:r>
        <w:rPr>
          <w:bCs/>
          <w:color w:val="000000"/>
          <w:sz w:val="24"/>
        </w:rPr>
        <w:instrText xml:space="preserve">eq \o\ac(</w:instrText>
      </w:r>
      <w:r>
        <w:rPr>
          <w:bCs/>
          <w:color w:val="000000"/>
          <w:position w:val="-4"/>
          <w:sz w:val="36"/>
        </w:rPr>
        <w:instrText xml:space="preserve">○</w:instrText>
      </w:r>
      <w:r>
        <w:rPr>
          <w:bCs/>
          <w:color w:val="000000"/>
          <w:sz w:val="24"/>
        </w:rPr>
        <w:instrText xml:space="preserve">,5)</w:instrText>
      </w:r>
      <w:r>
        <w:rPr>
          <w:bCs/>
          <w:color w:val="000000"/>
          <w:sz w:val="24"/>
        </w:rPr>
        <w:fldChar w:fldCharType="end"/>
      </w:r>
      <w:r>
        <w:rPr>
          <w:bCs/>
          <w:color w:val="000000"/>
          <w:sz w:val="24"/>
        </w:rPr>
        <w:t>水处理措施经济可行性分析</w:t>
      </w:r>
    </w:p>
    <w:p>
      <w:pPr>
        <w:topLinePunct/>
        <w:spacing w:line="500" w:lineRule="exact"/>
        <w:ind w:firstLine="480" w:firstLineChars="200"/>
        <w:rPr>
          <w:bCs/>
          <w:color w:val="000000"/>
          <w:szCs w:val="21"/>
        </w:rPr>
      </w:pPr>
      <w:r>
        <w:rPr>
          <w:bCs/>
          <w:color w:val="000000"/>
          <w:sz w:val="24"/>
        </w:rPr>
        <w:t>环保设施运行费用主要包括：电费，环保人员工资及设备折旧、维护费用。全场污水处理设施运行费用见表5-12。</w:t>
      </w:r>
    </w:p>
    <w:p>
      <w:pPr>
        <w:topLinePunct/>
        <w:spacing w:beforeLines="50" w:afterLines="50"/>
        <w:jc w:val="center"/>
        <w:rPr>
          <w:b/>
          <w:color w:val="000000"/>
          <w:szCs w:val="21"/>
        </w:rPr>
      </w:pPr>
      <w:r>
        <w:rPr>
          <w:b/>
          <w:color w:val="000000"/>
          <w:szCs w:val="21"/>
        </w:rPr>
        <w:t>表5-12  全场污水处理设施运行费用一览表</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3"/>
        <w:gridCol w:w="2101"/>
        <w:gridCol w:w="2551"/>
        <w:gridCol w:w="34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bCs/>
                <w:color w:val="000000"/>
                <w:szCs w:val="21"/>
              </w:rPr>
            </w:pPr>
            <w:r>
              <w:rPr>
                <w:bCs/>
                <w:color w:val="000000"/>
                <w:kern w:val="0"/>
                <w:szCs w:val="21"/>
              </w:rPr>
              <w:t>序号</w:t>
            </w:r>
          </w:p>
        </w:tc>
        <w:tc>
          <w:tcPr>
            <w:tcW w:w="2101" w:type="dxa"/>
            <w:vAlign w:val="center"/>
          </w:tcPr>
          <w:p>
            <w:pPr>
              <w:topLinePunct/>
              <w:spacing w:line="360" w:lineRule="exact"/>
              <w:jc w:val="center"/>
              <w:rPr>
                <w:bCs/>
                <w:color w:val="000000"/>
                <w:szCs w:val="21"/>
              </w:rPr>
            </w:pPr>
            <w:r>
              <w:rPr>
                <w:bCs/>
                <w:color w:val="000000"/>
                <w:kern w:val="0"/>
                <w:szCs w:val="21"/>
              </w:rPr>
              <w:t>费用名称</w:t>
            </w:r>
          </w:p>
        </w:tc>
        <w:tc>
          <w:tcPr>
            <w:tcW w:w="2551" w:type="dxa"/>
            <w:vAlign w:val="center"/>
          </w:tcPr>
          <w:p>
            <w:pPr>
              <w:topLinePunct/>
              <w:spacing w:line="360" w:lineRule="exact"/>
              <w:jc w:val="center"/>
              <w:rPr>
                <w:bCs/>
                <w:color w:val="000000"/>
                <w:kern w:val="0"/>
                <w:szCs w:val="21"/>
              </w:rPr>
            </w:pPr>
            <w:r>
              <w:rPr>
                <w:bCs/>
                <w:color w:val="000000"/>
                <w:kern w:val="0"/>
                <w:szCs w:val="21"/>
              </w:rPr>
              <w:t>费用金额（万元/年）</w:t>
            </w:r>
          </w:p>
        </w:tc>
        <w:tc>
          <w:tcPr>
            <w:tcW w:w="3451" w:type="dxa"/>
            <w:vAlign w:val="center"/>
          </w:tcPr>
          <w:p>
            <w:pPr>
              <w:topLinePunct/>
              <w:spacing w:line="360" w:lineRule="exact"/>
              <w:jc w:val="center"/>
              <w:rPr>
                <w:bCs/>
                <w:color w:val="000000"/>
                <w:szCs w:val="21"/>
              </w:rPr>
            </w:pPr>
            <w:r>
              <w:rPr>
                <w:bCs/>
                <w:color w:val="000000"/>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bCs/>
                <w:color w:val="000000"/>
                <w:szCs w:val="21"/>
              </w:rPr>
            </w:pPr>
            <w:r>
              <w:rPr>
                <w:bCs/>
                <w:color w:val="000000"/>
                <w:kern w:val="0"/>
                <w:szCs w:val="21"/>
              </w:rPr>
              <w:t>1</w:t>
            </w:r>
          </w:p>
        </w:tc>
        <w:tc>
          <w:tcPr>
            <w:tcW w:w="2101" w:type="dxa"/>
            <w:vAlign w:val="center"/>
          </w:tcPr>
          <w:p>
            <w:pPr>
              <w:topLinePunct/>
              <w:spacing w:line="360" w:lineRule="exact"/>
              <w:jc w:val="center"/>
              <w:rPr>
                <w:bCs/>
                <w:color w:val="000000"/>
                <w:szCs w:val="21"/>
              </w:rPr>
            </w:pPr>
            <w:r>
              <w:rPr>
                <w:bCs/>
                <w:color w:val="000000"/>
                <w:kern w:val="0"/>
                <w:szCs w:val="21"/>
              </w:rPr>
              <w:t>电费</w:t>
            </w:r>
          </w:p>
        </w:tc>
        <w:tc>
          <w:tcPr>
            <w:tcW w:w="2551" w:type="dxa"/>
            <w:vAlign w:val="center"/>
          </w:tcPr>
          <w:p>
            <w:pPr>
              <w:topLinePunct/>
              <w:spacing w:line="360" w:lineRule="exact"/>
              <w:jc w:val="center"/>
              <w:rPr>
                <w:bCs/>
                <w:color w:val="000000"/>
                <w:szCs w:val="21"/>
              </w:rPr>
            </w:pPr>
            <w:r>
              <w:rPr>
                <w:bCs/>
                <w:color w:val="000000"/>
                <w:szCs w:val="21"/>
              </w:rPr>
              <w:t>9</w:t>
            </w:r>
          </w:p>
        </w:tc>
        <w:tc>
          <w:tcPr>
            <w:tcW w:w="3451" w:type="dxa"/>
            <w:vAlign w:val="center"/>
          </w:tcPr>
          <w:p>
            <w:pPr>
              <w:topLinePunct/>
              <w:spacing w:line="360" w:lineRule="exact"/>
              <w:jc w:val="center"/>
              <w:rPr>
                <w:bCs/>
                <w:color w:val="000000"/>
                <w:szCs w:val="21"/>
              </w:rPr>
            </w:pPr>
            <w:r>
              <w:rPr>
                <w:bCs/>
                <w:color w:val="000000"/>
                <w:szCs w:val="21"/>
              </w:rPr>
              <w:t>112.5万kwh/年，单价0.6元/Kwh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bCs/>
                <w:color w:val="000000"/>
                <w:kern w:val="0"/>
                <w:szCs w:val="21"/>
              </w:rPr>
            </w:pPr>
            <w:r>
              <w:rPr>
                <w:bCs/>
                <w:color w:val="000000"/>
                <w:kern w:val="0"/>
                <w:szCs w:val="21"/>
              </w:rPr>
              <w:t>2</w:t>
            </w:r>
          </w:p>
        </w:tc>
        <w:tc>
          <w:tcPr>
            <w:tcW w:w="2101" w:type="dxa"/>
            <w:vAlign w:val="center"/>
          </w:tcPr>
          <w:p>
            <w:pPr>
              <w:topLinePunct/>
              <w:spacing w:line="360" w:lineRule="exact"/>
              <w:jc w:val="center"/>
              <w:rPr>
                <w:bCs/>
                <w:color w:val="000000"/>
                <w:kern w:val="0"/>
                <w:szCs w:val="21"/>
              </w:rPr>
            </w:pPr>
            <w:r>
              <w:rPr>
                <w:bCs/>
                <w:color w:val="000000"/>
                <w:kern w:val="0"/>
                <w:szCs w:val="21"/>
              </w:rPr>
              <w:t>工人工资</w:t>
            </w:r>
          </w:p>
        </w:tc>
        <w:tc>
          <w:tcPr>
            <w:tcW w:w="2551" w:type="dxa"/>
            <w:vAlign w:val="center"/>
          </w:tcPr>
          <w:p>
            <w:pPr>
              <w:topLinePunct/>
              <w:spacing w:line="360" w:lineRule="exact"/>
              <w:jc w:val="center"/>
              <w:rPr>
                <w:bCs/>
                <w:color w:val="000000"/>
                <w:szCs w:val="21"/>
              </w:rPr>
            </w:pPr>
            <w:r>
              <w:rPr>
                <w:bCs/>
                <w:color w:val="000000"/>
                <w:szCs w:val="21"/>
              </w:rPr>
              <w:t>6</w:t>
            </w:r>
          </w:p>
        </w:tc>
        <w:tc>
          <w:tcPr>
            <w:tcW w:w="3451" w:type="dxa"/>
            <w:vAlign w:val="center"/>
          </w:tcPr>
          <w:p>
            <w:pPr>
              <w:topLinePunct/>
              <w:spacing w:line="360" w:lineRule="exact"/>
              <w:jc w:val="center"/>
              <w:rPr>
                <w:bCs/>
                <w:color w:val="000000"/>
                <w:kern w:val="0"/>
                <w:szCs w:val="21"/>
              </w:rPr>
            </w:pPr>
            <w:r>
              <w:rPr>
                <w:bCs/>
                <w:color w:val="000000"/>
                <w:kern w:val="0"/>
                <w:szCs w:val="21"/>
              </w:rPr>
              <w:t>2人，</w:t>
            </w:r>
            <w:r>
              <w:rPr>
                <w:bCs/>
                <w:color w:val="000000"/>
                <w:szCs w:val="21"/>
              </w:rPr>
              <w:t>人员工资3万元/人·年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bCs/>
                <w:color w:val="000000"/>
                <w:kern w:val="0"/>
                <w:szCs w:val="21"/>
              </w:rPr>
            </w:pPr>
            <w:r>
              <w:rPr>
                <w:bCs/>
                <w:color w:val="000000"/>
                <w:kern w:val="0"/>
                <w:szCs w:val="21"/>
              </w:rPr>
              <w:t>3</w:t>
            </w:r>
          </w:p>
        </w:tc>
        <w:tc>
          <w:tcPr>
            <w:tcW w:w="2101" w:type="dxa"/>
            <w:vAlign w:val="center"/>
          </w:tcPr>
          <w:p>
            <w:pPr>
              <w:topLinePunct/>
              <w:spacing w:line="360" w:lineRule="exact"/>
              <w:jc w:val="center"/>
              <w:rPr>
                <w:bCs/>
                <w:color w:val="000000"/>
                <w:kern w:val="0"/>
                <w:szCs w:val="21"/>
              </w:rPr>
            </w:pPr>
            <w:r>
              <w:rPr>
                <w:bCs/>
                <w:color w:val="000000"/>
                <w:kern w:val="0"/>
                <w:szCs w:val="21"/>
              </w:rPr>
              <w:t>设备折旧、维护</w:t>
            </w:r>
          </w:p>
        </w:tc>
        <w:tc>
          <w:tcPr>
            <w:tcW w:w="2551" w:type="dxa"/>
            <w:vAlign w:val="center"/>
          </w:tcPr>
          <w:p>
            <w:pPr>
              <w:topLinePunct/>
              <w:spacing w:line="360" w:lineRule="exact"/>
              <w:jc w:val="center"/>
              <w:rPr>
                <w:bCs/>
                <w:color w:val="000000"/>
                <w:szCs w:val="21"/>
              </w:rPr>
            </w:pPr>
            <w:r>
              <w:rPr>
                <w:bCs/>
                <w:color w:val="000000"/>
                <w:szCs w:val="21"/>
              </w:rPr>
              <w:t>1.5</w:t>
            </w:r>
          </w:p>
        </w:tc>
        <w:tc>
          <w:tcPr>
            <w:tcW w:w="3451" w:type="dxa"/>
            <w:vAlign w:val="center"/>
          </w:tcPr>
          <w:p>
            <w:pPr>
              <w:topLinePunct/>
              <w:spacing w:line="360" w:lineRule="exact"/>
              <w:jc w:val="center"/>
              <w:rPr>
                <w:bCs/>
                <w:color w:val="000000"/>
                <w:szCs w:val="21"/>
              </w:rPr>
            </w:pPr>
            <w:r>
              <w:rPr>
                <w:bCs/>
                <w:color w:val="000000"/>
                <w:szCs w:val="21"/>
              </w:rPr>
              <w:t>总投资30万元，按20年折旧期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bCs/>
                <w:color w:val="000000"/>
                <w:szCs w:val="21"/>
              </w:rPr>
            </w:pPr>
            <w:r>
              <w:rPr>
                <w:bCs/>
                <w:color w:val="000000"/>
                <w:szCs w:val="21"/>
              </w:rPr>
              <w:t>4</w:t>
            </w:r>
          </w:p>
        </w:tc>
        <w:tc>
          <w:tcPr>
            <w:tcW w:w="2101" w:type="dxa"/>
            <w:vAlign w:val="center"/>
          </w:tcPr>
          <w:p>
            <w:pPr>
              <w:topLinePunct/>
              <w:spacing w:line="360" w:lineRule="exact"/>
              <w:jc w:val="center"/>
              <w:rPr>
                <w:bCs/>
                <w:color w:val="000000"/>
                <w:szCs w:val="21"/>
              </w:rPr>
            </w:pPr>
            <w:r>
              <w:rPr>
                <w:bCs/>
                <w:color w:val="000000"/>
                <w:kern w:val="0"/>
                <w:szCs w:val="21"/>
              </w:rPr>
              <w:t>合计</w:t>
            </w:r>
          </w:p>
        </w:tc>
        <w:tc>
          <w:tcPr>
            <w:tcW w:w="2551" w:type="dxa"/>
            <w:vAlign w:val="center"/>
          </w:tcPr>
          <w:p>
            <w:pPr>
              <w:topLinePunct/>
              <w:spacing w:line="360" w:lineRule="exact"/>
              <w:jc w:val="center"/>
              <w:rPr>
                <w:bCs/>
                <w:color w:val="000000"/>
                <w:szCs w:val="21"/>
              </w:rPr>
            </w:pPr>
            <w:r>
              <w:rPr>
                <w:bCs/>
                <w:color w:val="000000"/>
                <w:szCs w:val="21"/>
              </w:rPr>
              <w:t>16.5</w:t>
            </w:r>
          </w:p>
        </w:tc>
        <w:tc>
          <w:tcPr>
            <w:tcW w:w="3451" w:type="dxa"/>
            <w:vAlign w:val="center"/>
          </w:tcPr>
          <w:p>
            <w:pPr>
              <w:topLinePunct/>
              <w:spacing w:line="360" w:lineRule="exact"/>
              <w:jc w:val="center"/>
              <w:rPr>
                <w:bCs/>
                <w:color w:val="000000"/>
                <w:szCs w:val="21"/>
              </w:rPr>
            </w:pPr>
            <w:r>
              <w:rPr>
                <w:bCs/>
                <w:color w:val="000000"/>
                <w:szCs w:val="21"/>
              </w:rPr>
              <w:t>/</w:t>
            </w:r>
          </w:p>
        </w:tc>
      </w:tr>
    </w:tbl>
    <w:p>
      <w:pPr>
        <w:tabs>
          <w:tab w:val="left" w:pos="5350"/>
        </w:tabs>
        <w:topLinePunct/>
        <w:adjustRightInd w:val="0"/>
        <w:spacing w:line="520" w:lineRule="exact"/>
        <w:rPr>
          <w:bCs/>
          <w:color w:val="000000"/>
          <w:sz w:val="24"/>
        </w:rPr>
      </w:pPr>
      <w:r>
        <w:rPr>
          <w:bCs/>
          <w:color w:val="000000"/>
          <w:sz w:val="24"/>
        </w:rPr>
        <w:t>5.2.1.5沼气综合利用可行性分析</w:t>
      </w:r>
    </w:p>
    <w:p>
      <w:pPr>
        <w:spacing w:line="360" w:lineRule="auto"/>
        <w:ind w:firstLine="360" w:firstLineChars="150"/>
        <w:jc w:val="left"/>
        <w:rPr>
          <w:bCs/>
          <w:kern w:val="0"/>
          <w:sz w:val="24"/>
        </w:rPr>
      </w:pPr>
      <w:r>
        <w:rPr>
          <w:bCs/>
          <w:color w:val="000000"/>
          <w:sz w:val="24"/>
        </w:rPr>
        <w:t>根据《规模化畜禽养殖场沼气工程设计规范》中的数据，沼气产生量按照去除1kgCOD产生沼气0.25m</w:t>
      </w:r>
      <w:r>
        <w:rPr>
          <w:bCs/>
          <w:color w:val="000000"/>
          <w:sz w:val="24"/>
          <w:vertAlign w:val="superscript"/>
        </w:rPr>
        <w:t>3</w:t>
      </w:r>
      <w:r>
        <w:rPr>
          <w:bCs/>
          <w:color w:val="000000"/>
          <w:sz w:val="24"/>
        </w:rPr>
        <w:t>进行计算。沼气产生量</w:t>
      </w:r>
      <w:r>
        <w:rPr>
          <w:rFonts w:hint="eastAsia"/>
          <w:bCs/>
          <w:kern w:val="0"/>
          <w:sz w:val="24"/>
        </w:rPr>
        <w:t>8.0818</w:t>
      </w:r>
      <w:r>
        <w:rPr>
          <w:bCs/>
          <w:kern w:val="0"/>
          <w:sz w:val="24"/>
        </w:rPr>
        <w:t>万</w:t>
      </w:r>
      <w:r>
        <w:rPr>
          <w:bCs/>
          <w:color w:val="000000"/>
          <w:sz w:val="24"/>
        </w:rPr>
        <w:t>m</w:t>
      </w:r>
      <w:r>
        <w:rPr>
          <w:bCs/>
          <w:color w:val="000000"/>
          <w:sz w:val="24"/>
          <w:vertAlign w:val="superscript"/>
        </w:rPr>
        <w:t>3</w:t>
      </w:r>
      <w:r>
        <w:rPr>
          <w:bCs/>
          <w:color w:val="000000"/>
          <w:sz w:val="24"/>
        </w:rPr>
        <w:t>/a。其中食堂用气量</w:t>
      </w:r>
      <w:r>
        <w:rPr>
          <w:rFonts w:hint="eastAsia"/>
          <w:bCs/>
          <w:color w:val="000000"/>
          <w:sz w:val="24"/>
        </w:rPr>
        <w:t>22356.25</w:t>
      </w:r>
      <w:r>
        <w:rPr>
          <w:bCs/>
          <w:color w:val="000000"/>
          <w:sz w:val="24"/>
        </w:rPr>
        <w:t>m</w:t>
      </w:r>
      <w:r>
        <w:rPr>
          <w:bCs/>
          <w:color w:val="000000"/>
          <w:sz w:val="24"/>
          <w:vertAlign w:val="superscript"/>
        </w:rPr>
        <w:t>3</w:t>
      </w:r>
      <w:r>
        <w:rPr>
          <w:bCs/>
          <w:color w:val="000000"/>
          <w:sz w:val="24"/>
        </w:rPr>
        <w:t>/a，沼气热水炉燃烧量</w:t>
      </w:r>
      <w:r>
        <w:rPr>
          <w:rFonts w:hint="eastAsia"/>
          <w:bCs/>
          <w:color w:val="000000"/>
          <w:sz w:val="24"/>
        </w:rPr>
        <w:t>58461.75</w:t>
      </w:r>
      <w:r>
        <w:rPr>
          <w:bCs/>
          <w:color w:val="000000"/>
          <w:sz w:val="24"/>
        </w:rPr>
        <w:t>m</w:t>
      </w:r>
      <w:r>
        <w:rPr>
          <w:bCs/>
          <w:color w:val="000000"/>
          <w:sz w:val="24"/>
          <w:vertAlign w:val="superscript"/>
        </w:rPr>
        <w:t>3</w:t>
      </w:r>
      <w:r>
        <w:rPr>
          <w:bCs/>
          <w:color w:val="000000"/>
          <w:sz w:val="24"/>
        </w:rPr>
        <w:t>/a</w:t>
      </w:r>
      <w:r>
        <w:rPr>
          <w:bCs/>
          <w:sz w:val="24"/>
        </w:rPr>
        <w:t>，</w:t>
      </w:r>
      <w:r>
        <w:rPr>
          <w:rFonts w:hint="eastAsia"/>
          <w:bCs/>
          <w:sz w:val="24"/>
        </w:rPr>
        <w:t>热源不足部分由电能</w:t>
      </w:r>
      <w:r>
        <w:rPr>
          <w:bCs/>
          <w:sz w:val="24"/>
        </w:rPr>
        <w:t>代替。</w:t>
      </w:r>
    </w:p>
    <w:p>
      <w:pPr>
        <w:topLinePunct/>
        <w:adjustRightInd w:val="0"/>
        <w:snapToGrid w:val="0"/>
        <w:spacing w:line="520" w:lineRule="exact"/>
        <w:rPr>
          <w:bCs/>
          <w:color w:val="000000"/>
          <w:sz w:val="24"/>
        </w:rPr>
      </w:pPr>
      <w:r>
        <w:rPr>
          <w:bCs/>
          <w:color w:val="000000"/>
          <w:sz w:val="24"/>
        </w:rPr>
        <w:t>5.2.1.6沼液综合利用措施可行性分析</w:t>
      </w:r>
    </w:p>
    <w:p>
      <w:pPr>
        <w:topLinePunct/>
        <w:spacing w:line="520" w:lineRule="exact"/>
        <w:ind w:firstLine="480" w:firstLineChars="200"/>
        <w:rPr>
          <w:b/>
          <w:bCs w:val="0"/>
          <w:color w:val="000000"/>
          <w:sz w:val="24"/>
          <w:u w:val="single"/>
        </w:rPr>
      </w:pPr>
      <w:r>
        <w:rPr>
          <w:b/>
          <w:bCs w:val="0"/>
          <w:color w:val="000000"/>
          <w:sz w:val="24"/>
          <w:u w:val="single"/>
        </w:rPr>
        <w:t>根据《国务院办公厅关于加快推进畜禽养殖废弃物资源化利用的意见》（国办发〔2017〕48号）、《畜禽粪污土地承载力测算技术指南》和项目工程分析中粪肥产生参数，本次评价从沼液营养成分、土地消纳能力以及现实操作性等方面来分析沼液农肥利用系统的可行性。</w:t>
      </w:r>
    </w:p>
    <w:p>
      <w:pPr>
        <w:topLinePunct/>
        <w:spacing w:line="520" w:lineRule="exact"/>
        <w:ind w:firstLine="480" w:firstLineChars="200"/>
        <w:rPr>
          <w:b/>
          <w:bCs w:val="0"/>
          <w:color w:val="000000"/>
          <w:sz w:val="24"/>
          <w:u w:val="single"/>
        </w:rPr>
      </w:pPr>
      <w:r>
        <w:rPr>
          <w:b/>
          <w:bCs w:val="0"/>
          <w:color w:val="000000"/>
          <w:sz w:val="24"/>
          <w:u w:val="single"/>
        </w:rPr>
        <w:t>（1）沼液营养成分</w:t>
      </w:r>
    </w:p>
    <w:p>
      <w:pPr>
        <w:topLinePunct/>
        <w:spacing w:line="520" w:lineRule="exact"/>
        <w:ind w:firstLine="480" w:firstLineChars="200"/>
        <w:rPr>
          <w:b/>
          <w:bCs w:val="0"/>
          <w:color w:val="000000"/>
          <w:sz w:val="24"/>
          <w:u w:val="single"/>
        </w:rPr>
      </w:pPr>
      <w:r>
        <w:rPr>
          <w:b/>
          <w:bCs w:val="0"/>
          <w:color w:val="000000"/>
          <w:sz w:val="24"/>
          <w:u w:val="single"/>
        </w:rPr>
        <w:t>根据国内外大量实验研究及实际运用表明，沼液尤其是养殖废水处理后的沼液，不仅含有作物所需求丰富的N、P、K等大量元素外，还含有硼、铜、铁、锰、钙、锌等中微量元素，以及大量的有机质、多种氨基酸和维生素等。施用沼液，不仅能显著改良土壤、增加作物产量、确保农作物生长所需要的良好微生态系统，还有利于增强其抗冻、抗旱、抗虫能力。因此沼液是一种非常理想的肥料。</w:t>
      </w:r>
    </w:p>
    <w:p>
      <w:pPr>
        <w:topLinePunct/>
        <w:spacing w:line="520" w:lineRule="exact"/>
        <w:ind w:firstLine="480"/>
        <w:rPr>
          <w:b/>
          <w:bCs w:val="0"/>
          <w:color w:val="000000"/>
          <w:sz w:val="24"/>
          <w:u w:val="single"/>
        </w:rPr>
      </w:pPr>
      <w:r>
        <w:rPr>
          <w:b/>
          <w:bCs w:val="0"/>
          <w:color w:val="000000"/>
          <w:sz w:val="24"/>
          <w:u w:val="single"/>
        </w:rPr>
        <w:t>（2）土地沼液消纳能力</w:t>
      </w:r>
    </w:p>
    <w:p>
      <w:pPr>
        <w:topLinePunct/>
        <w:spacing w:line="520" w:lineRule="exact"/>
        <w:ind w:firstLine="480"/>
        <w:rPr>
          <w:b/>
          <w:bCs w:val="0"/>
          <w:color w:val="000000"/>
          <w:sz w:val="24"/>
          <w:u w:val="single"/>
        </w:rPr>
      </w:pPr>
      <w:r>
        <w:rPr>
          <w:rFonts w:hint="eastAsia" w:ascii="宋体" w:hAnsi="宋体" w:cs="宋体"/>
          <w:b/>
          <w:bCs w:val="0"/>
          <w:color w:val="000000"/>
          <w:sz w:val="24"/>
          <w:u w:val="single"/>
        </w:rPr>
        <w:t>①</w:t>
      </w:r>
      <w:r>
        <w:rPr>
          <w:b/>
          <w:bCs w:val="0"/>
          <w:color w:val="000000"/>
          <w:sz w:val="24"/>
          <w:u w:val="single"/>
        </w:rPr>
        <w:t>消纳区域当前土壤养分水平</w:t>
      </w:r>
    </w:p>
    <w:p>
      <w:pPr>
        <w:widowControl/>
        <w:topLinePunct/>
        <w:spacing w:line="520" w:lineRule="exact"/>
        <w:ind w:firstLine="480" w:firstLineChars="200"/>
        <w:jc w:val="left"/>
        <w:rPr>
          <w:b/>
          <w:bCs w:val="0"/>
          <w:color w:val="000000"/>
          <w:sz w:val="24"/>
          <w:u w:val="single"/>
        </w:rPr>
      </w:pPr>
      <w:r>
        <w:rPr>
          <w:b/>
          <w:bCs w:val="0"/>
          <w:color w:val="000000"/>
          <w:sz w:val="24"/>
          <w:u w:val="single"/>
        </w:rPr>
        <w:t>多年来，平舆县耕作种植为一年两熟，夏季收获以小麦为主、秋季收获以玉米为主，因此农田消纳主要以小麦-玉米为主。根据近几年测土、试验研究结果，平舆县土壤碱解氮含量为57.6mg/kg，土壤贮氮量较低，应注重氮素的补给。土壤氮养分水平为</w:t>
      </w:r>
      <w:r>
        <w:rPr>
          <w:rFonts w:hint="eastAsia" w:ascii="宋体" w:hAnsi="宋体" w:cs="宋体"/>
          <w:b/>
          <w:bCs w:val="0"/>
          <w:color w:val="000000"/>
          <w:sz w:val="24"/>
          <w:u w:val="single"/>
        </w:rPr>
        <w:t>Ⅲ</w:t>
      </w:r>
      <w:r>
        <w:rPr>
          <w:b/>
          <w:bCs w:val="0"/>
          <w:color w:val="000000"/>
          <w:sz w:val="24"/>
          <w:u w:val="single"/>
        </w:rPr>
        <w:t>类水平。</w:t>
      </w:r>
    </w:p>
    <w:p>
      <w:pPr>
        <w:pStyle w:val="2"/>
        <w:ind w:firstLine="480"/>
        <w:rPr>
          <w:b/>
          <w:bCs w:val="0"/>
          <w:u w:val="single"/>
        </w:rPr>
      </w:pPr>
      <w:r>
        <w:rPr>
          <w:rFonts w:hint="eastAsia" w:ascii="宋体" w:hAnsi="宋体" w:cs="宋体"/>
          <w:b/>
          <w:bCs w:val="0"/>
          <w:color w:val="000000"/>
          <w:sz w:val="24"/>
          <w:u w:val="single"/>
        </w:rPr>
        <w:t>②</w:t>
      </w:r>
      <w:r>
        <w:rPr>
          <w:b/>
          <w:bCs w:val="0"/>
          <w:color w:val="000000"/>
          <w:sz w:val="24"/>
          <w:u w:val="single"/>
        </w:rPr>
        <w:t>本项目沼液氮素含量</w:t>
      </w:r>
    </w:p>
    <w:p>
      <w:pPr>
        <w:topLinePunct/>
        <w:spacing w:line="520" w:lineRule="exact"/>
        <w:ind w:firstLine="480" w:firstLineChars="200"/>
        <w:rPr>
          <w:b/>
          <w:bCs w:val="0"/>
          <w:color w:val="000000"/>
          <w:sz w:val="24"/>
          <w:u w:val="single"/>
        </w:rPr>
      </w:pPr>
      <w:r>
        <w:rPr>
          <w:b/>
          <w:bCs w:val="0"/>
          <w:color w:val="000000"/>
          <w:sz w:val="24"/>
          <w:u w:val="single"/>
        </w:rPr>
        <w:t>沼液中含量最多也是最主要的可被作物吸收利用的为N素。根据工程设计，全场沼液中的氨氮含量为900mg/L，查找类比资料可知，养殖废水中氨氮浓度为总氮的80%左右，则总氮浓度为1125mg/L。</w:t>
      </w:r>
    </w:p>
    <w:p>
      <w:pPr>
        <w:topLinePunct/>
        <w:spacing w:line="520" w:lineRule="exact"/>
        <w:ind w:firstLine="480"/>
        <w:rPr>
          <w:b/>
          <w:bCs w:val="0"/>
          <w:color w:val="000000"/>
          <w:sz w:val="24"/>
          <w:u w:val="single"/>
        </w:rPr>
      </w:pPr>
      <w:r>
        <w:rPr>
          <w:rFonts w:hint="eastAsia" w:ascii="宋体" w:hAnsi="宋体" w:cs="宋体"/>
          <w:b/>
          <w:bCs w:val="0"/>
          <w:color w:val="000000"/>
          <w:sz w:val="24"/>
          <w:u w:val="single"/>
        </w:rPr>
        <w:t>③</w:t>
      </w:r>
      <w:r>
        <w:rPr>
          <w:b/>
          <w:bCs w:val="0"/>
          <w:color w:val="000000"/>
          <w:sz w:val="24"/>
          <w:u w:val="single"/>
        </w:rPr>
        <w:t>农田消纳能力计算</w:t>
      </w:r>
    </w:p>
    <w:p>
      <w:pPr>
        <w:topLinePunct/>
        <w:spacing w:line="520" w:lineRule="exact"/>
        <w:ind w:firstLine="480"/>
        <w:rPr>
          <w:b/>
          <w:bCs w:val="0"/>
          <w:color w:val="000000"/>
          <w:sz w:val="24"/>
          <w:u w:val="single"/>
        </w:rPr>
      </w:pPr>
      <w:r>
        <w:rPr>
          <w:b/>
          <w:bCs w:val="0"/>
          <w:color w:val="000000"/>
          <w:sz w:val="24"/>
          <w:u w:val="single"/>
        </w:rPr>
        <w:t>根据《畜禽粪污土地承载力测算技术指南》要求，本项目治污方式为“固体粪便堆肥外供+肥水就地利用”。</w:t>
      </w:r>
    </w:p>
    <w:p>
      <w:pPr>
        <w:widowControl/>
        <w:shd w:val="clear" w:color="auto" w:fill="FFFFFF"/>
        <w:spacing w:line="520" w:lineRule="exact"/>
        <w:ind w:firstLine="480" w:firstLineChars="200"/>
        <w:rPr>
          <w:b/>
          <w:bCs w:val="0"/>
          <w:kern w:val="0"/>
          <w:sz w:val="24"/>
          <w:u w:val="single"/>
        </w:rPr>
      </w:pPr>
      <w:r>
        <w:rPr>
          <w:b/>
          <w:bCs w:val="0"/>
          <w:kern w:val="0"/>
          <w:sz w:val="24"/>
          <w:u w:val="single"/>
        </w:rPr>
        <w:t>（一）粪肥养分供给量</w:t>
      </w:r>
    </w:p>
    <w:p>
      <w:pPr>
        <w:widowControl/>
        <w:shd w:val="clear" w:color="auto" w:fill="FFFFFF"/>
        <w:spacing w:line="600" w:lineRule="atLeast"/>
        <w:jc w:val="left"/>
        <w:rPr>
          <w:b/>
          <w:bCs w:val="0"/>
          <w:kern w:val="0"/>
          <w:sz w:val="24"/>
          <w:u w:val="single"/>
        </w:rPr>
      </w:pPr>
      <w:r>
        <w:rPr>
          <w:b/>
          <w:bCs w:val="0"/>
          <w:kern w:val="0"/>
          <w:sz w:val="24"/>
          <w:u w:val="single"/>
        </w:rPr>
        <w:drawing>
          <wp:anchor distT="0" distB="0" distL="114300" distR="114300" simplePos="0" relativeHeight="251764736" behindDoc="0" locked="0" layoutInCell="1" allowOverlap="1">
            <wp:simplePos x="0" y="0"/>
            <wp:positionH relativeFrom="column">
              <wp:posOffset>1410970</wp:posOffset>
            </wp:positionH>
            <wp:positionV relativeFrom="paragraph">
              <wp:posOffset>90170</wp:posOffset>
            </wp:positionV>
            <wp:extent cx="2893695" cy="400050"/>
            <wp:effectExtent l="0" t="0" r="1905" b="0"/>
            <wp:wrapNone/>
            <wp:docPr id="2687" name="图片 1" descr="http://www.moa.gov.cn/gk/tzgg_1/tfw/201801/W020180122651078150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 name="图片 1" descr="http://www.moa.gov.cn/gk/tzgg_1/tfw/201801/W020180122651078150186.gif"/>
                    <pic:cNvPicPr>
                      <a:picLocks noChangeAspect="1" noChangeArrowheads="1"/>
                    </pic:cNvPicPr>
                  </pic:nvPicPr>
                  <pic:blipFill>
                    <a:blip r:embed="rId47" cstate="print"/>
                    <a:srcRect/>
                    <a:stretch>
                      <a:fillRect/>
                    </a:stretch>
                  </pic:blipFill>
                  <pic:spPr>
                    <a:xfrm>
                      <a:off x="0" y="0"/>
                      <a:ext cx="2893695" cy="400050"/>
                    </a:xfrm>
                    <a:prstGeom prst="rect">
                      <a:avLst/>
                    </a:prstGeom>
                    <a:noFill/>
                    <a:ln w="9525">
                      <a:noFill/>
                      <a:miter lim="800000"/>
                      <a:headEnd/>
                      <a:tailEnd/>
                    </a:ln>
                  </pic:spPr>
                </pic:pic>
              </a:graphicData>
            </a:graphic>
          </wp:anchor>
        </w:drawing>
      </w:r>
      <w:r>
        <w:rPr>
          <w:b/>
          <w:bCs w:val="0"/>
          <w:kern w:val="0"/>
          <w:sz w:val="24"/>
          <w:u w:val="single"/>
        </w:rPr>
        <w:t xml:space="preserve">      粪肥养分供给量=</w:t>
      </w:r>
    </w:p>
    <w:p>
      <w:pPr>
        <w:topLinePunct/>
        <w:spacing w:line="520" w:lineRule="exact"/>
        <w:ind w:firstLine="480"/>
        <w:rPr>
          <w:b/>
          <w:bCs w:val="0"/>
          <w:color w:val="000000"/>
          <w:sz w:val="24"/>
          <w:u w:val="single"/>
        </w:rPr>
      </w:pPr>
      <w:r>
        <w:rPr>
          <w:b/>
          <w:bCs w:val="0"/>
          <w:color w:val="000000"/>
          <w:sz w:val="24"/>
          <w:u w:val="single"/>
        </w:rPr>
        <w:t>由第二章工程分析可知项目废水总量72737.2</w:t>
      </w:r>
      <w:r>
        <w:rPr>
          <w:b/>
          <w:bCs w:val="0"/>
          <w:sz w:val="24"/>
          <w:u w:val="single"/>
        </w:rPr>
        <w:t>m</w:t>
      </w:r>
      <w:r>
        <w:rPr>
          <w:b/>
          <w:bCs w:val="0"/>
          <w:sz w:val="24"/>
          <w:u w:val="single"/>
          <w:vertAlign w:val="superscript"/>
        </w:rPr>
        <w:t>3</w:t>
      </w:r>
      <w:r>
        <w:rPr>
          <w:b/>
          <w:bCs w:val="0"/>
          <w:sz w:val="24"/>
          <w:u w:val="single"/>
        </w:rPr>
        <w:t>/a，氨氮最终产生浓度为900</w:t>
      </w:r>
      <w:r>
        <w:rPr>
          <w:b/>
          <w:bCs w:val="0"/>
          <w:color w:val="000000"/>
          <w:sz w:val="24"/>
          <w:u w:val="single"/>
        </w:rPr>
        <w:t xml:space="preserve"> mg/L，折合总氮浓度为1125mg/L，则项目氮素总量为96.04t/a。</w:t>
      </w:r>
    </w:p>
    <w:p>
      <w:pPr>
        <w:tabs>
          <w:tab w:val="left" w:pos="615"/>
        </w:tabs>
        <w:spacing w:line="520" w:lineRule="exact"/>
        <w:ind w:firstLine="480" w:firstLineChars="200"/>
        <w:rPr>
          <w:b/>
          <w:bCs w:val="0"/>
          <w:sz w:val="24"/>
          <w:u w:val="single"/>
        </w:rPr>
      </w:pPr>
      <w:r>
        <w:rPr>
          <w:b/>
          <w:bCs w:val="0"/>
          <w:sz w:val="24"/>
          <w:u w:val="single"/>
        </w:rPr>
        <w:t>（二）单位土地粪肥养分需求量</w:t>
      </w:r>
    </w:p>
    <w:p>
      <w:pPr>
        <w:pStyle w:val="2"/>
        <w:ind w:firstLine="400"/>
        <w:rPr>
          <w:b/>
          <w:bCs w:val="0"/>
          <w:u w:val="single"/>
        </w:rPr>
      </w:pPr>
      <w:r>
        <w:rPr>
          <w:b/>
          <w:bCs w:val="0"/>
          <w:u w:val="single"/>
        </w:rPr>
        <w:drawing>
          <wp:inline distT="0" distB="0" distL="0" distR="0">
            <wp:extent cx="5534025" cy="419100"/>
            <wp:effectExtent l="19050" t="0" r="9525" b="0"/>
            <wp:docPr id="25" name="图片 9" descr="C:\Users\wl\AppData\Local\Temp\1571040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C:\Users\wl\AppData\Local\Temp\1571040070(1).png"/>
                    <pic:cNvPicPr>
                      <a:picLocks noChangeAspect="1" noChangeArrowheads="1"/>
                    </pic:cNvPicPr>
                  </pic:nvPicPr>
                  <pic:blipFill>
                    <a:blip r:embed="rId48" cstate="print"/>
                    <a:srcRect/>
                    <a:stretch>
                      <a:fillRect/>
                    </a:stretch>
                  </pic:blipFill>
                  <pic:spPr>
                    <a:xfrm>
                      <a:off x="0" y="0"/>
                      <a:ext cx="5534025" cy="419100"/>
                    </a:xfrm>
                    <a:prstGeom prst="rect">
                      <a:avLst/>
                    </a:prstGeom>
                    <a:noFill/>
                    <a:ln w="9525">
                      <a:noFill/>
                      <a:miter lim="800000"/>
                      <a:headEnd/>
                      <a:tailEnd/>
                    </a:ln>
                  </pic:spPr>
                </pic:pic>
              </a:graphicData>
            </a:graphic>
          </wp:inline>
        </w:drawing>
      </w:r>
    </w:p>
    <w:p>
      <w:pPr>
        <w:widowControl/>
        <w:shd w:val="clear" w:color="auto" w:fill="FFFFFF"/>
        <w:spacing w:line="520" w:lineRule="exact"/>
        <w:ind w:firstLine="480" w:firstLineChars="200"/>
        <w:rPr>
          <w:b/>
          <w:bCs w:val="0"/>
          <w:kern w:val="0"/>
          <w:sz w:val="24"/>
          <w:u w:val="single"/>
        </w:rPr>
      </w:pPr>
      <w:r>
        <w:rPr>
          <w:b/>
          <w:bCs w:val="0"/>
          <w:kern w:val="0"/>
          <w:sz w:val="24"/>
          <w:u w:val="single"/>
        </w:rPr>
        <w:t>单位土地养分需求量：根据《畜禽粪污土地承载力测算技术指南》，单位土地养分需求量为规模养殖场单位面积配套土地种植的各类植物在目标产量下的氮（磷）养分需求量之和；由本指南中的表3-1并结合项目区近年来农作物产量情况，确定项目配套土地小麦和玉米的产量分别为500</w:t>
      </w:r>
      <w:r>
        <w:rPr>
          <w:b/>
          <w:bCs w:val="0"/>
          <w:sz w:val="24"/>
          <w:u w:val="single"/>
        </w:rPr>
        <w:t>kg/亩</w:t>
      </w:r>
      <w:r>
        <w:rPr>
          <w:b/>
          <w:bCs w:val="0"/>
          <w:kern w:val="0"/>
          <w:sz w:val="24"/>
          <w:u w:val="single"/>
          <w:shd w:val="clear" w:color="auto" w:fill="FFFFFF"/>
        </w:rPr>
        <w:t xml:space="preserve">、600 </w:t>
      </w:r>
      <w:r>
        <w:rPr>
          <w:b/>
          <w:bCs w:val="0"/>
          <w:sz w:val="24"/>
          <w:u w:val="single"/>
        </w:rPr>
        <w:t>kg/亩</w:t>
      </w:r>
      <w:r>
        <w:rPr>
          <w:b/>
          <w:bCs w:val="0"/>
          <w:kern w:val="0"/>
          <w:sz w:val="24"/>
          <w:u w:val="single"/>
        </w:rPr>
        <w:t>；由本指南中的表1每100 kg产量的小麦和玉米需要吸收氮量分别为3.0 kg、2.3 kg；配套土地种植小麦和玉米的单位土地养分需求量分别为15.0 kg/亩、13.8 kg/亩；</w:t>
      </w:r>
    </w:p>
    <w:p>
      <w:pPr>
        <w:widowControl/>
        <w:shd w:val="clear" w:color="auto" w:fill="FFFFFF"/>
        <w:spacing w:line="520" w:lineRule="exact"/>
        <w:ind w:firstLine="480" w:firstLineChars="200"/>
        <w:rPr>
          <w:b/>
          <w:bCs w:val="0"/>
          <w:kern w:val="0"/>
          <w:sz w:val="24"/>
          <w:u w:val="single"/>
        </w:rPr>
      </w:pPr>
      <w:r>
        <w:rPr>
          <w:b/>
          <w:bCs w:val="0"/>
          <w:kern w:val="0"/>
          <w:sz w:val="24"/>
          <w:u w:val="single"/>
        </w:rPr>
        <w:t>施肥供给养分占比：土壤养分水平为</w:t>
      </w:r>
      <w:r>
        <w:rPr>
          <w:rFonts w:hint="eastAsia" w:ascii="宋体" w:hAnsi="宋体" w:cs="宋体"/>
          <w:b/>
          <w:bCs w:val="0"/>
          <w:kern w:val="0"/>
          <w:sz w:val="24"/>
          <w:u w:val="single"/>
        </w:rPr>
        <w:t>Ⅲ</w:t>
      </w:r>
      <w:r>
        <w:rPr>
          <w:b/>
          <w:bCs w:val="0"/>
          <w:kern w:val="0"/>
          <w:sz w:val="24"/>
          <w:u w:val="single"/>
        </w:rPr>
        <w:t>类土壤，结合《畜禽粪污土地承载力测算技术指南》中表2，本次施肥供给占比取45％；</w:t>
      </w:r>
    </w:p>
    <w:p>
      <w:pPr>
        <w:widowControl/>
        <w:shd w:val="clear" w:color="auto" w:fill="FFFFFF"/>
        <w:spacing w:line="520" w:lineRule="exact"/>
        <w:ind w:firstLine="480" w:firstLineChars="200"/>
        <w:rPr>
          <w:b/>
          <w:bCs w:val="0"/>
          <w:kern w:val="0"/>
          <w:sz w:val="24"/>
          <w:u w:val="single"/>
        </w:rPr>
      </w:pPr>
      <w:r>
        <w:rPr>
          <w:b/>
          <w:bCs w:val="0"/>
          <w:kern w:val="0"/>
          <w:sz w:val="24"/>
          <w:u w:val="single"/>
        </w:rPr>
        <w:t>粪肥占施肥比例：75％（配套消纳地将沼液作为底肥和基肥使用使用量按总施肥量的75%计，其他肥料使用量按25%）；</w:t>
      </w:r>
    </w:p>
    <w:p>
      <w:pPr>
        <w:widowControl/>
        <w:shd w:val="clear" w:color="auto" w:fill="FFFFFF"/>
        <w:adjustRightInd w:val="0"/>
        <w:spacing w:line="520" w:lineRule="exact"/>
        <w:ind w:left="-105" w:leftChars="-50" w:firstLine="480" w:firstLineChars="200"/>
        <w:rPr>
          <w:b/>
          <w:bCs w:val="0"/>
          <w:kern w:val="0"/>
          <w:sz w:val="24"/>
          <w:u w:val="single"/>
        </w:rPr>
      </w:pPr>
      <w:r>
        <w:rPr>
          <w:b/>
          <w:bCs w:val="0"/>
          <w:kern w:val="0"/>
          <w:sz w:val="24"/>
          <w:u w:val="single"/>
        </w:rPr>
        <w:t>粪肥当季利用率：25％（粪肥中氮素当季利用率推荐值为25%—30%，具体根据当地实际情况确定，本项目取25％）</w:t>
      </w:r>
    </w:p>
    <w:p>
      <w:pPr>
        <w:widowControl/>
        <w:spacing w:line="510" w:lineRule="exact"/>
        <w:ind w:firstLine="480" w:firstLineChars="200"/>
        <w:jc w:val="left"/>
        <w:rPr>
          <w:b/>
          <w:bCs w:val="0"/>
          <w:kern w:val="0"/>
          <w:sz w:val="24"/>
          <w:u w:val="single"/>
        </w:rPr>
      </w:pPr>
      <w:r>
        <w:rPr>
          <w:b/>
          <w:bCs w:val="0"/>
          <w:kern w:val="0"/>
          <w:sz w:val="24"/>
          <w:u w:val="single"/>
        </w:rPr>
        <w:t>则项目区土地种植小麦时单位土地粪肥养分需求量为20.25kg/亩；地种植玉米时单位土地粪肥养分需求量为18.63kg/亩；</w:t>
      </w:r>
    </w:p>
    <w:p>
      <w:pPr>
        <w:widowControl/>
        <w:shd w:val="clear" w:color="auto" w:fill="FFFFFF"/>
        <w:adjustRightInd w:val="0"/>
        <w:spacing w:line="520" w:lineRule="exact"/>
        <w:ind w:left="-105" w:leftChars="-50" w:firstLine="480" w:firstLineChars="200"/>
        <w:rPr>
          <w:b/>
          <w:bCs w:val="0"/>
          <w:kern w:val="0"/>
          <w:sz w:val="24"/>
          <w:u w:val="single"/>
        </w:rPr>
      </w:pPr>
      <w:r>
        <w:rPr>
          <w:b/>
          <w:bCs w:val="0"/>
          <w:kern w:val="0"/>
          <w:sz w:val="24"/>
          <w:u w:val="single"/>
        </w:rPr>
        <w:t>则项目区单位土地全年粪肥养分需求量为38.88kg/亩；因此本项目配套消纳地面积约为</w:t>
      </w:r>
      <w:r>
        <w:rPr>
          <w:rFonts w:hint="eastAsia"/>
          <w:b/>
          <w:bCs w:val="0"/>
          <w:kern w:val="0"/>
          <w:sz w:val="24"/>
          <w:u w:val="single"/>
        </w:rPr>
        <w:t>2105</w:t>
      </w:r>
      <w:r>
        <w:rPr>
          <w:b/>
          <w:bCs w:val="0"/>
          <w:kern w:val="0"/>
          <w:sz w:val="24"/>
          <w:u w:val="single"/>
        </w:rPr>
        <w:t>亩。</w:t>
      </w:r>
    </w:p>
    <w:p>
      <w:pPr>
        <w:spacing w:line="520" w:lineRule="exact"/>
        <w:ind w:firstLine="480"/>
        <w:rPr>
          <w:b/>
          <w:bCs w:val="0"/>
          <w:color w:val="000000"/>
          <w:sz w:val="24"/>
          <w:u w:val="single"/>
        </w:rPr>
      </w:pPr>
      <w:r>
        <w:rPr>
          <w:b/>
          <w:bCs w:val="0"/>
          <w:color w:val="000000"/>
          <w:sz w:val="24"/>
          <w:u w:val="single"/>
        </w:rPr>
        <w:t>平舆牧原农牧有限公司和周边村民委员会签订沼液综合利用协议（见附件7），共利用3</w:t>
      </w:r>
      <w:r>
        <w:rPr>
          <w:rFonts w:hint="eastAsia"/>
          <w:b/>
          <w:bCs w:val="0"/>
          <w:color w:val="000000"/>
          <w:sz w:val="24"/>
          <w:u w:val="single"/>
        </w:rPr>
        <w:t>20</w:t>
      </w:r>
      <w:r>
        <w:rPr>
          <w:b/>
          <w:bCs w:val="0"/>
          <w:color w:val="000000"/>
          <w:sz w:val="24"/>
          <w:u w:val="single"/>
        </w:rPr>
        <w:t>0亩农田，消纳项目产生的沼液。消纳地由当地农民根据需要自己种植作物，公司负责无偿将沼液输送管网铺设至田间地头，并定期派出管理和技术人员指导农户合理施用沼液。</w:t>
      </w:r>
    </w:p>
    <w:p>
      <w:pPr>
        <w:topLinePunct/>
        <w:spacing w:line="500" w:lineRule="exact"/>
        <w:ind w:firstLine="480"/>
        <w:rPr>
          <w:b/>
          <w:bCs w:val="0"/>
          <w:color w:val="000000"/>
          <w:sz w:val="24"/>
          <w:u w:val="single"/>
        </w:rPr>
      </w:pPr>
      <w:r>
        <w:rPr>
          <w:b/>
          <w:bCs w:val="0"/>
          <w:color w:val="000000"/>
          <w:sz w:val="24"/>
          <w:u w:val="single"/>
        </w:rPr>
        <w:t>综上，用于本项目沼液消纳地面积为</w:t>
      </w:r>
      <w:r>
        <w:rPr>
          <w:rFonts w:hint="eastAsia"/>
          <w:b/>
          <w:bCs w:val="0"/>
          <w:color w:val="000000"/>
          <w:sz w:val="24"/>
          <w:u w:val="single"/>
        </w:rPr>
        <w:t>320</w:t>
      </w:r>
      <w:r>
        <w:rPr>
          <w:b/>
          <w:bCs w:val="0"/>
          <w:color w:val="000000"/>
          <w:sz w:val="24"/>
          <w:u w:val="single"/>
        </w:rPr>
        <w:t>0亩，大于计算得出的</w:t>
      </w:r>
      <w:r>
        <w:rPr>
          <w:rFonts w:hint="eastAsia"/>
          <w:b/>
          <w:bCs w:val="0"/>
          <w:color w:val="000000"/>
          <w:sz w:val="24"/>
          <w:u w:val="single"/>
        </w:rPr>
        <w:t>2105</w:t>
      </w:r>
      <w:r>
        <w:rPr>
          <w:b/>
          <w:bCs w:val="0"/>
          <w:color w:val="000000"/>
          <w:sz w:val="24"/>
          <w:u w:val="single"/>
        </w:rPr>
        <w:t>亩，因此本项目沼液消纳地可以消纳项目产生的全部沼液。</w:t>
      </w:r>
    </w:p>
    <w:p>
      <w:pPr>
        <w:widowControl/>
        <w:topLinePunct/>
        <w:spacing w:line="510" w:lineRule="exact"/>
        <w:ind w:firstLine="480" w:firstLineChars="200"/>
        <w:jc w:val="left"/>
        <w:rPr>
          <w:b/>
          <w:bCs w:val="0"/>
          <w:color w:val="000000"/>
          <w:sz w:val="24"/>
          <w:u w:val="single"/>
        </w:rPr>
      </w:pPr>
      <w:r>
        <w:rPr>
          <w:b/>
          <w:bCs w:val="0"/>
          <w:color w:val="000000"/>
          <w:sz w:val="24"/>
          <w:u w:val="single"/>
        </w:rPr>
        <w:t>（3）沼液利用的现实操作性</w:t>
      </w:r>
    </w:p>
    <w:p>
      <w:pPr>
        <w:widowControl/>
        <w:topLinePunct/>
        <w:spacing w:line="510" w:lineRule="exact"/>
        <w:ind w:firstLine="480" w:firstLineChars="200"/>
        <w:jc w:val="left"/>
        <w:rPr>
          <w:b/>
          <w:bCs w:val="0"/>
          <w:color w:val="000000"/>
          <w:sz w:val="24"/>
          <w:u w:val="single"/>
        </w:rPr>
      </w:pPr>
      <w:r>
        <w:rPr>
          <w:b/>
          <w:bCs w:val="0"/>
          <w:color w:val="000000"/>
          <w:sz w:val="24"/>
          <w:u w:val="single"/>
        </w:rPr>
        <w:t>根据当地的种植规律及施肥规律，对于小麦和玉米均为施基肥两次，小麦在返青期或拔节期进行施肥，玉米在大喇叭口期进行施肥，因此本评价建议沼液储存池的储存时间按</w:t>
      </w:r>
      <w:r>
        <w:rPr>
          <w:rFonts w:hint="eastAsia"/>
          <w:b/>
          <w:bCs w:val="0"/>
          <w:color w:val="000000"/>
          <w:sz w:val="24"/>
          <w:u w:val="single"/>
        </w:rPr>
        <w:t>166</w:t>
      </w:r>
      <w:r>
        <w:rPr>
          <w:b/>
          <w:bCs w:val="0"/>
          <w:color w:val="000000"/>
          <w:sz w:val="24"/>
          <w:u w:val="single"/>
        </w:rPr>
        <w:t>天计。</w:t>
      </w:r>
    </w:p>
    <w:p>
      <w:pPr>
        <w:widowControl/>
        <w:topLinePunct/>
        <w:spacing w:line="510" w:lineRule="exact"/>
        <w:ind w:firstLine="480" w:firstLineChars="200"/>
        <w:jc w:val="left"/>
        <w:rPr>
          <w:b/>
          <w:bCs w:val="0"/>
          <w:color w:val="000000"/>
          <w:sz w:val="24"/>
          <w:u w:val="single"/>
        </w:rPr>
      </w:pPr>
      <w:r>
        <w:rPr>
          <w:b/>
          <w:bCs w:val="0"/>
          <w:color w:val="000000"/>
          <w:sz w:val="24"/>
          <w:u w:val="single"/>
        </w:rPr>
        <w:t>根据走访调研，当地群众施肥规律，本评价提出沼液施肥方式为每年两次基肥。项目全场沼液的产生量为72737.2m</w:t>
      </w:r>
      <w:r>
        <w:rPr>
          <w:b/>
          <w:bCs w:val="0"/>
          <w:color w:val="000000"/>
          <w:sz w:val="24"/>
          <w:u w:val="single"/>
          <w:vertAlign w:val="superscript"/>
        </w:rPr>
        <w:t>3</w:t>
      </w:r>
      <w:r>
        <w:rPr>
          <w:b/>
          <w:bCs w:val="0"/>
          <w:color w:val="000000"/>
          <w:sz w:val="24"/>
          <w:u w:val="single"/>
        </w:rPr>
        <w:t>/a，沼液消纳地面积为</w:t>
      </w:r>
      <w:r>
        <w:rPr>
          <w:rFonts w:hint="eastAsia"/>
          <w:b/>
          <w:bCs w:val="0"/>
          <w:color w:val="000000"/>
          <w:sz w:val="24"/>
          <w:u w:val="single"/>
        </w:rPr>
        <w:t>3200亩</w:t>
      </w:r>
      <w:r>
        <w:rPr>
          <w:b/>
          <w:bCs w:val="0"/>
          <w:color w:val="000000"/>
          <w:sz w:val="24"/>
          <w:u w:val="single"/>
        </w:rPr>
        <w:t>，平舆牧原农牧有限公司在沼液消纳区无偿建设沼液输送管网，并合理设置预留口。</w:t>
      </w:r>
    </w:p>
    <w:p>
      <w:pPr>
        <w:widowControl/>
        <w:shd w:val="clear" w:color="auto" w:fill="FFFFFF"/>
        <w:topLinePunct/>
        <w:spacing w:line="500" w:lineRule="exact"/>
        <w:ind w:firstLine="480" w:firstLineChars="200"/>
        <w:jc w:val="left"/>
        <w:rPr>
          <w:b/>
          <w:bCs w:val="0"/>
          <w:color w:val="000000"/>
          <w:kern w:val="0"/>
          <w:sz w:val="24"/>
          <w:u w:val="single"/>
        </w:rPr>
      </w:pPr>
      <w:r>
        <w:rPr>
          <w:b/>
          <w:bCs w:val="0"/>
          <w:color w:val="000000"/>
          <w:kern w:val="0"/>
          <w:sz w:val="24"/>
          <w:u w:val="single"/>
        </w:rPr>
        <w:t>沼液施肥首部包括：动力系统、沼液泵、管道安全装置、电器保护装置。泵站设计应充分考虑施肥区的覆盖面积、扬程。沼液泵必须满足抽提含有纤维或其它悬浮物的高粘稠液体的要求，泵、管网及管件具抗腐蚀性。</w:t>
      </w:r>
    </w:p>
    <w:p>
      <w:pPr>
        <w:topLinePunct/>
        <w:spacing w:line="500" w:lineRule="exact"/>
        <w:ind w:firstLine="480"/>
        <w:rPr>
          <w:b/>
          <w:bCs w:val="0"/>
          <w:color w:val="000000"/>
          <w:sz w:val="24"/>
          <w:u w:val="single"/>
        </w:rPr>
      </w:pPr>
      <w:r>
        <w:rPr>
          <w:b/>
          <w:bCs w:val="0"/>
          <w:color w:val="000000"/>
          <w:sz w:val="24"/>
          <w:u w:val="single"/>
        </w:rPr>
        <w:t>安装管道安全装置、电器保护装置的设计应根据抽提扬程、出液量，实现管道自动调压抗爆、排堵防蚀和过载保护，满足普通UPVC等廉价管材在沼液提灌中不堵塞、不爆管，接口不拉裂、不滴漏的需要，降低建造和运行成本。</w:t>
      </w:r>
    </w:p>
    <w:p>
      <w:pPr>
        <w:widowControl/>
        <w:shd w:val="clear" w:color="auto" w:fill="FFFFFF"/>
        <w:topLinePunct/>
        <w:spacing w:line="500" w:lineRule="exact"/>
        <w:ind w:firstLine="480" w:firstLineChars="200"/>
        <w:jc w:val="left"/>
        <w:rPr>
          <w:b/>
          <w:bCs w:val="0"/>
          <w:color w:val="000000"/>
          <w:kern w:val="0"/>
          <w:sz w:val="24"/>
          <w:u w:val="single"/>
        </w:rPr>
      </w:pPr>
      <w:r>
        <w:rPr>
          <w:b/>
          <w:bCs w:val="0"/>
          <w:color w:val="000000"/>
          <w:kern w:val="0"/>
          <w:sz w:val="24"/>
          <w:u w:val="single"/>
        </w:rPr>
        <w:t>沼液施肥管网必须具有自动防爆抗堵等安全功能，具有效防止管道沼液二次产气爆管，沼渣、厌氧菌落群生长和化学沉淀物、鸟粪石等堵管的处置设计和工艺装置，具有迅速发现和确定管道堵塞位置的监测装置。安装的防爆裂、防堵塞安全装置能够保证UPVC、PVC、PE等塑料管材在沼液管道灌溉中不出现堵塞、爆裂，接口拉裂、漏水等质量安全问题，保证沼液施肥管网的长期使用和安全运行。</w:t>
      </w:r>
    </w:p>
    <w:p>
      <w:pPr>
        <w:topLinePunct/>
        <w:spacing w:line="500" w:lineRule="exact"/>
        <w:ind w:firstLine="480"/>
        <w:rPr>
          <w:b/>
          <w:bCs w:val="0"/>
          <w:color w:val="000000"/>
          <w:sz w:val="24"/>
          <w:u w:val="single"/>
        </w:rPr>
      </w:pPr>
      <w:r>
        <w:rPr>
          <w:b/>
          <w:bCs w:val="0"/>
          <w:color w:val="000000"/>
          <w:sz w:val="24"/>
          <w:u w:val="single"/>
        </w:rPr>
        <w:t>各种管线应全面安排，用不同颜色加以区别，要避免迂回曲折和相互干扰，沼液输送管道与管件必须具防腐性，管线布置应尽量减少管道弯头，减少能量损耗和便于清通。主要管网宜采用埋设，距管顶深度</w:t>
      </w:r>
      <w:r>
        <w:rPr>
          <w:rFonts w:hint="eastAsia" w:ascii="宋体" w:hAnsi="宋体" w:cs="宋体"/>
          <w:b/>
          <w:bCs w:val="0"/>
          <w:color w:val="000000"/>
          <w:sz w:val="24"/>
          <w:u w:val="single"/>
        </w:rPr>
        <w:t>≧</w:t>
      </w:r>
      <w:r>
        <w:rPr>
          <w:b/>
          <w:bCs w:val="0"/>
          <w:color w:val="000000"/>
          <w:sz w:val="24"/>
          <w:u w:val="single"/>
        </w:rPr>
        <w:t>40cm，裸露部分应选用抗老化材料或进行防老化处理。长距离直线管道要设计防热胀冷缩的构造。</w:t>
      </w:r>
    </w:p>
    <w:p>
      <w:pPr>
        <w:spacing w:line="520" w:lineRule="exact"/>
        <w:ind w:firstLine="480"/>
        <w:rPr>
          <w:b/>
          <w:bCs w:val="0"/>
          <w:color w:val="000000"/>
          <w:sz w:val="24"/>
          <w:u w:val="single"/>
        </w:rPr>
      </w:pPr>
      <w:r>
        <w:rPr>
          <w:b/>
          <w:bCs w:val="0"/>
          <w:color w:val="000000"/>
          <w:sz w:val="24"/>
          <w:u w:val="single"/>
        </w:rPr>
        <w:t>针对本项目，由场区沼液储存池引至施肥农田主干管长度为3500m，支管长度为16000m。项目使用的管材为PVC管，主干管直径为160mm，主干管直径为160mm，支管直径分别为110mm和75mm。项目沼液在沼液储存池暂存，施肥期经流进沼液主干管，再从主干管流入支管，在支管的末端设置有阀门，方便农户自主选择使用。</w:t>
      </w:r>
    </w:p>
    <w:p>
      <w:pPr>
        <w:topLinePunct/>
        <w:spacing w:line="520" w:lineRule="exact"/>
        <w:ind w:firstLine="480"/>
        <w:rPr>
          <w:b/>
          <w:bCs w:val="0"/>
          <w:color w:val="000000"/>
          <w:sz w:val="24"/>
          <w:u w:val="single"/>
        </w:rPr>
      </w:pPr>
      <w:r>
        <w:rPr>
          <w:b/>
          <w:bCs w:val="0"/>
          <w:color w:val="000000"/>
          <w:sz w:val="24"/>
          <w:u w:val="single"/>
        </w:rPr>
        <w:t>根据沼液综合利用协议可知，牧原公司根据农民土地位置设计并负责铺设沼液输送管网等综合利用配套设施，在每个施肥口设有阀门，每两个施肥口间隔50-60m。农肥利用季节农民根据自身需要进行使用。</w:t>
      </w:r>
    </w:p>
    <w:p>
      <w:pPr>
        <w:widowControl/>
        <w:topLinePunct/>
        <w:spacing w:line="510" w:lineRule="exact"/>
        <w:ind w:firstLine="480" w:firstLineChars="200"/>
        <w:jc w:val="left"/>
        <w:rPr>
          <w:b/>
          <w:bCs w:val="0"/>
          <w:color w:val="000000"/>
          <w:sz w:val="24"/>
          <w:u w:val="single"/>
        </w:rPr>
      </w:pPr>
      <w:r>
        <w:rPr>
          <w:b/>
          <w:bCs w:val="0"/>
          <w:color w:val="000000"/>
          <w:sz w:val="24"/>
          <w:u w:val="single"/>
        </w:rPr>
        <w:t>沼液输送管线，做好防腐工作，定期进行检修，一旦发现滴漏，沼液排入沼液储存池，待维护完毕后方可输送；</w:t>
      </w:r>
    </w:p>
    <w:p>
      <w:pPr>
        <w:widowControl/>
        <w:topLinePunct/>
        <w:spacing w:line="510" w:lineRule="exact"/>
        <w:ind w:firstLine="480" w:firstLineChars="200"/>
        <w:jc w:val="left"/>
        <w:rPr>
          <w:b/>
          <w:bCs w:val="0"/>
          <w:color w:val="000000"/>
          <w:sz w:val="24"/>
          <w:u w:val="single"/>
        </w:rPr>
      </w:pPr>
      <w:r>
        <w:rPr>
          <w:b/>
          <w:bCs w:val="0"/>
          <w:color w:val="000000"/>
          <w:sz w:val="24"/>
          <w:u w:val="single"/>
        </w:rPr>
        <w:t>施肥区根据地形进行单元划分，分单元进行开沟施肥，支管阀门间隔50-60m，防止农田施肥不匀引起的地下水污染问题；</w:t>
      </w:r>
    </w:p>
    <w:p>
      <w:pPr>
        <w:topLinePunct/>
        <w:spacing w:line="520" w:lineRule="exact"/>
        <w:ind w:firstLine="480" w:firstLineChars="200"/>
        <w:rPr>
          <w:b/>
          <w:bCs w:val="0"/>
          <w:color w:val="000000"/>
          <w:sz w:val="24"/>
          <w:u w:val="single"/>
        </w:rPr>
      </w:pPr>
      <w:r>
        <w:rPr>
          <w:b/>
          <w:bCs w:val="0"/>
          <w:color w:val="000000"/>
          <w:sz w:val="24"/>
          <w:u w:val="single"/>
        </w:rPr>
        <w:t>严格根据评价要求，控制施肥量，严禁突击施肥，在非施肥季节及雨季，沼液由沼液储存池暂存。</w:t>
      </w:r>
    </w:p>
    <w:p>
      <w:pPr>
        <w:spacing w:line="500" w:lineRule="exact"/>
        <w:ind w:firstLine="480" w:firstLineChars="200"/>
        <w:rPr>
          <w:b/>
          <w:bCs w:val="0"/>
          <w:color w:val="000000"/>
          <w:sz w:val="24"/>
          <w:u w:val="single"/>
        </w:rPr>
      </w:pPr>
      <w:r>
        <w:rPr>
          <w:b/>
          <w:bCs w:val="0"/>
          <w:color w:val="000000"/>
          <w:sz w:val="24"/>
          <w:u w:val="single"/>
        </w:rPr>
        <w:t xml:space="preserve">根据南阳市卧龙牧原养殖有限公司安皋分场年出栏20万头生猪养殖建设项目的沼液重金属含量检测数据（检测因子包括铜、锌、铬、镉、砷、汞、铅），其中铜的含量为1.87mg/L，其他因子均未检出。沼液属于液态有机肥，经查阅，目前国家尚未出台液态有机肥标准，因此本项目将参考《有机肥料》（NY525-2012）表2有机肥中重金属限量指标，经对照，本项目沼液中重金属含量能够满足标准要求。 </w:t>
      </w:r>
    </w:p>
    <w:p>
      <w:pPr>
        <w:topLinePunct/>
        <w:spacing w:line="500" w:lineRule="exact"/>
        <w:ind w:firstLine="480" w:firstLineChars="200"/>
        <w:rPr>
          <w:b/>
          <w:bCs w:val="0"/>
          <w:color w:val="000000"/>
          <w:sz w:val="24"/>
          <w:u w:val="single"/>
        </w:rPr>
      </w:pPr>
      <w:r>
        <w:rPr>
          <w:b/>
          <w:bCs w:val="0"/>
          <w:color w:val="000000"/>
          <w:sz w:val="24"/>
          <w:u w:val="single"/>
        </w:rPr>
        <w:t>本次评价对沼液施肥农田区域定期进行观测，场外农田区设置地下水观测井，建议</w:t>
      </w:r>
      <w:r>
        <w:rPr>
          <w:b/>
          <w:bCs w:val="0"/>
          <w:color w:val="000000"/>
          <w:sz w:val="24"/>
          <w:szCs w:val="21"/>
          <w:u w:val="single"/>
        </w:rPr>
        <w:t>在配套农田西侧和东侧方位各设置1口地下水观测井，</w:t>
      </w:r>
      <w:r>
        <w:rPr>
          <w:b/>
          <w:bCs w:val="0"/>
          <w:color w:val="000000"/>
          <w:sz w:val="24"/>
          <w:u w:val="single"/>
        </w:rPr>
        <w:t>观察沼液长期施肥对地下水的累积性影响。</w:t>
      </w:r>
    </w:p>
    <w:p>
      <w:pPr>
        <w:topLinePunct/>
        <w:adjustRightInd w:val="0"/>
        <w:snapToGrid w:val="0"/>
        <w:spacing w:line="520" w:lineRule="exact"/>
        <w:rPr>
          <w:b/>
          <w:bCs w:val="0"/>
          <w:color w:val="000000"/>
          <w:sz w:val="24"/>
          <w:u w:val="single"/>
        </w:rPr>
      </w:pPr>
      <w:r>
        <w:rPr>
          <w:b/>
          <w:bCs w:val="0"/>
          <w:color w:val="000000"/>
          <w:sz w:val="24"/>
          <w:u w:val="single"/>
        </w:rPr>
        <w:t>5.2.1.7沼液利用工程的管理要求</w:t>
      </w:r>
    </w:p>
    <w:p>
      <w:pPr>
        <w:topLinePunct/>
        <w:spacing w:line="500" w:lineRule="exact"/>
        <w:ind w:firstLine="480" w:firstLineChars="200"/>
        <w:rPr>
          <w:b/>
          <w:bCs w:val="0"/>
          <w:color w:val="000000"/>
          <w:sz w:val="24"/>
          <w:u w:val="single"/>
        </w:rPr>
      </w:pPr>
      <w:r>
        <w:rPr>
          <w:b/>
          <w:bCs w:val="0"/>
          <w:color w:val="000000"/>
          <w:sz w:val="24"/>
          <w:u w:val="single"/>
        </w:rPr>
        <w:t>（1）基本要求</w:t>
      </w:r>
    </w:p>
    <w:p>
      <w:pPr>
        <w:topLinePunct/>
        <w:spacing w:line="500" w:lineRule="exact"/>
        <w:ind w:firstLine="480" w:firstLineChars="200"/>
        <w:rPr>
          <w:b/>
          <w:bCs w:val="0"/>
          <w:color w:val="000000"/>
          <w:sz w:val="24"/>
          <w:u w:val="single"/>
        </w:rPr>
      </w:pPr>
      <w:r>
        <w:rPr>
          <w:b/>
          <w:bCs w:val="0"/>
          <w:color w:val="000000"/>
          <w:sz w:val="24"/>
          <w:u w:val="single"/>
        </w:rPr>
        <w:t>企业必须确定或建立相应的管理机构，安排专人管理，落实足够的运行管理经费，制定切实可行的管理规章和工程维修养护制度，并对管理人员进行技术培训和岗位考核。同时做到对沼液利用工程进行经常性的维护、季节性的整修和临时性的抢修以及系统运行效果和有害重金属的监测与处理。</w:t>
      </w:r>
    </w:p>
    <w:p>
      <w:pPr>
        <w:topLinePunct/>
        <w:spacing w:line="500" w:lineRule="exact"/>
        <w:ind w:firstLine="480" w:firstLineChars="200"/>
        <w:rPr>
          <w:b/>
          <w:bCs w:val="0"/>
          <w:color w:val="000000"/>
          <w:sz w:val="24"/>
          <w:u w:val="single"/>
        </w:rPr>
      </w:pPr>
      <w:r>
        <w:rPr>
          <w:b/>
          <w:bCs w:val="0"/>
          <w:color w:val="000000"/>
          <w:sz w:val="24"/>
          <w:u w:val="single"/>
        </w:rPr>
        <w:t>（2）管道养护</w:t>
      </w:r>
    </w:p>
    <w:p>
      <w:pPr>
        <w:topLinePunct/>
        <w:spacing w:line="500" w:lineRule="exact"/>
        <w:ind w:firstLine="480" w:firstLineChars="200"/>
        <w:rPr>
          <w:b/>
          <w:bCs w:val="0"/>
          <w:color w:val="000000"/>
          <w:sz w:val="24"/>
          <w:u w:val="single"/>
        </w:rPr>
      </w:pPr>
      <w:r>
        <w:rPr>
          <w:b/>
          <w:bCs w:val="0"/>
          <w:color w:val="000000"/>
          <w:sz w:val="24"/>
          <w:u w:val="single"/>
        </w:rPr>
        <w:t>要经常对管道进行巡查维护，发现管道漏水、爆裂及时修补，发现沼液出水明显减少，要及时监测、疏通污物收集装置，确保沼液输送通畅和设施完好、运行正常。</w:t>
      </w:r>
    </w:p>
    <w:p>
      <w:pPr>
        <w:topLinePunct/>
        <w:spacing w:line="500" w:lineRule="exact"/>
        <w:ind w:firstLine="480" w:firstLineChars="200"/>
        <w:rPr>
          <w:b/>
          <w:bCs w:val="0"/>
          <w:color w:val="000000"/>
          <w:sz w:val="24"/>
          <w:u w:val="single"/>
        </w:rPr>
      </w:pPr>
      <w:r>
        <w:rPr>
          <w:b/>
          <w:bCs w:val="0"/>
          <w:color w:val="000000"/>
          <w:sz w:val="24"/>
          <w:u w:val="single"/>
        </w:rPr>
        <w:t>（3）设施维修保养</w:t>
      </w:r>
    </w:p>
    <w:p>
      <w:pPr>
        <w:widowControl/>
        <w:shd w:val="clear" w:color="auto" w:fill="FFFFFF"/>
        <w:topLinePunct/>
        <w:spacing w:line="500" w:lineRule="exact"/>
        <w:ind w:firstLine="480" w:firstLineChars="200"/>
        <w:jc w:val="left"/>
        <w:rPr>
          <w:b/>
          <w:bCs w:val="0"/>
          <w:color w:val="000000"/>
          <w:kern w:val="0"/>
          <w:sz w:val="24"/>
          <w:u w:val="single"/>
        </w:rPr>
      </w:pPr>
      <w:r>
        <w:rPr>
          <w:b/>
          <w:bCs w:val="0"/>
          <w:color w:val="000000"/>
          <w:kern w:val="0"/>
          <w:sz w:val="24"/>
          <w:u w:val="single"/>
        </w:rPr>
        <w:t>建立处理、储液、储存池等主要建筑结构和管网、机电设备的检修制度或维修养护办法，确保各类设施设备完整，做到无损、无漏、无裂，闸门启闭灵活。安装</w:t>
      </w:r>
    </w:p>
    <w:p>
      <w:pPr>
        <w:widowControl/>
        <w:shd w:val="clear" w:color="auto" w:fill="FFFFFF"/>
        <w:topLinePunct/>
        <w:spacing w:line="500" w:lineRule="exact"/>
        <w:jc w:val="left"/>
        <w:rPr>
          <w:b/>
          <w:bCs w:val="0"/>
          <w:color w:val="000000"/>
          <w:kern w:val="0"/>
          <w:sz w:val="24"/>
          <w:u w:val="single"/>
        </w:rPr>
      </w:pPr>
      <w:r>
        <w:rPr>
          <w:b/>
          <w:bCs w:val="0"/>
          <w:color w:val="000000"/>
          <w:kern w:val="0"/>
          <w:sz w:val="24"/>
          <w:u w:val="single"/>
        </w:rPr>
        <w:t>的沼液泵、动力设备与电气设备应每年全面检修一次，确保安全运行。及时清除泵站前池、污物收集装置、储存池中的各种杂质淤泥。</w:t>
      </w:r>
    </w:p>
    <w:p>
      <w:pPr>
        <w:keepNext/>
        <w:keepLines/>
        <w:topLinePunct/>
        <w:spacing w:line="600" w:lineRule="exact"/>
        <w:jc w:val="left"/>
        <w:outlineLvl w:val="2"/>
        <w:rPr>
          <w:b/>
          <w:bCs w:val="0"/>
          <w:color w:val="000000"/>
          <w:sz w:val="24"/>
          <w:szCs w:val="32"/>
          <w:u w:val="single"/>
        </w:rPr>
      </w:pPr>
      <w:r>
        <w:rPr>
          <w:b/>
          <w:bCs w:val="0"/>
          <w:color w:val="000000"/>
          <w:sz w:val="24"/>
          <w:szCs w:val="32"/>
          <w:u w:val="single"/>
        </w:rPr>
        <w:t>5.2.2地下水污染防治措施</w:t>
      </w:r>
    </w:p>
    <w:p>
      <w:pPr>
        <w:topLinePunct/>
        <w:spacing w:line="500" w:lineRule="exact"/>
        <w:ind w:firstLine="480" w:firstLineChars="200"/>
        <w:rPr>
          <w:b/>
          <w:bCs w:val="0"/>
          <w:color w:val="000000"/>
          <w:sz w:val="24"/>
          <w:u w:val="single"/>
        </w:rPr>
      </w:pPr>
      <w:r>
        <w:rPr>
          <w:b/>
          <w:bCs w:val="0"/>
          <w:color w:val="000000"/>
          <w:sz w:val="24"/>
          <w:u w:val="single"/>
        </w:rPr>
        <w:t>项目产生的废水主要废养殖废水和员工生活污水，经管道收集后自流至污水处理系统统一处理，其中养殖废水为高浓度有机废水，经厌氧反应处理后用于附近农田施肥，雨季及非施肥期暂存在场区沼液池中，本次评价主要从以下方面分析运营期废水对地下水水质的影响。</w:t>
      </w:r>
    </w:p>
    <w:p>
      <w:pPr>
        <w:topLinePunct/>
        <w:spacing w:line="500" w:lineRule="exact"/>
        <w:ind w:firstLine="480" w:firstLineChars="200"/>
        <w:rPr>
          <w:b/>
          <w:bCs w:val="0"/>
          <w:color w:val="000000"/>
          <w:sz w:val="24"/>
          <w:u w:val="single"/>
        </w:rPr>
      </w:pPr>
      <w:r>
        <w:rPr>
          <w:b/>
          <w:bCs w:val="0"/>
          <w:color w:val="000000"/>
          <w:sz w:val="24"/>
          <w:u w:val="single"/>
        </w:rPr>
        <w:t>（1）地下水污染途径及防治措施分析</w:t>
      </w:r>
    </w:p>
    <w:p>
      <w:pPr>
        <w:topLinePunct/>
        <w:adjustRightInd w:val="0"/>
        <w:snapToGrid w:val="0"/>
        <w:spacing w:line="500" w:lineRule="exact"/>
        <w:ind w:firstLine="480" w:firstLineChars="200"/>
        <w:rPr>
          <w:b/>
          <w:bCs w:val="0"/>
          <w:color w:val="000000"/>
          <w:sz w:val="24"/>
          <w:u w:val="single"/>
        </w:rPr>
      </w:pPr>
      <w:r>
        <w:rPr>
          <w:b/>
          <w:bCs w:val="0"/>
          <w:color w:val="000000"/>
          <w:sz w:val="24"/>
          <w:u w:val="single"/>
        </w:rPr>
        <w:t>污染物从污染源进入地下水所经过路径称为地下水污染途径，地下水污染途径是多种多样的。本项目营运期环境影响因素主要为生活污水、养殖废水、猪粪和沼渣。以上污染因素如不加以管理，污水处理池及储存池存在下渗污染地下水的隐患；猪粪、沼渣乱堆乱放，可能转入环境空气或地表水体，并通过下渗影响到地下水环境。</w:t>
      </w:r>
    </w:p>
    <w:p>
      <w:pPr>
        <w:topLinePunct/>
        <w:adjustRightInd w:val="0"/>
        <w:snapToGrid w:val="0"/>
        <w:spacing w:line="520" w:lineRule="exact"/>
        <w:ind w:firstLine="480" w:firstLineChars="200"/>
        <w:rPr>
          <w:b/>
          <w:bCs w:val="0"/>
          <w:color w:val="000000"/>
          <w:sz w:val="24"/>
          <w:u w:val="single"/>
        </w:rPr>
      </w:pPr>
      <w:r>
        <w:rPr>
          <w:b/>
          <w:bCs w:val="0"/>
          <w:color w:val="000000"/>
          <w:sz w:val="24"/>
          <w:u w:val="single"/>
        </w:rPr>
        <w:t>根据《畜禽养殖业污染防治技术规范》（HJ/T81－2001）规定：</w:t>
      </w:r>
    </w:p>
    <w:p>
      <w:pPr>
        <w:topLinePunct/>
        <w:adjustRightInd w:val="0"/>
        <w:snapToGrid w:val="0"/>
        <w:spacing w:line="520" w:lineRule="exact"/>
        <w:ind w:firstLine="480" w:firstLineChars="200"/>
        <w:rPr>
          <w:b/>
          <w:bCs w:val="0"/>
          <w:color w:val="000000"/>
          <w:sz w:val="24"/>
          <w:u w:val="single"/>
        </w:rPr>
      </w:pPr>
      <w:r>
        <w:rPr>
          <w:b/>
          <w:bCs w:val="0"/>
          <w:color w:val="000000"/>
          <w:sz w:val="24"/>
          <w:u w:val="single"/>
        </w:rPr>
        <w:t>1、养殖场的排水系统应实行雨水和污水收集输送系统分离，在场区内外设置的污水收集输送系统，不得采取明沟布设。</w:t>
      </w:r>
    </w:p>
    <w:p>
      <w:pPr>
        <w:widowControl/>
        <w:topLinePunct/>
        <w:adjustRightInd w:val="0"/>
        <w:snapToGrid w:val="0"/>
        <w:spacing w:line="520" w:lineRule="exact"/>
        <w:ind w:firstLine="480" w:firstLineChars="200"/>
        <w:jc w:val="left"/>
        <w:rPr>
          <w:b/>
          <w:bCs w:val="0"/>
          <w:color w:val="000000"/>
          <w:sz w:val="24"/>
          <w:u w:val="single"/>
        </w:rPr>
      </w:pPr>
      <w:r>
        <w:rPr>
          <w:b/>
          <w:bCs w:val="0"/>
          <w:color w:val="000000"/>
          <w:sz w:val="24"/>
          <w:u w:val="single"/>
        </w:rPr>
        <w:t>2、贮存设施应采取有效的防渗处理工艺，防止畜禽粪便污染地下水。</w:t>
      </w:r>
    </w:p>
    <w:p>
      <w:pPr>
        <w:widowControl/>
        <w:topLinePunct/>
        <w:adjustRightInd w:val="0"/>
        <w:snapToGrid w:val="0"/>
        <w:spacing w:line="520" w:lineRule="exact"/>
        <w:ind w:firstLine="480" w:firstLineChars="200"/>
        <w:jc w:val="left"/>
        <w:rPr>
          <w:b/>
          <w:bCs w:val="0"/>
          <w:color w:val="000000"/>
          <w:sz w:val="24"/>
          <w:u w:val="single"/>
        </w:rPr>
      </w:pPr>
      <w:r>
        <w:rPr>
          <w:b/>
          <w:bCs w:val="0"/>
          <w:color w:val="000000"/>
          <w:sz w:val="24"/>
          <w:u w:val="single"/>
        </w:rPr>
        <w:t>3、贮存设施应采取设置顶盖等防止降雨(水)进入的措施。</w:t>
      </w:r>
    </w:p>
    <w:p>
      <w:pPr>
        <w:topLinePunct/>
        <w:adjustRightInd w:val="0"/>
        <w:snapToGrid w:val="0"/>
        <w:spacing w:line="520" w:lineRule="exact"/>
        <w:ind w:firstLine="480" w:firstLineChars="200"/>
        <w:rPr>
          <w:b/>
          <w:bCs w:val="0"/>
          <w:color w:val="000000"/>
          <w:sz w:val="24"/>
          <w:u w:val="single"/>
        </w:rPr>
      </w:pPr>
      <w:r>
        <w:rPr>
          <w:b/>
          <w:bCs w:val="0"/>
          <w:color w:val="000000"/>
          <w:sz w:val="24"/>
          <w:u w:val="single"/>
        </w:rPr>
        <w:t>因此，企业必须建设雨、污分流管网，雨水管网建设时，可设置为明沟，沟深约20～30cm即可。排污沟应采取暗沟形式，同时应具备防止淤积以利于定期清理的条件，排污沟应采取硬化措施。</w:t>
      </w:r>
    </w:p>
    <w:p>
      <w:pPr>
        <w:topLinePunct/>
        <w:adjustRightInd w:val="0"/>
        <w:snapToGrid w:val="0"/>
        <w:spacing w:line="500" w:lineRule="exact"/>
        <w:ind w:firstLine="480" w:firstLineChars="200"/>
        <w:rPr>
          <w:b/>
          <w:bCs w:val="0"/>
          <w:color w:val="000000"/>
          <w:sz w:val="24"/>
          <w:u w:val="single"/>
        </w:rPr>
      </w:pPr>
      <w:r>
        <w:rPr>
          <w:b/>
          <w:bCs w:val="0"/>
          <w:color w:val="000000"/>
          <w:sz w:val="24"/>
          <w:u w:val="single"/>
        </w:rPr>
        <w:t>项目地下水污染防治措施详见表5-13。</w:t>
      </w:r>
    </w:p>
    <w:p>
      <w:pPr>
        <w:topLinePunct/>
        <w:adjustRightInd w:val="0"/>
        <w:snapToGrid w:val="0"/>
        <w:spacing w:beforeLines="50" w:afterLines="50"/>
        <w:ind w:firstLine="420" w:firstLineChars="200"/>
        <w:jc w:val="center"/>
        <w:rPr>
          <w:b/>
          <w:bCs w:val="0"/>
          <w:color w:val="000000"/>
          <w:szCs w:val="21"/>
          <w:u w:val="single"/>
        </w:rPr>
      </w:pPr>
      <w:r>
        <w:rPr>
          <w:b/>
          <w:bCs w:val="0"/>
          <w:color w:val="000000"/>
          <w:szCs w:val="21"/>
          <w:u w:val="single"/>
        </w:rPr>
        <w:t>表5-13   项目地下水污染防治措施一览表</w:t>
      </w:r>
    </w:p>
    <w:tbl>
      <w:tblPr>
        <w:tblStyle w:val="44"/>
        <w:tblW w:w="87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0"/>
        <w:gridCol w:w="1004"/>
        <w:gridCol w:w="5023"/>
        <w:gridCol w:w="22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dxa"/>
            <w:tcMar>
              <w:left w:w="0" w:type="dxa"/>
              <w:right w:w="0" w:type="dxa"/>
            </w:tcMar>
            <w:vAlign w:val="center"/>
          </w:tcPr>
          <w:p>
            <w:pPr>
              <w:topLinePunct/>
              <w:adjustRightInd w:val="0"/>
              <w:snapToGrid w:val="0"/>
              <w:spacing w:line="320" w:lineRule="atLeast"/>
              <w:jc w:val="center"/>
              <w:rPr>
                <w:b/>
                <w:bCs w:val="0"/>
                <w:color w:val="000000"/>
                <w:szCs w:val="21"/>
                <w:u w:val="single"/>
              </w:rPr>
            </w:pPr>
            <w:r>
              <w:rPr>
                <w:b/>
                <w:bCs w:val="0"/>
                <w:color w:val="000000"/>
                <w:szCs w:val="21"/>
                <w:u w:val="single"/>
              </w:rPr>
              <w:t>序号</w:t>
            </w:r>
          </w:p>
        </w:tc>
        <w:tc>
          <w:tcPr>
            <w:tcW w:w="1004" w:type="dxa"/>
            <w:tcMar>
              <w:left w:w="0" w:type="dxa"/>
              <w:right w:w="0" w:type="dxa"/>
            </w:tcMar>
            <w:vAlign w:val="center"/>
          </w:tcPr>
          <w:p>
            <w:pPr>
              <w:topLinePunct/>
              <w:adjustRightInd w:val="0"/>
              <w:snapToGrid w:val="0"/>
              <w:spacing w:line="320" w:lineRule="atLeast"/>
              <w:jc w:val="center"/>
              <w:rPr>
                <w:b/>
                <w:bCs w:val="0"/>
                <w:color w:val="000000"/>
                <w:szCs w:val="21"/>
                <w:u w:val="single"/>
              </w:rPr>
            </w:pPr>
            <w:r>
              <w:rPr>
                <w:b/>
                <w:bCs w:val="0"/>
                <w:color w:val="000000"/>
                <w:szCs w:val="21"/>
                <w:u w:val="single"/>
              </w:rPr>
              <w:t>项目</w:t>
            </w:r>
          </w:p>
        </w:tc>
        <w:tc>
          <w:tcPr>
            <w:tcW w:w="5023" w:type="dxa"/>
            <w:tcMar>
              <w:left w:w="0" w:type="dxa"/>
              <w:right w:w="0" w:type="dxa"/>
            </w:tcMar>
            <w:vAlign w:val="center"/>
          </w:tcPr>
          <w:p>
            <w:pPr>
              <w:topLinePunct/>
              <w:adjustRightInd w:val="0"/>
              <w:snapToGrid w:val="0"/>
              <w:spacing w:line="320" w:lineRule="atLeast"/>
              <w:jc w:val="center"/>
              <w:rPr>
                <w:b/>
                <w:bCs w:val="0"/>
                <w:color w:val="000000"/>
                <w:szCs w:val="21"/>
                <w:u w:val="single"/>
              </w:rPr>
            </w:pPr>
            <w:r>
              <w:rPr>
                <w:b/>
                <w:bCs w:val="0"/>
                <w:color w:val="000000"/>
                <w:szCs w:val="21"/>
                <w:u w:val="single"/>
              </w:rPr>
              <w:t>保护措施</w:t>
            </w:r>
          </w:p>
        </w:tc>
        <w:tc>
          <w:tcPr>
            <w:tcW w:w="2223" w:type="dxa"/>
            <w:tcMar>
              <w:left w:w="0" w:type="dxa"/>
              <w:right w:w="0" w:type="dxa"/>
            </w:tcMar>
            <w:vAlign w:val="center"/>
          </w:tcPr>
          <w:p>
            <w:pPr>
              <w:topLinePunct/>
              <w:adjustRightInd w:val="0"/>
              <w:snapToGrid w:val="0"/>
              <w:spacing w:line="320" w:lineRule="atLeast"/>
              <w:jc w:val="center"/>
              <w:rPr>
                <w:b/>
                <w:bCs w:val="0"/>
                <w:color w:val="000000"/>
                <w:szCs w:val="21"/>
                <w:u w:val="single"/>
              </w:rPr>
            </w:pPr>
            <w:r>
              <w:rPr>
                <w:b/>
                <w:bCs w:val="0"/>
                <w:color w:val="000000"/>
                <w:szCs w:val="21"/>
                <w:u w:val="single"/>
              </w:rPr>
              <w:t>达到效果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0" w:type="dxa"/>
            <w:tcMar>
              <w:left w:w="0" w:type="dxa"/>
              <w:right w:w="0" w:type="dxa"/>
            </w:tcMar>
            <w:vAlign w:val="center"/>
          </w:tcPr>
          <w:p>
            <w:pPr>
              <w:topLinePunct/>
              <w:adjustRightInd w:val="0"/>
              <w:snapToGrid w:val="0"/>
              <w:spacing w:line="320" w:lineRule="atLeast"/>
              <w:jc w:val="center"/>
              <w:rPr>
                <w:b/>
                <w:bCs w:val="0"/>
                <w:color w:val="000000"/>
                <w:szCs w:val="21"/>
                <w:u w:val="single"/>
              </w:rPr>
            </w:pPr>
            <w:r>
              <w:rPr>
                <w:b/>
                <w:bCs w:val="0"/>
                <w:color w:val="000000"/>
                <w:szCs w:val="21"/>
                <w:u w:val="single"/>
              </w:rPr>
              <w:t>1</w:t>
            </w:r>
          </w:p>
        </w:tc>
        <w:tc>
          <w:tcPr>
            <w:tcW w:w="1004" w:type="dxa"/>
            <w:tcMar>
              <w:left w:w="0" w:type="dxa"/>
              <w:right w:w="0" w:type="dxa"/>
            </w:tcMar>
            <w:vAlign w:val="center"/>
          </w:tcPr>
          <w:p>
            <w:pPr>
              <w:topLinePunct/>
              <w:adjustRightInd w:val="0"/>
              <w:snapToGrid w:val="0"/>
              <w:spacing w:line="320" w:lineRule="atLeast"/>
              <w:jc w:val="center"/>
              <w:rPr>
                <w:b/>
                <w:bCs w:val="0"/>
                <w:color w:val="000000"/>
                <w:szCs w:val="21"/>
                <w:u w:val="single"/>
              </w:rPr>
            </w:pPr>
            <w:r>
              <w:rPr>
                <w:b/>
                <w:bCs w:val="0"/>
                <w:color w:val="000000"/>
                <w:szCs w:val="21"/>
                <w:u w:val="single"/>
              </w:rPr>
              <w:t>沼液储存池</w:t>
            </w:r>
          </w:p>
        </w:tc>
        <w:tc>
          <w:tcPr>
            <w:tcW w:w="5023" w:type="dxa"/>
            <w:tcMar>
              <w:left w:w="0" w:type="dxa"/>
              <w:right w:w="0" w:type="dxa"/>
            </w:tcMar>
            <w:vAlign w:val="center"/>
          </w:tcPr>
          <w:p>
            <w:pPr>
              <w:topLinePunct/>
              <w:adjustRightInd w:val="0"/>
              <w:snapToGrid w:val="0"/>
              <w:spacing w:line="320" w:lineRule="atLeast"/>
              <w:rPr>
                <w:b/>
                <w:bCs w:val="0"/>
                <w:color w:val="000000"/>
                <w:szCs w:val="21"/>
                <w:u w:val="single"/>
              </w:rPr>
            </w:pPr>
            <w:r>
              <w:rPr>
                <w:b/>
                <w:bCs w:val="0"/>
                <w:color w:val="000000"/>
                <w:szCs w:val="21"/>
                <w:u w:val="single"/>
              </w:rPr>
              <w:t>沼液储存池为满足农闲期沼液产生量，容积不小于166天的全场废水产生量，并</w:t>
            </w:r>
            <w:r>
              <w:rPr>
                <w:b/>
                <w:bCs w:val="0"/>
                <w:color w:val="000000"/>
                <w:u w:val="single"/>
              </w:rPr>
              <w:t>采用</w:t>
            </w:r>
            <w:r>
              <w:rPr>
                <w:b/>
                <w:bCs w:val="0"/>
                <w:color w:val="000000"/>
                <w:szCs w:val="21"/>
                <w:u w:val="single"/>
              </w:rPr>
              <w:t>HDPE膜+素土夯实</w:t>
            </w:r>
            <w:r>
              <w:rPr>
                <w:b/>
                <w:bCs w:val="0"/>
                <w:color w:val="000000"/>
                <w:u w:val="single"/>
              </w:rPr>
              <w:t>防渗</w:t>
            </w:r>
            <w:r>
              <w:rPr>
                <w:b/>
                <w:bCs w:val="0"/>
                <w:color w:val="000000"/>
                <w:szCs w:val="21"/>
                <w:u w:val="single"/>
              </w:rPr>
              <w:t>处理措施，合理控制施肥频次和施肥量，尽量避开雨天施肥</w:t>
            </w:r>
          </w:p>
        </w:tc>
        <w:tc>
          <w:tcPr>
            <w:tcW w:w="2223" w:type="dxa"/>
            <w:vMerge w:val="restart"/>
            <w:tcMar>
              <w:left w:w="0" w:type="dxa"/>
              <w:right w:w="0" w:type="dxa"/>
            </w:tcMar>
            <w:vAlign w:val="center"/>
          </w:tcPr>
          <w:p>
            <w:pPr>
              <w:topLinePunct/>
              <w:adjustRightInd w:val="0"/>
              <w:snapToGrid w:val="0"/>
              <w:spacing w:line="320" w:lineRule="atLeast"/>
              <w:jc w:val="center"/>
              <w:rPr>
                <w:b/>
                <w:bCs w:val="0"/>
                <w:color w:val="000000"/>
                <w:szCs w:val="21"/>
                <w:u w:val="single"/>
              </w:rPr>
            </w:pPr>
            <w:r>
              <w:rPr>
                <w:b/>
                <w:bCs w:val="0"/>
                <w:color w:val="000000"/>
                <w:szCs w:val="21"/>
                <w:u w:val="single"/>
              </w:rPr>
              <w:t>各反应池及储存池均符合《规模化畜禽养殖场沼气工程设计规范》（NY/T1222）和《混凝土结构设计规范》（GB50010）的要求，具备“防渗、防雨、防溢”的三防措施；畜禽粪便的贮存相关要求，应具备防渗、防风、防雨的“三防”措施，雨污分流</w:t>
            </w:r>
          </w:p>
          <w:p>
            <w:pPr>
              <w:topLinePunct/>
              <w:adjustRightInd w:val="0"/>
              <w:snapToGrid w:val="0"/>
              <w:spacing w:line="320" w:lineRule="atLeast"/>
              <w:jc w:val="center"/>
              <w:rPr>
                <w:b/>
                <w:bCs w:val="0"/>
                <w:color w:val="000000"/>
                <w:szCs w:val="21"/>
                <w:u w:val="single"/>
              </w:rPr>
            </w:pPr>
            <w:r>
              <w:rPr>
                <w:b/>
                <w:bCs w:val="0"/>
                <w:color w:val="000000"/>
                <w:szCs w:val="21"/>
                <w:u w:val="single"/>
              </w:rPr>
              <w:t>满足《畜禽养殖业污染防治技术规范》（HJ/T81-2001）要求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10" w:type="dxa"/>
            <w:tcMar>
              <w:left w:w="0" w:type="dxa"/>
              <w:right w:w="0" w:type="dxa"/>
            </w:tcMar>
            <w:vAlign w:val="center"/>
          </w:tcPr>
          <w:p>
            <w:pPr>
              <w:topLinePunct/>
              <w:spacing w:line="240" w:lineRule="atLeast"/>
              <w:jc w:val="center"/>
              <w:rPr>
                <w:b/>
                <w:bCs w:val="0"/>
                <w:color w:val="000000"/>
                <w:szCs w:val="21"/>
                <w:u w:val="single"/>
              </w:rPr>
            </w:pPr>
            <w:r>
              <w:rPr>
                <w:b/>
                <w:bCs w:val="0"/>
                <w:color w:val="000000"/>
                <w:szCs w:val="21"/>
                <w:u w:val="single"/>
              </w:rPr>
              <w:t>2</w:t>
            </w:r>
          </w:p>
        </w:tc>
        <w:tc>
          <w:tcPr>
            <w:tcW w:w="1004" w:type="dxa"/>
            <w:tcMar>
              <w:left w:w="0" w:type="dxa"/>
              <w:right w:w="0" w:type="dxa"/>
            </w:tcMar>
            <w:vAlign w:val="center"/>
          </w:tcPr>
          <w:p>
            <w:pPr>
              <w:topLinePunct/>
              <w:spacing w:line="240" w:lineRule="atLeast"/>
              <w:jc w:val="center"/>
              <w:rPr>
                <w:b/>
                <w:bCs w:val="0"/>
                <w:color w:val="000000"/>
                <w:szCs w:val="21"/>
                <w:u w:val="single"/>
              </w:rPr>
            </w:pPr>
            <w:r>
              <w:rPr>
                <w:b/>
                <w:bCs w:val="0"/>
                <w:color w:val="000000"/>
                <w:szCs w:val="21"/>
                <w:u w:val="single"/>
              </w:rPr>
              <w:t>养殖区</w:t>
            </w:r>
          </w:p>
        </w:tc>
        <w:tc>
          <w:tcPr>
            <w:tcW w:w="5023" w:type="dxa"/>
            <w:tcMar>
              <w:left w:w="0" w:type="dxa"/>
              <w:right w:w="0" w:type="dxa"/>
            </w:tcMar>
            <w:vAlign w:val="center"/>
          </w:tcPr>
          <w:p>
            <w:pPr>
              <w:topLinePunct/>
              <w:spacing w:line="240" w:lineRule="atLeast"/>
              <w:jc w:val="left"/>
              <w:rPr>
                <w:b/>
                <w:bCs w:val="0"/>
                <w:color w:val="000000"/>
                <w:szCs w:val="21"/>
                <w:u w:val="single"/>
              </w:rPr>
            </w:pPr>
            <w:r>
              <w:rPr>
                <w:b/>
                <w:bCs w:val="0"/>
                <w:color w:val="000000"/>
                <w:u w:val="single"/>
              </w:rPr>
              <w:t>养殖区猪舍底部采用</w:t>
            </w:r>
            <w:r>
              <w:rPr>
                <w:b/>
                <w:bCs w:val="0"/>
                <w:color w:val="000000"/>
                <w:szCs w:val="21"/>
                <w:u w:val="single"/>
              </w:rPr>
              <w:t>混凝土</w:t>
            </w:r>
            <w:r>
              <w:rPr>
                <w:b/>
                <w:bCs w:val="0"/>
                <w:color w:val="000000"/>
                <w:u w:val="single"/>
              </w:rPr>
              <w:t>防渗</w:t>
            </w:r>
          </w:p>
        </w:tc>
        <w:tc>
          <w:tcPr>
            <w:tcW w:w="2223" w:type="dxa"/>
            <w:vMerge w:val="continue"/>
            <w:tcMar>
              <w:left w:w="0" w:type="dxa"/>
              <w:right w:w="0" w:type="dxa"/>
            </w:tcMar>
            <w:vAlign w:val="center"/>
          </w:tcPr>
          <w:p>
            <w:pPr>
              <w:topLinePunct/>
              <w:adjustRightInd w:val="0"/>
              <w:snapToGrid w:val="0"/>
              <w:spacing w:line="320" w:lineRule="atLeast"/>
              <w:jc w:val="center"/>
              <w:rPr>
                <w:b/>
                <w:bCs w:val="0"/>
                <w:color w:val="00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10" w:type="dxa"/>
            <w:tcMar>
              <w:left w:w="0" w:type="dxa"/>
              <w:right w:w="0" w:type="dxa"/>
            </w:tcMar>
            <w:vAlign w:val="center"/>
          </w:tcPr>
          <w:p>
            <w:pPr>
              <w:topLinePunct/>
              <w:adjustRightInd w:val="0"/>
              <w:snapToGrid w:val="0"/>
              <w:spacing w:line="320" w:lineRule="atLeast"/>
              <w:jc w:val="center"/>
              <w:rPr>
                <w:b/>
                <w:bCs w:val="0"/>
                <w:color w:val="000000"/>
                <w:szCs w:val="21"/>
                <w:u w:val="single"/>
              </w:rPr>
            </w:pPr>
            <w:r>
              <w:rPr>
                <w:b/>
                <w:bCs w:val="0"/>
                <w:color w:val="000000"/>
                <w:szCs w:val="21"/>
                <w:u w:val="single"/>
              </w:rPr>
              <w:t>3</w:t>
            </w:r>
          </w:p>
        </w:tc>
        <w:tc>
          <w:tcPr>
            <w:tcW w:w="1004" w:type="dxa"/>
            <w:tcMar>
              <w:left w:w="0" w:type="dxa"/>
              <w:right w:w="0" w:type="dxa"/>
            </w:tcMar>
            <w:vAlign w:val="center"/>
          </w:tcPr>
          <w:p>
            <w:pPr>
              <w:topLinePunct/>
              <w:adjustRightInd w:val="0"/>
              <w:snapToGrid w:val="0"/>
              <w:spacing w:line="320" w:lineRule="atLeast"/>
              <w:jc w:val="center"/>
              <w:rPr>
                <w:b/>
                <w:bCs w:val="0"/>
                <w:color w:val="000000"/>
                <w:szCs w:val="21"/>
                <w:u w:val="single"/>
              </w:rPr>
            </w:pPr>
            <w:r>
              <w:rPr>
                <w:b/>
                <w:bCs w:val="0"/>
                <w:color w:val="000000"/>
                <w:szCs w:val="21"/>
                <w:u w:val="single"/>
              </w:rPr>
              <w:t>污水处理系统</w:t>
            </w:r>
          </w:p>
        </w:tc>
        <w:tc>
          <w:tcPr>
            <w:tcW w:w="5023" w:type="dxa"/>
            <w:tcMar>
              <w:left w:w="0" w:type="dxa"/>
              <w:right w:w="0" w:type="dxa"/>
            </w:tcMar>
            <w:vAlign w:val="center"/>
          </w:tcPr>
          <w:p>
            <w:pPr>
              <w:topLinePunct/>
              <w:adjustRightInd w:val="0"/>
              <w:snapToGrid w:val="0"/>
              <w:spacing w:line="320" w:lineRule="atLeast"/>
              <w:rPr>
                <w:b/>
                <w:bCs w:val="0"/>
                <w:color w:val="000000"/>
                <w:szCs w:val="21"/>
                <w:u w:val="single"/>
              </w:rPr>
            </w:pPr>
            <w:r>
              <w:rPr>
                <w:b/>
                <w:bCs w:val="0"/>
                <w:color w:val="000000"/>
                <w:szCs w:val="21"/>
                <w:u w:val="single"/>
              </w:rPr>
              <w:t>收集池采用混凝土防渗措施，评价要求严格做好防渗措施</w:t>
            </w:r>
          </w:p>
        </w:tc>
        <w:tc>
          <w:tcPr>
            <w:tcW w:w="2223" w:type="dxa"/>
            <w:vMerge w:val="continue"/>
            <w:tcMar>
              <w:left w:w="0" w:type="dxa"/>
              <w:right w:w="0" w:type="dxa"/>
            </w:tcMar>
            <w:vAlign w:val="center"/>
          </w:tcPr>
          <w:p>
            <w:pPr>
              <w:topLinePunct/>
              <w:adjustRightInd w:val="0"/>
              <w:snapToGrid w:val="0"/>
              <w:spacing w:line="320" w:lineRule="atLeast"/>
              <w:jc w:val="center"/>
              <w:rPr>
                <w:b/>
                <w:bCs w:val="0"/>
                <w:color w:val="00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10" w:type="dxa"/>
            <w:tcMar>
              <w:left w:w="0" w:type="dxa"/>
              <w:right w:w="0" w:type="dxa"/>
            </w:tcMar>
            <w:vAlign w:val="center"/>
          </w:tcPr>
          <w:p>
            <w:pPr>
              <w:topLinePunct/>
              <w:adjustRightInd w:val="0"/>
              <w:snapToGrid w:val="0"/>
              <w:spacing w:line="320" w:lineRule="atLeast"/>
              <w:jc w:val="center"/>
              <w:rPr>
                <w:b/>
                <w:bCs w:val="0"/>
                <w:color w:val="000000"/>
                <w:szCs w:val="21"/>
                <w:u w:val="single"/>
              </w:rPr>
            </w:pPr>
            <w:r>
              <w:rPr>
                <w:b/>
                <w:bCs w:val="0"/>
                <w:color w:val="000000"/>
                <w:szCs w:val="21"/>
                <w:u w:val="single"/>
              </w:rPr>
              <w:t>4</w:t>
            </w:r>
          </w:p>
        </w:tc>
        <w:tc>
          <w:tcPr>
            <w:tcW w:w="1004" w:type="dxa"/>
            <w:tcMar>
              <w:left w:w="0" w:type="dxa"/>
              <w:right w:w="0" w:type="dxa"/>
            </w:tcMar>
            <w:vAlign w:val="center"/>
          </w:tcPr>
          <w:p>
            <w:pPr>
              <w:topLinePunct/>
              <w:adjustRightInd w:val="0"/>
              <w:snapToGrid w:val="0"/>
              <w:spacing w:line="320" w:lineRule="atLeast"/>
              <w:jc w:val="center"/>
              <w:rPr>
                <w:b/>
                <w:bCs w:val="0"/>
                <w:color w:val="000000"/>
                <w:szCs w:val="21"/>
                <w:u w:val="single"/>
              </w:rPr>
            </w:pPr>
            <w:r>
              <w:rPr>
                <w:b/>
                <w:bCs w:val="0"/>
                <w:color w:val="000000"/>
                <w:szCs w:val="21"/>
                <w:u w:val="single"/>
              </w:rPr>
              <w:t>固粪处置区</w:t>
            </w:r>
          </w:p>
        </w:tc>
        <w:tc>
          <w:tcPr>
            <w:tcW w:w="5023" w:type="dxa"/>
            <w:tcMar>
              <w:left w:w="0" w:type="dxa"/>
              <w:right w:w="0" w:type="dxa"/>
            </w:tcMar>
            <w:vAlign w:val="center"/>
          </w:tcPr>
          <w:p>
            <w:pPr>
              <w:topLinePunct/>
              <w:adjustRightInd w:val="0"/>
              <w:snapToGrid w:val="0"/>
              <w:spacing w:line="320" w:lineRule="atLeast"/>
              <w:rPr>
                <w:b/>
                <w:bCs w:val="0"/>
                <w:color w:val="000000"/>
                <w:szCs w:val="21"/>
                <w:u w:val="single"/>
              </w:rPr>
            </w:pPr>
            <w:r>
              <w:rPr>
                <w:b/>
                <w:bCs w:val="0"/>
                <w:color w:val="000000"/>
                <w:szCs w:val="21"/>
                <w:u w:val="single"/>
              </w:rPr>
              <w:t>地面进行混凝土防渗，加盖顶棚，三周设置围挡，防止雨水进入造成下溢流污染</w:t>
            </w:r>
          </w:p>
        </w:tc>
        <w:tc>
          <w:tcPr>
            <w:tcW w:w="2223" w:type="dxa"/>
            <w:vMerge w:val="continue"/>
            <w:tcMar>
              <w:left w:w="0" w:type="dxa"/>
              <w:right w:w="0" w:type="dxa"/>
            </w:tcMar>
            <w:vAlign w:val="center"/>
          </w:tcPr>
          <w:p>
            <w:pPr>
              <w:topLinePunct/>
              <w:adjustRightInd w:val="0"/>
              <w:snapToGrid w:val="0"/>
              <w:spacing w:line="320" w:lineRule="atLeast"/>
              <w:jc w:val="center"/>
              <w:rPr>
                <w:b/>
                <w:bCs w:val="0"/>
                <w:color w:val="00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10" w:type="dxa"/>
            <w:tcMar>
              <w:left w:w="0" w:type="dxa"/>
              <w:right w:w="0" w:type="dxa"/>
            </w:tcMar>
            <w:vAlign w:val="center"/>
          </w:tcPr>
          <w:p>
            <w:pPr>
              <w:topLinePunct/>
              <w:adjustRightInd w:val="0"/>
              <w:snapToGrid w:val="0"/>
              <w:spacing w:line="320" w:lineRule="atLeast"/>
              <w:jc w:val="center"/>
              <w:rPr>
                <w:b/>
                <w:bCs w:val="0"/>
                <w:color w:val="000000"/>
                <w:szCs w:val="21"/>
                <w:u w:val="single"/>
              </w:rPr>
            </w:pPr>
            <w:r>
              <w:rPr>
                <w:b/>
                <w:bCs w:val="0"/>
                <w:color w:val="000000"/>
                <w:szCs w:val="21"/>
                <w:u w:val="single"/>
              </w:rPr>
              <w:t>5</w:t>
            </w:r>
          </w:p>
        </w:tc>
        <w:tc>
          <w:tcPr>
            <w:tcW w:w="1004" w:type="dxa"/>
            <w:tcMar>
              <w:left w:w="0" w:type="dxa"/>
              <w:right w:w="0" w:type="dxa"/>
            </w:tcMar>
            <w:vAlign w:val="center"/>
          </w:tcPr>
          <w:p>
            <w:pPr>
              <w:topLinePunct/>
              <w:adjustRightInd w:val="0"/>
              <w:snapToGrid w:val="0"/>
              <w:spacing w:line="320" w:lineRule="atLeast"/>
              <w:jc w:val="center"/>
              <w:rPr>
                <w:b/>
                <w:bCs w:val="0"/>
                <w:color w:val="000000"/>
                <w:szCs w:val="21"/>
                <w:u w:val="single"/>
              </w:rPr>
            </w:pPr>
            <w:r>
              <w:rPr>
                <w:b/>
                <w:bCs w:val="0"/>
                <w:color w:val="000000"/>
                <w:szCs w:val="21"/>
                <w:u w:val="single"/>
              </w:rPr>
              <w:t>排污沟</w:t>
            </w:r>
          </w:p>
        </w:tc>
        <w:tc>
          <w:tcPr>
            <w:tcW w:w="5023" w:type="dxa"/>
            <w:tcMar>
              <w:left w:w="0" w:type="dxa"/>
              <w:right w:w="0" w:type="dxa"/>
            </w:tcMar>
            <w:vAlign w:val="center"/>
          </w:tcPr>
          <w:p>
            <w:pPr>
              <w:topLinePunct/>
              <w:adjustRightInd w:val="0"/>
              <w:snapToGrid w:val="0"/>
              <w:spacing w:line="320" w:lineRule="atLeast"/>
              <w:rPr>
                <w:b/>
                <w:bCs w:val="0"/>
                <w:color w:val="000000"/>
                <w:szCs w:val="21"/>
                <w:u w:val="single"/>
              </w:rPr>
            </w:pPr>
            <w:r>
              <w:rPr>
                <w:b/>
                <w:bCs w:val="0"/>
                <w:color w:val="000000"/>
                <w:szCs w:val="21"/>
                <w:u w:val="single"/>
              </w:rPr>
              <w:t>采取暗沟形式，具备防止淤集以利于定期清理的条件，排污沟应采取硬化措施</w:t>
            </w:r>
          </w:p>
        </w:tc>
        <w:tc>
          <w:tcPr>
            <w:tcW w:w="2223" w:type="dxa"/>
            <w:vMerge w:val="continue"/>
            <w:tcMar>
              <w:left w:w="0" w:type="dxa"/>
              <w:right w:w="0" w:type="dxa"/>
            </w:tcMar>
            <w:vAlign w:val="center"/>
          </w:tcPr>
          <w:p>
            <w:pPr>
              <w:topLinePunct/>
              <w:adjustRightInd w:val="0"/>
              <w:snapToGrid w:val="0"/>
              <w:spacing w:line="320" w:lineRule="atLeast"/>
              <w:jc w:val="center"/>
              <w:rPr>
                <w:b/>
                <w:bCs w:val="0"/>
                <w:color w:val="00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dxa"/>
            <w:tcMar>
              <w:left w:w="0" w:type="dxa"/>
              <w:right w:w="0" w:type="dxa"/>
            </w:tcMar>
            <w:vAlign w:val="center"/>
          </w:tcPr>
          <w:p>
            <w:pPr>
              <w:topLinePunct/>
              <w:adjustRightInd w:val="0"/>
              <w:snapToGrid w:val="0"/>
              <w:spacing w:line="320" w:lineRule="atLeast"/>
              <w:jc w:val="center"/>
              <w:rPr>
                <w:b/>
                <w:bCs w:val="0"/>
                <w:color w:val="000000"/>
                <w:szCs w:val="21"/>
                <w:u w:val="single"/>
              </w:rPr>
            </w:pPr>
            <w:r>
              <w:rPr>
                <w:b/>
                <w:bCs w:val="0"/>
                <w:color w:val="000000"/>
                <w:szCs w:val="21"/>
                <w:u w:val="single"/>
              </w:rPr>
              <w:t>6</w:t>
            </w:r>
          </w:p>
        </w:tc>
        <w:tc>
          <w:tcPr>
            <w:tcW w:w="1004" w:type="dxa"/>
            <w:tcMar>
              <w:left w:w="0" w:type="dxa"/>
              <w:right w:w="0" w:type="dxa"/>
            </w:tcMar>
            <w:vAlign w:val="center"/>
          </w:tcPr>
          <w:p>
            <w:pPr>
              <w:topLinePunct/>
              <w:adjustRightInd w:val="0"/>
              <w:snapToGrid w:val="0"/>
              <w:spacing w:line="320" w:lineRule="atLeast"/>
              <w:jc w:val="center"/>
              <w:rPr>
                <w:b/>
                <w:bCs w:val="0"/>
                <w:color w:val="000000"/>
                <w:szCs w:val="21"/>
                <w:u w:val="single"/>
              </w:rPr>
            </w:pPr>
            <w:r>
              <w:rPr>
                <w:b/>
                <w:bCs w:val="0"/>
                <w:color w:val="000000"/>
                <w:szCs w:val="21"/>
                <w:u w:val="single"/>
              </w:rPr>
              <w:t>场区雨、污管网</w:t>
            </w:r>
          </w:p>
        </w:tc>
        <w:tc>
          <w:tcPr>
            <w:tcW w:w="5023" w:type="dxa"/>
            <w:tcMar>
              <w:left w:w="0" w:type="dxa"/>
              <w:right w:w="0" w:type="dxa"/>
            </w:tcMar>
            <w:vAlign w:val="center"/>
          </w:tcPr>
          <w:p>
            <w:pPr>
              <w:topLinePunct/>
              <w:adjustRightInd w:val="0"/>
              <w:snapToGrid w:val="0"/>
              <w:spacing w:line="320" w:lineRule="atLeast"/>
              <w:rPr>
                <w:b/>
                <w:bCs w:val="0"/>
                <w:color w:val="000000"/>
                <w:szCs w:val="21"/>
                <w:u w:val="single"/>
              </w:rPr>
            </w:pPr>
            <w:r>
              <w:rPr>
                <w:b/>
                <w:bCs w:val="0"/>
                <w:color w:val="000000"/>
                <w:szCs w:val="21"/>
                <w:u w:val="single"/>
              </w:rPr>
              <w:t>雨污分流、按照畜禽养殖业污染防治技术规范要求进行建设</w:t>
            </w:r>
          </w:p>
        </w:tc>
        <w:tc>
          <w:tcPr>
            <w:tcW w:w="2223" w:type="dxa"/>
            <w:vMerge w:val="continue"/>
            <w:tcMar>
              <w:left w:w="0" w:type="dxa"/>
              <w:right w:w="0" w:type="dxa"/>
            </w:tcMar>
            <w:vAlign w:val="center"/>
          </w:tcPr>
          <w:p>
            <w:pPr>
              <w:topLinePunct/>
              <w:adjustRightInd w:val="0"/>
              <w:snapToGrid w:val="0"/>
              <w:spacing w:line="320" w:lineRule="atLeast"/>
              <w:jc w:val="center"/>
              <w:rPr>
                <w:b/>
                <w:bCs w:val="0"/>
                <w:color w:val="000000"/>
                <w:szCs w:val="21"/>
                <w:u w:val="single"/>
              </w:rPr>
            </w:pPr>
          </w:p>
        </w:tc>
      </w:tr>
    </w:tbl>
    <w:p>
      <w:pPr>
        <w:topLinePunct/>
        <w:spacing w:line="500" w:lineRule="exact"/>
        <w:ind w:firstLine="480" w:firstLineChars="200"/>
        <w:rPr>
          <w:b/>
          <w:bCs w:val="0"/>
          <w:color w:val="000000"/>
          <w:sz w:val="24"/>
          <w:u w:val="single"/>
        </w:rPr>
      </w:pPr>
      <w:r>
        <w:rPr>
          <w:b/>
          <w:bCs w:val="0"/>
          <w:color w:val="000000"/>
          <w:sz w:val="24"/>
          <w:u w:val="single"/>
        </w:rPr>
        <w:t>（2）分区防渗措施</w:t>
      </w:r>
    </w:p>
    <w:p>
      <w:pPr>
        <w:topLinePunct/>
        <w:adjustRightInd w:val="0"/>
        <w:spacing w:line="500" w:lineRule="exact"/>
        <w:ind w:firstLine="480" w:firstLineChars="200"/>
        <w:rPr>
          <w:b/>
          <w:bCs w:val="0"/>
          <w:color w:val="000000"/>
          <w:sz w:val="24"/>
          <w:u w:val="single"/>
        </w:rPr>
      </w:pPr>
      <w:r>
        <w:rPr>
          <w:b/>
          <w:bCs w:val="0"/>
          <w:color w:val="000000"/>
          <w:sz w:val="24"/>
          <w:u w:val="single"/>
        </w:rPr>
        <w:t>项目防渗工程污染防治分区情况如下表。</w:t>
      </w:r>
    </w:p>
    <w:p>
      <w:pPr>
        <w:topLinePunct/>
        <w:spacing w:beforeLines="50" w:afterLines="50"/>
        <w:jc w:val="center"/>
        <w:rPr>
          <w:b/>
          <w:bCs w:val="0"/>
          <w:color w:val="000000"/>
          <w:u w:val="single"/>
        </w:rPr>
      </w:pPr>
      <w:r>
        <w:rPr>
          <w:b/>
          <w:bCs w:val="0"/>
          <w:color w:val="000000"/>
          <w:u w:val="single"/>
        </w:rPr>
        <w:t>表5-14  项目防渗工程污染防治分区</w:t>
      </w:r>
    </w:p>
    <w:tbl>
      <w:tblPr>
        <w:tblStyle w:val="44"/>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797"/>
        <w:gridCol w:w="2443"/>
        <w:gridCol w:w="1868"/>
        <w:gridCol w:w="19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dxa"/>
            <w:vAlign w:val="center"/>
          </w:tcPr>
          <w:p>
            <w:pPr>
              <w:topLinePunct/>
              <w:spacing w:line="240" w:lineRule="exact"/>
              <w:jc w:val="center"/>
              <w:rPr>
                <w:b/>
                <w:bCs w:val="0"/>
                <w:color w:val="000000"/>
                <w:szCs w:val="21"/>
                <w:u w:val="single"/>
              </w:rPr>
            </w:pPr>
            <w:r>
              <w:rPr>
                <w:b/>
                <w:bCs w:val="0"/>
                <w:color w:val="000000"/>
                <w:szCs w:val="21"/>
                <w:u w:val="single"/>
              </w:rPr>
              <w:t>序号</w:t>
            </w:r>
          </w:p>
        </w:tc>
        <w:tc>
          <w:tcPr>
            <w:tcW w:w="1797" w:type="dxa"/>
            <w:vAlign w:val="center"/>
          </w:tcPr>
          <w:p>
            <w:pPr>
              <w:topLinePunct/>
              <w:spacing w:line="240" w:lineRule="exact"/>
              <w:jc w:val="center"/>
              <w:rPr>
                <w:b/>
                <w:bCs w:val="0"/>
                <w:color w:val="000000"/>
                <w:szCs w:val="21"/>
                <w:u w:val="single"/>
              </w:rPr>
            </w:pPr>
            <w:r>
              <w:rPr>
                <w:b/>
                <w:bCs w:val="0"/>
                <w:color w:val="000000"/>
                <w:szCs w:val="21"/>
                <w:u w:val="single"/>
              </w:rPr>
              <w:t>名称</w:t>
            </w:r>
          </w:p>
        </w:tc>
        <w:tc>
          <w:tcPr>
            <w:tcW w:w="2443" w:type="dxa"/>
            <w:vAlign w:val="center"/>
          </w:tcPr>
          <w:p>
            <w:pPr>
              <w:topLinePunct/>
              <w:spacing w:line="240" w:lineRule="exact"/>
              <w:jc w:val="center"/>
              <w:rPr>
                <w:b/>
                <w:bCs w:val="0"/>
                <w:color w:val="000000"/>
                <w:szCs w:val="21"/>
                <w:u w:val="single"/>
              </w:rPr>
            </w:pPr>
            <w:r>
              <w:rPr>
                <w:b/>
                <w:bCs w:val="0"/>
                <w:color w:val="000000"/>
                <w:szCs w:val="21"/>
                <w:u w:val="single"/>
              </w:rPr>
              <w:t>防渗区域及部位</w:t>
            </w:r>
          </w:p>
        </w:tc>
        <w:tc>
          <w:tcPr>
            <w:tcW w:w="1868" w:type="dxa"/>
            <w:vAlign w:val="center"/>
          </w:tcPr>
          <w:p>
            <w:pPr>
              <w:topLinePunct/>
              <w:spacing w:line="240" w:lineRule="exact"/>
              <w:jc w:val="center"/>
              <w:rPr>
                <w:b/>
                <w:bCs w:val="0"/>
                <w:color w:val="000000"/>
                <w:szCs w:val="21"/>
                <w:u w:val="single"/>
              </w:rPr>
            </w:pPr>
            <w:r>
              <w:rPr>
                <w:b/>
                <w:bCs w:val="0"/>
                <w:color w:val="000000"/>
                <w:szCs w:val="21"/>
                <w:u w:val="single"/>
              </w:rPr>
              <w:t>防渗分区等级</w:t>
            </w:r>
          </w:p>
        </w:tc>
        <w:tc>
          <w:tcPr>
            <w:tcW w:w="1939" w:type="dxa"/>
            <w:vAlign w:val="center"/>
          </w:tcPr>
          <w:p>
            <w:pPr>
              <w:topLinePunct/>
              <w:spacing w:line="240" w:lineRule="exact"/>
              <w:jc w:val="center"/>
              <w:rPr>
                <w:b/>
                <w:bCs w:val="0"/>
                <w:color w:val="000000"/>
                <w:szCs w:val="21"/>
                <w:u w:val="single"/>
              </w:rPr>
            </w:pPr>
            <w:r>
              <w:rPr>
                <w:b/>
                <w:bCs w:val="0"/>
                <w:color w:val="000000"/>
                <w:szCs w:val="21"/>
                <w:u w:val="single"/>
              </w:rPr>
              <w:t>下图中颜色区域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dxa"/>
            <w:vAlign w:val="center"/>
          </w:tcPr>
          <w:p>
            <w:pPr>
              <w:topLinePunct/>
              <w:spacing w:line="240" w:lineRule="exact"/>
              <w:jc w:val="center"/>
              <w:rPr>
                <w:b/>
                <w:bCs w:val="0"/>
                <w:color w:val="000000"/>
                <w:szCs w:val="21"/>
                <w:u w:val="single"/>
              </w:rPr>
            </w:pPr>
            <w:r>
              <w:rPr>
                <w:b/>
                <w:bCs w:val="0"/>
                <w:color w:val="000000"/>
                <w:szCs w:val="21"/>
                <w:u w:val="single"/>
              </w:rPr>
              <w:t>1</w:t>
            </w:r>
          </w:p>
        </w:tc>
        <w:tc>
          <w:tcPr>
            <w:tcW w:w="1797" w:type="dxa"/>
            <w:vAlign w:val="center"/>
          </w:tcPr>
          <w:p>
            <w:pPr>
              <w:topLinePunct/>
              <w:spacing w:line="240" w:lineRule="exact"/>
              <w:jc w:val="center"/>
              <w:rPr>
                <w:b/>
                <w:bCs w:val="0"/>
                <w:color w:val="000000"/>
                <w:szCs w:val="21"/>
                <w:u w:val="single"/>
              </w:rPr>
            </w:pPr>
            <w:r>
              <w:rPr>
                <w:b/>
                <w:bCs w:val="0"/>
                <w:color w:val="000000"/>
                <w:szCs w:val="21"/>
                <w:u w:val="single"/>
              </w:rPr>
              <w:t>养殖区</w:t>
            </w:r>
          </w:p>
        </w:tc>
        <w:tc>
          <w:tcPr>
            <w:tcW w:w="2443" w:type="dxa"/>
            <w:vAlign w:val="center"/>
          </w:tcPr>
          <w:p>
            <w:pPr>
              <w:topLinePunct/>
              <w:spacing w:line="240" w:lineRule="exact"/>
              <w:jc w:val="center"/>
              <w:rPr>
                <w:b/>
                <w:bCs w:val="0"/>
                <w:color w:val="000000"/>
                <w:szCs w:val="21"/>
                <w:u w:val="single"/>
              </w:rPr>
            </w:pPr>
            <w:r>
              <w:rPr>
                <w:b/>
                <w:bCs w:val="0"/>
                <w:color w:val="000000"/>
                <w:szCs w:val="21"/>
                <w:u w:val="single"/>
              </w:rPr>
              <w:t>粪沟、尿道</w:t>
            </w:r>
          </w:p>
        </w:tc>
        <w:tc>
          <w:tcPr>
            <w:tcW w:w="1868" w:type="dxa"/>
            <w:vAlign w:val="center"/>
          </w:tcPr>
          <w:p>
            <w:pPr>
              <w:topLinePunct/>
              <w:spacing w:line="240" w:lineRule="exact"/>
              <w:jc w:val="center"/>
              <w:rPr>
                <w:b/>
                <w:bCs w:val="0"/>
                <w:color w:val="000000"/>
                <w:szCs w:val="21"/>
                <w:u w:val="single"/>
              </w:rPr>
            </w:pPr>
            <w:r>
              <w:rPr>
                <w:b/>
                <w:bCs w:val="0"/>
                <w:color w:val="000000"/>
                <w:szCs w:val="21"/>
                <w:u w:val="single"/>
              </w:rPr>
              <w:t>重点</w:t>
            </w:r>
          </w:p>
        </w:tc>
        <w:tc>
          <w:tcPr>
            <w:tcW w:w="1939" w:type="dxa"/>
          </w:tcPr>
          <w:p>
            <w:pPr>
              <w:topLinePunct/>
              <w:spacing w:line="240" w:lineRule="exact"/>
              <w:jc w:val="center"/>
              <w:rPr>
                <w:b/>
                <w:bCs w:val="0"/>
                <w:color w:val="000000"/>
                <w:szCs w:val="21"/>
                <w:u w:val="single"/>
              </w:rPr>
            </w:pPr>
            <w:r>
              <w:rPr>
                <w:b/>
                <w:bCs w:val="0"/>
                <w:color w:val="000000"/>
                <w:szCs w:val="21"/>
                <w:u w:val="single"/>
              </w:rPr>
              <w:pict>
                <v:rect id="_x0000_s3436" o:spid="_x0000_s3436" o:spt="1" style="position:absolute;left:0pt;margin-left:32.5pt;margin-top:5.2pt;height:8.25pt;width:21pt;z-index:251661312;mso-width-relative:page;mso-height-relative:page;" fillcolor="#00B050" filled="f" stroked="t" coordsize="21600,21600">
                  <v:path/>
                  <v:fill on="f" opacity="32768f" focussize="0,0"/>
                  <v:stroke weight="1.5pt" color="#FF0000"/>
                  <v:imagedata o:title=""/>
                  <o:lock v:ext="edit"/>
                </v:rect>
              </w:pic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dxa"/>
            <w:vAlign w:val="center"/>
          </w:tcPr>
          <w:p>
            <w:pPr>
              <w:topLinePunct/>
              <w:spacing w:line="240" w:lineRule="exact"/>
              <w:jc w:val="center"/>
              <w:rPr>
                <w:b/>
                <w:bCs w:val="0"/>
                <w:color w:val="000000"/>
                <w:szCs w:val="21"/>
                <w:u w:val="single"/>
              </w:rPr>
            </w:pPr>
            <w:r>
              <w:rPr>
                <w:b/>
                <w:bCs w:val="0"/>
                <w:color w:val="000000"/>
                <w:szCs w:val="21"/>
                <w:u w:val="single"/>
              </w:rPr>
              <w:t>2</w:t>
            </w:r>
          </w:p>
        </w:tc>
        <w:tc>
          <w:tcPr>
            <w:tcW w:w="1797" w:type="dxa"/>
            <w:vAlign w:val="center"/>
          </w:tcPr>
          <w:p>
            <w:pPr>
              <w:topLinePunct/>
              <w:spacing w:line="240" w:lineRule="exact"/>
              <w:jc w:val="center"/>
              <w:rPr>
                <w:b/>
                <w:bCs w:val="0"/>
                <w:color w:val="000000"/>
                <w:szCs w:val="21"/>
                <w:u w:val="single"/>
              </w:rPr>
            </w:pPr>
            <w:r>
              <w:rPr>
                <w:b/>
                <w:bCs w:val="0"/>
                <w:color w:val="000000"/>
                <w:szCs w:val="21"/>
                <w:u w:val="single"/>
              </w:rPr>
              <w:t>固粪处置区</w:t>
            </w:r>
          </w:p>
        </w:tc>
        <w:tc>
          <w:tcPr>
            <w:tcW w:w="2443" w:type="dxa"/>
            <w:vAlign w:val="center"/>
          </w:tcPr>
          <w:p>
            <w:pPr>
              <w:topLinePunct/>
              <w:spacing w:line="240" w:lineRule="exact"/>
              <w:jc w:val="center"/>
              <w:rPr>
                <w:b/>
                <w:bCs w:val="0"/>
                <w:color w:val="000000"/>
                <w:szCs w:val="21"/>
                <w:u w:val="single"/>
              </w:rPr>
            </w:pPr>
            <w:r>
              <w:rPr>
                <w:b/>
                <w:bCs w:val="0"/>
                <w:color w:val="000000"/>
                <w:szCs w:val="21"/>
                <w:u w:val="single"/>
              </w:rPr>
              <w:t>固粪处置区地面</w:t>
            </w:r>
          </w:p>
        </w:tc>
        <w:tc>
          <w:tcPr>
            <w:tcW w:w="1868" w:type="dxa"/>
            <w:vAlign w:val="center"/>
          </w:tcPr>
          <w:p>
            <w:pPr>
              <w:topLinePunct/>
              <w:spacing w:line="240" w:lineRule="exact"/>
              <w:jc w:val="center"/>
              <w:rPr>
                <w:b/>
                <w:bCs w:val="0"/>
                <w:color w:val="000000"/>
                <w:szCs w:val="21"/>
                <w:u w:val="single"/>
              </w:rPr>
            </w:pPr>
            <w:r>
              <w:rPr>
                <w:b/>
                <w:bCs w:val="0"/>
                <w:color w:val="000000"/>
                <w:szCs w:val="21"/>
                <w:u w:val="single"/>
              </w:rPr>
              <w:t>重点</w:t>
            </w:r>
          </w:p>
        </w:tc>
        <w:tc>
          <w:tcPr>
            <w:tcW w:w="1939" w:type="dxa"/>
          </w:tcPr>
          <w:p>
            <w:pPr>
              <w:topLinePunct/>
              <w:spacing w:line="240" w:lineRule="exact"/>
              <w:jc w:val="center"/>
              <w:rPr>
                <w:b/>
                <w:bCs w:val="0"/>
                <w:color w:val="000000"/>
                <w:szCs w:val="21"/>
                <w:u w:val="single"/>
              </w:rPr>
            </w:pPr>
            <w:r>
              <w:rPr>
                <w:b/>
                <w:bCs w:val="0"/>
                <w:color w:val="000000"/>
                <w:szCs w:val="21"/>
                <w:u w:val="single"/>
              </w:rPr>
              <w:pict>
                <v:rect id="_x0000_s3743" o:spid="_x0000_s3743" o:spt="1" style="position:absolute;left:0pt;margin-left:32.5pt;margin-top:3.85pt;height:8.25pt;width:21pt;z-index:251696128;mso-width-relative:page;mso-height-relative:page;" fillcolor="#00B050" filled="f" stroked="t" coordsize="21600,21600">
                  <v:path/>
                  <v:fill on="f" opacity="32768f" focussize="0,0"/>
                  <v:stroke weight="1.5pt" color="#FF0000"/>
                  <v:imagedata o:title=""/>
                  <o:lock v:ext="edit"/>
                </v:rect>
              </w:pic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dxa"/>
            <w:vAlign w:val="center"/>
          </w:tcPr>
          <w:p>
            <w:pPr>
              <w:topLinePunct/>
              <w:spacing w:line="240" w:lineRule="exact"/>
              <w:jc w:val="center"/>
              <w:rPr>
                <w:b/>
                <w:bCs w:val="0"/>
                <w:color w:val="000000"/>
                <w:szCs w:val="21"/>
                <w:u w:val="single"/>
              </w:rPr>
            </w:pPr>
            <w:r>
              <w:rPr>
                <w:b/>
                <w:bCs w:val="0"/>
                <w:color w:val="000000"/>
                <w:szCs w:val="21"/>
                <w:u w:val="single"/>
              </w:rPr>
              <w:t>3</w:t>
            </w:r>
          </w:p>
        </w:tc>
        <w:tc>
          <w:tcPr>
            <w:tcW w:w="1797" w:type="dxa"/>
            <w:vAlign w:val="center"/>
          </w:tcPr>
          <w:p>
            <w:pPr>
              <w:topLinePunct/>
              <w:spacing w:line="240" w:lineRule="exact"/>
              <w:jc w:val="center"/>
              <w:rPr>
                <w:b/>
                <w:bCs w:val="0"/>
                <w:color w:val="000000"/>
                <w:szCs w:val="21"/>
                <w:u w:val="single"/>
              </w:rPr>
            </w:pPr>
            <w:r>
              <w:rPr>
                <w:b/>
                <w:bCs w:val="0"/>
                <w:color w:val="000000"/>
                <w:szCs w:val="21"/>
                <w:u w:val="single"/>
              </w:rPr>
              <w:t>污水处理区</w:t>
            </w:r>
          </w:p>
        </w:tc>
        <w:tc>
          <w:tcPr>
            <w:tcW w:w="2443" w:type="dxa"/>
            <w:vAlign w:val="center"/>
          </w:tcPr>
          <w:p>
            <w:pPr>
              <w:topLinePunct/>
              <w:spacing w:line="240" w:lineRule="exact"/>
              <w:jc w:val="center"/>
              <w:rPr>
                <w:b/>
                <w:bCs w:val="0"/>
                <w:color w:val="000000"/>
                <w:szCs w:val="21"/>
                <w:u w:val="single"/>
              </w:rPr>
            </w:pPr>
            <w:r>
              <w:rPr>
                <w:b/>
                <w:bCs w:val="0"/>
                <w:color w:val="000000"/>
                <w:szCs w:val="21"/>
                <w:u w:val="single"/>
              </w:rPr>
              <w:t>池底、池壁</w:t>
            </w:r>
          </w:p>
        </w:tc>
        <w:tc>
          <w:tcPr>
            <w:tcW w:w="1868" w:type="dxa"/>
            <w:vAlign w:val="center"/>
          </w:tcPr>
          <w:p>
            <w:pPr>
              <w:topLinePunct/>
              <w:spacing w:line="240" w:lineRule="exact"/>
              <w:jc w:val="center"/>
              <w:rPr>
                <w:b/>
                <w:bCs w:val="0"/>
                <w:color w:val="000000"/>
                <w:szCs w:val="21"/>
                <w:u w:val="single"/>
              </w:rPr>
            </w:pPr>
            <w:r>
              <w:rPr>
                <w:b/>
                <w:bCs w:val="0"/>
                <w:color w:val="000000"/>
                <w:szCs w:val="21"/>
                <w:u w:val="single"/>
              </w:rPr>
              <w:t>重点</w:t>
            </w:r>
          </w:p>
        </w:tc>
        <w:tc>
          <w:tcPr>
            <w:tcW w:w="1939" w:type="dxa"/>
          </w:tcPr>
          <w:p>
            <w:pPr>
              <w:topLinePunct/>
              <w:spacing w:line="240" w:lineRule="exact"/>
              <w:jc w:val="center"/>
              <w:rPr>
                <w:b/>
                <w:bCs w:val="0"/>
                <w:color w:val="000000"/>
                <w:szCs w:val="21"/>
                <w:u w:val="single"/>
              </w:rPr>
            </w:pPr>
            <w:r>
              <w:rPr>
                <w:b/>
                <w:bCs w:val="0"/>
                <w:color w:val="000000"/>
                <w:szCs w:val="21"/>
                <w:u w:val="single"/>
              </w:rPr>
              <w:pict>
                <v:rect id="_x0000_s3744" o:spid="_x0000_s3744" o:spt="1" style="position:absolute;left:0pt;margin-left:33.25pt;margin-top:3.1pt;height:8.25pt;width:21pt;z-index:251697152;mso-width-relative:page;mso-height-relative:page;" fillcolor="#00B050" filled="f" stroked="t" coordsize="21600,21600">
                  <v:path/>
                  <v:fill on="f" opacity="32768f" focussize="0,0"/>
                  <v:stroke weight="1.5pt" color="#FF0000"/>
                  <v:imagedata o:title=""/>
                  <o:lock v:ext="edit"/>
                </v:rect>
              </w:pic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dxa"/>
            <w:vAlign w:val="center"/>
          </w:tcPr>
          <w:p>
            <w:pPr>
              <w:topLinePunct/>
              <w:spacing w:line="240" w:lineRule="exact"/>
              <w:jc w:val="center"/>
              <w:rPr>
                <w:b/>
                <w:bCs w:val="0"/>
                <w:color w:val="000000"/>
                <w:szCs w:val="21"/>
                <w:u w:val="single"/>
              </w:rPr>
            </w:pPr>
            <w:r>
              <w:rPr>
                <w:b/>
                <w:bCs w:val="0"/>
                <w:color w:val="000000"/>
                <w:szCs w:val="21"/>
                <w:u w:val="single"/>
              </w:rPr>
              <w:t>4</w:t>
            </w:r>
          </w:p>
        </w:tc>
        <w:tc>
          <w:tcPr>
            <w:tcW w:w="1797" w:type="dxa"/>
            <w:vAlign w:val="center"/>
          </w:tcPr>
          <w:p>
            <w:pPr>
              <w:topLinePunct/>
              <w:spacing w:line="240" w:lineRule="exact"/>
              <w:jc w:val="center"/>
              <w:rPr>
                <w:b/>
                <w:bCs w:val="0"/>
                <w:color w:val="000000"/>
                <w:szCs w:val="21"/>
                <w:u w:val="single"/>
              </w:rPr>
            </w:pPr>
            <w:r>
              <w:rPr>
                <w:b/>
                <w:bCs w:val="0"/>
                <w:color w:val="000000"/>
                <w:szCs w:val="21"/>
                <w:u w:val="single"/>
              </w:rPr>
              <w:t>沼液储存池</w:t>
            </w:r>
          </w:p>
        </w:tc>
        <w:tc>
          <w:tcPr>
            <w:tcW w:w="2443" w:type="dxa"/>
            <w:vAlign w:val="center"/>
          </w:tcPr>
          <w:p>
            <w:pPr>
              <w:topLinePunct/>
              <w:spacing w:line="240" w:lineRule="exact"/>
              <w:jc w:val="center"/>
              <w:rPr>
                <w:b/>
                <w:bCs w:val="0"/>
                <w:color w:val="000000"/>
                <w:szCs w:val="21"/>
                <w:u w:val="single"/>
              </w:rPr>
            </w:pPr>
            <w:r>
              <w:rPr>
                <w:b/>
                <w:bCs w:val="0"/>
                <w:color w:val="000000"/>
                <w:szCs w:val="21"/>
                <w:u w:val="single"/>
              </w:rPr>
              <w:t>池底、池壁</w:t>
            </w:r>
          </w:p>
        </w:tc>
        <w:tc>
          <w:tcPr>
            <w:tcW w:w="1868" w:type="dxa"/>
            <w:vAlign w:val="center"/>
          </w:tcPr>
          <w:p>
            <w:pPr>
              <w:topLinePunct/>
              <w:spacing w:line="240" w:lineRule="exact"/>
              <w:jc w:val="center"/>
              <w:rPr>
                <w:b/>
                <w:bCs w:val="0"/>
                <w:color w:val="000000"/>
                <w:szCs w:val="21"/>
                <w:u w:val="single"/>
              </w:rPr>
            </w:pPr>
            <w:r>
              <w:rPr>
                <w:b/>
                <w:bCs w:val="0"/>
                <w:color w:val="000000"/>
                <w:szCs w:val="21"/>
                <w:u w:val="single"/>
              </w:rPr>
              <w:t>重点</w:t>
            </w:r>
          </w:p>
        </w:tc>
        <w:tc>
          <w:tcPr>
            <w:tcW w:w="1939" w:type="dxa"/>
          </w:tcPr>
          <w:p>
            <w:pPr>
              <w:topLinePunct/>
              <w:spacing w:line="240" w:lineRule="exact"/>
              <w:jc w:val="center"/>
              <w:rPr>
                <w:b/>
                <w:bCs w:val="0"/>
                <w:color w:val="000000"/>
                <w:szCs w:val="21"/>
                <w:u w:val="single"/>
              </w:rPr>
            </w:pPr>
            <w:r>
              <w:rPr>
                <w:b/>
                <w:bCs w:val="0"/>
                <w:color w:val="000000"/>
                <w:szCs w:val="21"/>
                <w:u w:val="single"/>
              </w:rPr>
              <w:pict>
                <v:rect id="_x0000_s3745" o:spid="_x0000_s3745" o:spt="1" style="position:absolute;left:0pt;margin-left:32.5pt;margin-top:4pt;height:8.25pt;width:21pt;z-index:251698176;mso-width-relative:page;mso-height-relative:page;" fillcolor="#00B050" filled="f" stroked="t" coordsize="21600,21600">
                  <v:path/>
                  <v:fill on="f" opacity="32768f" focussize="0,0"/>
                  <v:stroke weight="1.5pt" color="#FF0000"/>
                  <v:imagedata o:title=""/>
                  <o:lock v:ext="edit"/>
                </v:rect>
              </w:pic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9" w:type="dxa"/>
            <w:vAlign w:val="center"/>
          </w:tcPr>
          <w:p>
            <w:pPr>
              <w:topLinePunct/>
              <w:spacing w:line="240" w:lineRule="exact"/>
              <w:jc w:val="center"/>
              <w:rPr>
                <w:b/>
                <w:bCs w:val="0"/>
                <w:color w:val="000000"/>
                <w:szCs w:val="21"/>
                <w:u w:val="single"/>
              </w:rPr>
            </w:pPr>
            <w:r>
              <w:rPr>
                <w:b/>
                <w:bCs w:val="0"/>
                <w:color w:val="000000"/>
                <w:szCs w:val="21"/>
                <w:u w:val="single"/>
              </w:rPr>
              <w:t>5</w:t>
            </w:r>
          </w:p>
        </w:tc>
        <w:tc>
          <w:tcPr>
            <w:tcW w:w="1797" w:type="dxa"/>
            <w:vAlign w:val="center"/>
          </w:tcPr>
          <w:p>
            <w:pPr>
              <w:topLinePunct/>
              <w:spacing w:line="240" w:lineRule="exact"/>
              <w:jc w:val="center"/>
              <w:rPr>
                <w:b/>
                <w:bCs w:val="0"/>
                <w:color w:val="000000"/>
                <w:szCs w:val="21"/>
                <w:u w:val="single"/>
              </w:rPr>
            </w:pPr>
            <w:r>
              <w:rPr>
                <w:b/>
                <w:bCs w:val="0"/>
                <w:color w:val="000000"/>
                <w:szCs w:val="21"/>
                <w:u w:val="single"/>
              </w:rPr>
              <w:t>其他区域</w:t>
            </w:r>
          </w:p>
        </w:tc>
        <w:tc>
          <w:tcPr>
            <w:tcW w:w="2443" w:type="dxa"/>
            <w:vAlign w:val="center"/>
          </w:tcPr>
          <w:p>
            <w:pPr>
              <w:topLinePunct/>
              <w:spacing w:line="240" w:lineRule="exact"/>
              <w:jc w:val="center"/>
              <w:rPr>
                <w:b/>
                <w:bCs w:val="0"/>
                <w:color w:val="000000"/>
                <w:szCs w:val="21"/>
                <w:u w:val="single"/>
              </w:rPr>
            </w:pPr>
            <w:r>
              <w:rPr>
                <w:b/>
                <w:bCs w:val="0"/>
                <w:color w:val="000000"/>
                <w:szCs w:val="21"/>
                <w:u w:val="single"/>
              </w:rPr>
              <w:t>地面</w:t>
            </w:r>
          </w:p>
        </w:tc>
        <w:tc>
          <w:tcPr>
            <w:tcW w:w="1868" w:type="dxa"/>
            <w:vAlign w:val="center"/>
          </w:tcPr>
          <w:p>
            <w:pPr>
              <w:topLinePunct/>
              <w:spacing w:line="240" w:lineRule="exact"/>
              <w:jc w:val="center"/>
              <w:rPr>
                <w:b/>
                <w:bCs w:val="0"/>
                <w:color w:val="000000"/>
                <w:szCs w:val="21"/>
                <w:u w:val="single"/>
              </w:rPr>
            </w:pPr>
            <w:r>
              <w:rPr>
                <w:b/>
                <w:bCs w:val="0"/>
                <w:color w:val="000000"/>
                <w:szCs w:val="21"/>
                <w:u w:val="single"/>
              </w:rPr>
              <w:t>一般</w:t>
            </w:r>
          </w:p>
        </w:tc>
        <w:tc>
          <w:tcPr>
            <w:tcW w:w="1939" w:type="dxa"/>
            <w:vAlign w:val="center"/>
          </w:tcPr>
          <w:p>
            <w:pPr>
              <w:topLinePunct/>
              <w:spacing w:line="240" w:lineRule="exact"/>
              <w:jc w:val="center"/>
              <w:rPr>
                <w:b/>
                <w:bCs w:val="0"/>
                <w:color w:val="000000"/>
                <w:szCs w:val="21"/>
                <w:u w:val="single"/>
              </w:rPr>
            </w:pPr>
            <w:r>
              <w:rPr>
                <w:b/>
                <w:bCs w:val="0"/>
                <w:color w:val="000000"/>
                <w:szCs w:val="21"/>
                <w:u w:val="single"/>
              </w:rPr>
              <w:pict>
                <v:rect id="_x0000_s3746" o:spid="_x0000_s3746" o:spt="1" style="position:absolute;left:0pt;margin-left:34.25pt;margin-top:3.15pt;height:8.25pt;width:21pt;z-index:251699200;mso-width-relative:page;mso-height-relative:page;" fillcolor="#00B050" filled="f" stroked="t" coordsize="21600,21600">
                  <v:path/>
                  <v:fill on="f" opacity="32768f" focussize="0,0"/>
                  <v:stroke weight="1.5pt" color="#00B050"/>
                  <v:imagedata o:title=""/>
                  <o:lock v:ext="edit"/>
                </v:rect>
              </w:pict>
            </w:r>
          </w:p>
        </w:tc>
      </w:tr>
    </w:tbl>
    <w:p>
      <w:pPr>
        <w:topLinePunct/>
        <w:spacing w:line="500" w:lineRule="exact"/>
        <w:ind w:firstLine="480" w:firstLineChars="200"/>
        <w:rPr>
          <w:b/>
          <w:bCs w:val="0"/>
          <w:color w:val="000000"/>
          <w:sz w:val="24"/>
          <w:u w:val="single"/>
        </w:rPr>
      </w:pPr>
      <w:r>
        <w:rPr>
          <w:b/>
          <w:bCs w:val="0"/>
          <w:color w:val="000000"/>
          <w:sz w:val="24"/>
          <w:u w:val="single"/>
        </w:rPr>
        <w:t>养殖区（猪舍底部）、固粪处置区、污水处理区、沼液储存区重点防渗，养殖区（猪舍底部）、收集池采用混凝土防渗，渗透系数能够达到4.19×10</w:t>
      </w:r>
      <w:r>
        <w:rPr>
          <w:b/>
          <w:bCs w:val="0"/>
          <w:color w:val="000000"/>
          <w:sz w:val="24"/>
          <w:u w:val="single"/>
          <w:vertAlign w:val="superscript"/>
        </w:rPr>
        <w:t>-9</w:t>
      </w:r>
      <w:r>
        <w:rPr>
          <w:b/>
          <w:bCs w:val="0"/>
          <w:color w:val="000000"/>
          <w:sz w:val="24"/>
          <w:u w:val="single"/>
        </w:rPr>
        <w:t>cm/s；沼液储存池采用HDPE膜+素土夯实防渗，HDPE膜抗渗能力比较强，渗透系数能够达到1.0×10</w:t>
      </w:r>
      <w:r>
        <w:rPr>
          <w:b/>
          <w:bCs w:val="0"/>
          <w:color w:val="000000"/>
          <w:sz w:val="24"/>
          <w:u w:val="single"/>
          <w:vertAlign w:val="superscript"/>
        </w:rPr>
        <w:t>-10</w:t>
      </w:r>
      <w:r>
        <w:rPr>
          <w:b/>
          <w:bCs w:val="0"/>
          <w:color w:val="000000"/>
          <w:sz w:val="24"/>
          <w:u w:val="single"/>
        </w:rPr>
        <w:t>cm/s；场区道路采用水泥防渗。</w:t>
      </w:r>
    </w:p>
    <w:p>
      <w:pPr>
        <w:topLinePunct/>
        <w:spacing w:line="500" w:lineRule="exact"/>
        <w:ind w:firstLine="480" w:firstLineChars="200"/>
        <w:rPr>
          <w:b/>
          <w:bCs w:val="0"/>
          <w:color w:val="000000"/>
          <w:sz w:val="24"/>
          <w:u w:val="single"/>
        </w:rPr>
      </w:pPr>
      <w:r>
        <w:rPr>
          <w:b/>
          <w:bCs w:val="0"/>
          <w:color w:val="000000"/>
          <w:sz w:val="24"/>
          <w:u w:val="single"/>
        </w:rPr>
        <w:t>（3）预防地下水污染物的要求及环境管理建议</w:t>
      </w:r>
    </w:p>
    <w:p>
      <w:pPr>
        <w:topLinePunct/>
        <w:spacing w:line="500" w:lineRule="exact"/>
        <w:ind w:firstLine="482"/>
        <w:rPr>
          <w:b/>
          <w:bCs w:val="0"/>
          <w:color w:val="000000"/>
          <w:sz w:val="24"/>
          <w:u w:val="single"/>
        </w:rPr>
      </w:pPr>
      <w:r>
        <w:rPr>
          <w:b/>
          <w:bCs w:val="0"/>
          <w:color w:val="000000"/>
          <w:sz w:val="24"/>
          <w:u w:val="single"/>
        </w:rPr>
        <w:t>项目在施工阶段，应充分做好排污管道的防渗处理，杜绝污水渗漏，确保污水收集处理系统衔接良好，严格用水管理，防止污水“跑、冒、滴、漏”现象的发生，这样可以保证项目区内产生的全部废水汇集到污水处理站集中处理，可以很大程度的消除污染物排放对周边地区地下水环境的影响。运营期环境建议严格按照以下要求进行管理：</w:t>
      </w:r>
    </w:p>
    <w:p>
      <w:pPr>
        <w:topLinePunct/>
        <w:spacing w:line="500" w:lineRule="exact"/>
        <w:ind w:firstLine="480" w:firstLineChars="200"/>
        <w:rPr>
          <w:b/>
          <w:bCs w:val="0"/>
          <w:color w:val="000000"/>
          <w:sz w:val="24"/>
          <w:u w:val="single"/>
        </w:rPr>
      </w:pPr>
      <w:r>
        <w:rPr>
          <w:rFonts w:hint="eastAsia" w:ascii="宋体" w:hAnsi="宋体" w:cs="宋体"/>
          <w:b/>
          <w:bCs w:val="0"/>
          <w:color w:val="000000"/>
          <w:sz w:val="24"/>
          <w:u w:val="single"/>
        </w:rPr>
        <w:t>①</w:t>
      </w:r>
      <w:r>
        <w:rPr>
          <w:b/>
          <w:bCs w:val="0"/>
          <w:color w:val="000000"/>
          <w:sz w:val="24"/>
          <w:u w:val="single"/>
        </w:rPr>
        <w:t>《畜禽养殖业污染防治技术规范》（HJ/T81－2001）规定，养殖场的排水系统应实施雨水和污水收集输送系统分离，在场区内设置的污水收集输送系统，不得采用明沟布设。</w:t>
      </w:r>
    </w:p>
    <w:p>
      <w:pPr>
        <w:topLinePunct/>
        <w:spacing w:line="500" w:lineRule="exact"/>
        <w:ind w:firstLine="480" w:firstLineChars="200"/>
        <w:rPr>
          <w:b/>
          <w:bCs w:val="0"/>
          <w:color w:val="000000"/>
          <w:sz w:val="24"/>
          <w:u w:val="single"/>
        </w:rPr>
      </w:pPr>
      <w:r>
        <w:rPr>
          <w:rFonts w:hint="eastAsia" w:ascii="宋体" w:hAnsi="宋体" w:cs="宋体"/>
          <w:b/>
          <w:bCs w:val="0"/>
          <w:color w:val="000000"/>
          <w:sz w:val="24"/>
          <w:u w:val="single"/>
        </w:rPr>
        <w:t>②</w:t>
      </w:r>
      <w:r>
        <w:rPr>
          <w:b/>
          <w:bCs w:val="0"/>
          <w:color w:val="000000"/>
          <w:sz w:val="24"/>
          <w:u w:val="single"/>
        </w:rPr>
        <w:t>废水、猪粪贮存设施应采取有效的防渗处理工艺，防止废水、粪便淋滤液污染地下水。</w:t>
      </w:r>
    </w:p>
    <w:p>
      <w:pPr>
        <w:topLinePunct/>
        <w:spacing w:line="500" w:lineRule="exact"/>
        <w:ind w:firstLine="480" w:firstLineChars="200"/>
        <w:rPr>
          <w:b/>
          <w:bCs w:val="0"/>
          <w:color w:val="000000"/>
          <w:sz w:val="24"/>
          <w:u w:val="single"/>
        </w:rPr>
      </w:pPr>
      <w:r>
        <w:rPr>
          <w:b/>
          <w:bCs w:val="0"/>
          <w:color w:val="000000"/>
          <w:sz w:val="24"/>
          <w:u w:val="single"/>
        </w:rPr>
        <w:t>沼液储存池池壁在清场夯压的基础上采用铺设HDPE膜+素土夯实进行防渗，底部设置排气沟，最底部排气沟中放置排水管，并设置导流渠，以防止污染地下水，同时各废水输送管道应做到防泄露、跑冒等；</w:t>
      </w:r>
    </w:p>
    <w:p>
      <w:pPr>
        <w:topLinePunct/>
        <w:spacing w:line="500" w:lineRule="exact"/>
        <w:ind w:firstLine="480" w:firstLineChars="200"/>
        <w:rPr>
          <w:b/>
          <w:bCs w:val="0"/>
          <w:color w:val="000000"/>
          <w:sz w:val="24"/>
          <w:u w:val="single"/>
        </w:rPr>
      </w:pPr>
      <w:r>
        <w:rPr>
          <w:b/>
          <w:bCs w:val="0"/>
          <w:color w:val="000000"/>
          <w:sz w:val="24"/>
          <w:u w:val="single"/>
        </w:rPr>
        <w:t>根据《畜禽养殖业污染源总量减排技术指导意见（试行）》（豫环文（2012）99号文）中的相关要求，固粪处置区应采取有效的防雨、防渗漏、防溢流措施。堆放场宜为15～20厘米水泥地面、坡度2%以上；三周砌筑1米高的砖墙；其上搭建雨棚，防止降雨(水)的进入；固粪处置区内还应设渗滤水收集沟，并与污水收集系统相连。与畜禽舍之间保持200~300米的距离，若因场地或地形因素达不到此要求，可在畜禽舍与粪便堆放场之间建设隔离墙，并适当绿化。防止污水渗漏对地下水造成污染。因此，本项目固粪处置区“三防”措施应严格按照以上要求执行。</w:t>
      </w:r>
    </w:p>
    <w:p>
      <w:pPr>
        <w:topLinePunct/>
        <w:spacing w:line="500" w:lineRule="exact"/>
        <w:ind w:firstLine="480" w:firstLineChars="200"/>
        <w:rPr>
          <w:b/>
          <w:bCs w:val="0"/>
          <w:color w:val="000000"/>
          <w:sz w:val="24"/>
          <w:u w:val="single"/>
        </w:rPr>
      </w:pPr>
      <w:r>
        <w:rPr>
          <w:rFonts w:hint="eastAsia" w:ascii="宋体" w:hAnsi="宋体" w:cs="宋体"/>
          <w:b/>
          <w:bCs w:val="0"/>
          <w:color w:val="000000"/>
          <w:sz w:val="24"/>
          <w:u w:val="single"/>
        </w:rPr>
        <w:t>③</w:t>
      </w:r>
      <w:r>
        <w:rPr>
          <w:b/>
          <w:bCs w:val="0"/>
          <w:color w:val="000000"/>
          <w:sz w:val="24"/>
          <w:u w:val="single"/>
        </w:rPr>
        <w:t>做好收集池、盖泄湖沼气池、排水沟、沼液储存池等的防渗工作，应充分考虑农间作期间影响和雨季影响，能够保证有足够的容量以容纳养殖场产生的废水。养殖场污水处理系统的各个池子应按期清淤，各池建设时应高出地面至少20cm以上，以保证大雨时雨水不进入、污水不外溢。</w:t>
      </w:r>
    </w:p>
    <w:p>
      <w:pPr>
        <w:topLinePunct/>
        <w:spacing w:line="500" w:lineRule="exact"/>
        <w:ind w:firstLine="480" w:firstLineChars="200"/>
        <w:rPr>
          <w:b/>
          <w:bCs w:val="0"/>
          <w:color w:val="000000"/>
          <w:sz w:val="24"/>
          <w:u w:val="single"/>
        </w:rPr>
      </w:pPr>
      <w:r>
        <w:rPr>
          <w:b/>
          <w:bCs w:val="0"/>
          <w:color w:val="000000"/>
          <w:sz w:val="24"/>
          <w:u w:val="single"/>
        </w:rPr>
        <w:fldChar w:fldCharType="begin"/>
      </w:r>
      <w:r>
        <w:rPr>
          <w:b/>
          <w:bCs w:val="0"/>
          <w:color w:val="000000"/>
          <w:sz w:val="24"/>
          <w:u w:val="single"/>
        </w:rPr>
        <w:instrText xml:space="preserve">= 4 \* GB3</w:instrText>
      </w:r>
      <w:r>
        <w:rPr>
          <w:b/>
          <w:bCs w:val="0"/>
          <w:color w:val="000000"/>
          <w:sz w:val="24"/>
          <w:u w:val="single"/>
        </w:rPr>
        <w:fldChar w:fldCharType="separate"/>
      </w:r>
      <w:r>
        <w:rPr>
          <w:rFonts w:hint="eastAsia" w:ascii="宋体" w:hAnsi="宋体" w:cs="宋体"/>
          <w:b/>
          <w:bCs w:val="0"/>
          <w:color w:val="000000"/>
          <w:sz w:val="24"/>
          <w:u w:val="single"/>
        </w:rPr>
        <w:t>④</w:t>
      </w:r>
      <w:r>
        <w:rPr>
          <w:b/>
          <w:bCs w:val="0"/>
          <w:color w:val="000000"/>
          <w:sz w:val="24"/>
          <w:u w:val="single"/>
        </w:rPr>
        <w:fldChar w:fldCharType="end"/>
      </w:r>
      <w:r>
        <w:rPr>
          <w:b/>
          <w:bCs w:val="0"/>
          <w:color w:val="000000"/>
          <w:sz w:val="24"/>
          <w:u w:val="single"/>
        </w:rPr>
        <w:t>肥水适当施用，由企业结合天气状况、当地土地消纳能力、当地农田施肥规律等定时定量合理施肥，防止过度施肥而影响地下水环境。并且，防止在雨天进行施肥，以避免肥水随雨水垂直径流进入地下水体，造成污染。</w:t>
      </w:r>
    </w:p>
    <w:p>
      <w:pPr>
        <w:topLinePunct/>
        <w:spacing w:line="500" w:lineRule="exact"/>
        <w:ind w:firstLine="480" w:firstLineChars="200"/>
        <w:rPr>
          <w:b/>
          <w:bCs w:val="0"/>
          <w:color w:val="000000"/>
          <w:sz w:val="24"/>
          <w:u w:val="single"/>
        </w:rPr>
      </w:pPr>
      <w:r>
        <w:rPr>
          <w:b/>
          <w:bCs w:val="0"/>
          <w:color w:val="000000"/>
          <w:sz w:val="24"/>
          <w:u w:val="single"/>
        </w:rPr>
        <w:t>（4）管理措施</w:t>
      </w:r>
    </w:p>
    <w:p>
      <w:pPr>
        <w:topLinePunct/>
        <w:spacing w:line="500" w:lineRule="exact"/>
        <w:ind w:firstLine="480" w:firstLineChars="200"/>
        <w:rPr>
          <w:b/>
          <w:bCs w:val="0"/>
          <w:color w:val="000000"/>
          <w:sz w:val="24"/>
          <w:u w:val="single"/>
        </w:rPr>
      </w:pPr>
      <w:r>
        <w:rPr>
          <w:b/>
          <w:bCs w:val="0"/>
          <w:color w:val="000000"/>
          <w:sz w:val="24"/>
          <w:u w:val="single"/>
        </w:rPr>
        <w:t>成立事故处理组织，一旦发生废水事故排放，应立即组织人力、物力和财力加紧对设备进行维修，同时对废水进行回收、拦截，以防止污染地下水；</w:t>
      </w:r>
    </w:p>
    <w:p>
      <w:pPr>
        <w:topLinePunct/>
        <w:spacing w:line="500" w:lineRule="exact"/>
        <w:ind w:firstLine="480" w:firstLineChars="200"/>
        <w:rPr>
          <w:b/>
          <w:bCs w:val="0"/>
          <w:color w:val="000000"/>
          <w:sz w:val="24"/>
          <w:u w:val="single"/>
        </w:rPr>
      </w:pPr>
      <w:r>
        <w:rPr>
          <w:b/>
          <w:bCs w:val="0"/>
          <w:color w:val="000000"/>
          <w:sz w:val="24"/>
          <w:u w:val="single"/>
        </w:rPr>
        <w:t>综上分析，建设项目场区地下水敏感性差，污染物排放简单，在落实好防渗、防污措施后，本项目污染物能得到有效处理，对地下水水质影响较小，项目的建设不会产生其他环境地质问题，因此对地下水环境质量影响较小。</w:t>
      </w:r>
    </w:p>
    <w:p>
      <w:pPr>
        <w:keepNext/>
        <w:keepLines/>
        <w:topLinePunct/>
        <w:spacing w:line="600" w:lineRule="exact"/>
        <w:jc w:val="left"/>
        <w:outlineLvl w:val="2"/>
        <w:rPr>
          <w:b/>
          <w:bCs/>
          <w:color w:val="000000"/>
          <w:sz w:val="24"/>
          <w:szCs w:val="32"/>
        </w:rPr>
      </w:pPr>
      <w:r>
        <w:rPr>
          <w:b/>
          <w:bCs/>
          <w:color w:val="000000"/>
          <w:sz w:val="24"/>
          <w:szCs w:val="32"/>
        </w:rPr>
        <w:t>5.2.3废气污染防治措施分析</w:t>
      </w:r>
    </w:p>
    <w:p>
      <w:pPr>
        <w:topLinePunct/>
        <w:adjustRightInd w:val="0"/>
        <w:snapToGrid w:val="0"/>
        <w:spacing w:line="520" w:lineRule="exact"/>
        <w:rPr>
          <w:color w:val="000000"/>
          <w:sz w:val="24"/>
        </w:rPr>
      </w:pPr>
      <w:r>
        <w:rPr>
          <w:color w:val="000000"/>
          <w:sz w:val="24"/>
        </w:rPr>
        <w:t>5.2.3.1恶臭</w:t>
      </w:r>
    </w:p>
    <w:p>
      <w:pPr>
        <w:topLinePunct/>
        <w:adjustRightInd w:val="0"/>
        <w:snapToGrid w:val="0"/>
        <w:spacing w:line="520" w:lineRule="exact"/>
        <w:ind w:firstLine="480" w:firstLineChars="200"/>
        <w:rPr>
          <w:b/>
          <w:bCs/>
          <w:color w:val="000000"/>
          <w:sz w:val="24"/>
          <w:u w:val="single"/>
        </w:rPr>
      </w:pPr>
      <w:r>
        <w:rPr>
          <w:b/>
          <w:bCs/>
          <w:color w:val="000000"/>
          <w:sz w:val="24"/>
          <w:u w:val="single"/>
        </w:rPr>
        <w:t>（1）恶臭产生的场所</w:t>
      </w:r>
    </w:p>
    <w:p>
      <w:pPr>
        <w:topLinePunct/>
        <w:adjustRightInd w:val="0"/>
        <w:snapToGrid w:val="0"/>
        <w:spacing w:line="520" w:lineRule="exact"/>
        <w:ind w:firstLine="480" w:firstLineChars="200"/>
        <w:rPr>
          <w:b/>
          <w:bCs/>
          <w:color w:val="000000"/>
          <w:sz w:val="24"/>
          <w:u w:val="single"/>
        </w:rPr>
      </w:pPr>
      <w:r>
        <w:rPr>
          <w:b/>
          <w:bCs/>
          <w:color w:val="000000"/>
          <w:sz w:val="24"/>
          <w:u w:val="single"/>
        </w:rPr>
        <w:t>恶臭在养殖场和处理场等处均可产生，影响畜禽场恶臭产生的的主要原因是清粪方式、管理水平、粪便和污水处理程度，同时也与场址选择、场地规划和布局、畜舍设计、畜舍通风等有关。</w:t>
      </w:r>
    </w:p>
    <w:p>
      <w:pPr>
        <w:topLinePunct/>
        <w:adjustRightInd w:val="0"/>
        <w:snapToGrid w:val="0"/>
        <w:spacing w:line="520" w:lineRule="exact"/>
        <w:ind w:firstLine="480" w:firstLineChars="200"/>
        <w:rPr>
          <w:b/>
          <w:bCs/>
          <w:color w:val="000000"/>
          <w:sz w:val="24"/>
          <w:u w:val="single"/>
        </w:rPr>
      </w:pPr>
      <w:r>
        <w:rPr>
          <w:b/>
          <w:bCs/>
          <w:color w:val="000000"/>
          <w:sz w:val="24"/>
          <w:u w:val="single"/>
        </w:rPr>
        <w:t>恶臭的成分十分复杂，因家畜的种类、清粪方式、日粮组成、粪便和污水处理等不同而异，有机成分是硫醇类、胺类、吲哚、挥发性有机酸、酚类、醛类、酮类、醇类以及含氮杂环化合物等，无机成分主要是NH</w:t>
      </w:r>
      <w:r>
        <w:rPr>
          <w:b/>
          <w:bCs/>
          <w:color w:val="000000"/>
          <w:sz w:val="24"/>
          <w:u w:val="single"/>
          <w:vertAlign w:val="subscript"/>
        </w:rPr>
        <w:t>3</w:t>
      </w:r>
      <w:r>
        <w:rPr>
          <w:b/>
          <w:bCs/>
          <w:color w:val="000000"/>
          <w:sz w:val="24"/>
          <w:u w:val="single"/>
        </w:rPr>
        <w:t>和H</w:t>
      </w:r>
      <w:r>
        <w:rPr>
          <w:b/>
          <w:bCs/>
          <w:color w:val="000000"/>
          <w:sz w:val="24"/>
          <w:u w:val="single"/>
          <w:vertAlign w:val="subscript"/>
        </w:rPr>
        <w:t>2</w:t>
      </w:r>
      <w:r>
        <w:rPr>
          <w:b/>
          <w:bCs/>
          <w:color w:val="000000"/>
          <w:sz w:val="24"/>
          <w:u w:val="single"/>
        </w:rPr>
        <w:t>S。</w:t>
      </w:r>
    </w:p>
    <w:p>
      <w:pPr>
        <w:topLinePunct/>
        <w:adjustRightInd w:val="0"/>
        <w:snapToGrid w:val="0"/>
        <w:spacing w:line="520" w:lineRule="exact"/>
        <w:ind w:firstLine="480" w:firstLineChars="200"/>
        <w:rPr>
          <w:b/>
          <w:bCs/>
          <w:color w:val="000000"/>
          <w:sz w:val="24"/>
          <w:u w:val="single"/>
        </w:rPr>
      </w:pPr>
      <w:r>
        <w:rPr>
          <w:b/>
          <w:bCs/>
          <w:color w:val="000000"/>
          <w:sz w:val="24"/>
          <w:u w:val="single"/>
        </w:rPr>
        <w:t>（2）恶臭污染防治措施</w:t>
      </w:r>
    </w:p>
    <w:p>
      <w:pPr>
        <w:topLinePunct/>
        <w:adjustRightInd w:val="0"/>
        <w:snapToGrid w:val="0"/>
        <w:spacing w:line="520" w:lineRule="exact"/>
        <w:ind w:firstLine="480" w:firstLineChars="200"/>
        <w:rPr>
          <w:b/>
          <w:bCs/>
          <w:color w:val="000000"/>
          <w:sz w:val="24"/>
          <w:u w:val="single"/>
        </w:rPr>
      </w:pPr>
      <w:r>
        <w:rPr>
          <w:b/>
          <w:bCs/>
          <w:color w:val="000000"/>
          <w:sz w:val="24"/>
          <w:u w:val="single"/>
        </w:rPr>
        <w:t>由于猪舍的恶臭污染源很分散，集中处理困难，最有效的控制方法是预防为主，在恶臭产生的源头就地处理。本评价主要提出如下措施减降恶臭污染物的产生：</w:t>
      </w:r>
    </w:p>
    <w:p>
      <w:pPr>
        <w:topLinePunct/>
        <w:adjustRightInd w:val="0"/>
        <w:snapToGrid w:val="0"/>
        <w:spacing w:line="520" w:lineRule="exact"/>
        <w:ind w:firstLine="480" w:firstLineChars="200"/>
        <w:rPr>
          <w:b/>
          <w:bCs/>
          <w:color w:val="000000"/>
          <w:sz w:val="24"/>
          <w:u w:val="single"/>
        </w:rPr>
      </w:pPr>
      <w:r>
        <w:rPr>
          <w:rFonts w:hint="eastAsia" w:ascii="宋体" w:hAnsi="宋体" w:cs="宋体"/>
          <w:b/>
          <w:bCs/>
          <w:color w:val="000000"/>
          <w:sz w:val="24"/>
          <w:u w:val="single"/>
        </w:rPr>
        <w:t>①</w:t>
      </w:r>
      <w:r>
        <w:rPr>
          <w:b/>
          <w:bCs/>
          <w:color w:val="000000"/>
          <w:sz w:val="24"/>
          <w:u w:val="single"/>
        </w:rPr>
        <w:t xml:space="preserve"> 源头控制</w:t>
      </w:r>
    </w:p>
    <w:p>
      <w:pPr>
        <w:topLinePunct/>
        <w:spacing w:line="520" w:lineRule="exact"/>
        <w:ind w:firstLine="480" w:firstLineChars="200"/>
        <w:rPr>
          <w:b/>
          <w:bCs/>
          <w:color w:val="000000"/>
          <w:sz w:val="24"/>
          <w:u w:val="single"/>
        </w:rPr>
      </w:pPr>
      <w:r>
        <w:rPr>
          <w:b/>
          <w:bCs/>
          <w:iCs/>
          <w:color w:val="000000"/>
          <w:sz w:val="24"/>
          <w:szCs w:val="28"/>
          <w:u w:val="single"/>
        </w:rPr>
        <w:t>通过控制饲养密度，并加强舍内通风，及时清理猪舍，猪粪、沼渣等应及时加工或外运，尽量减少其在场内的堆存时间和堆存量；搞好场区环境卫生，采用节水型饮水器，猪舍及时冲洗；</w:t>
      </w:r>
    </w:p>
    <w:p>
      <w:pPr>
        <w:topLinePunct/>
        <w:spacing w:line="520" w:lineRule="exact"/>
        <w:ind w:firstLine="480" w:firstLineChars="200"/>
        <w:rPr>
          <w:b/>
          <w:bCs/>
          <w:color w:val="000000"/>
          <w:sz w:val="24"/>
          <w:u w:val="single"/>
        </w:rPr>
      </w:pPr>
      <w:r>
        <w:rPr>
          <w:b/>
          <w:bCs/>
          <w:color w:val="000000"/>
          <w:sz w:val="24"/>
          <w:szCs w:val="28"/>
          <w:u w:val="single"/>
        </w:rPr>
        <w:t>温度高时恶臭气体浓度高，猪粪在1～2周后发酵较快，粪便暴露面积大的发酵率高。猪舍使用漏缝地板，保证粪便冷却，并尽快从猪舍内清粪，在猪舍内加强通风，加速粪便干燥，可减少猪粪污染</w:t>
      </w:r>
      <w:r>
        <w:rPr>
          <w:b/>
          <w:bCs/>
          <w:color w:val="000000"/>
          <w:sz w:val="24"/>
          <w:u w:val="single"/>
        </w:rPr>
        <w:t>；</w:t>
      </w:r>
    </w:p>
    <w:p>
      <w:pPr>
        <w:tabs>
          <w:tab w:val="left" w:pos="7380"/>
        </w:tabs>
        <w:topLinePunct/>
        <w:adjustRightInd w:val="0"/>
        <w:snapToGrid w:val="0"/>
        <w:spacing w:line="520" w:lineRule="exact"/>
        <w:ind w:firstLine="480" w:firstLineChars="200"/>
        <w:rPr>
          <w:b/>
          <w:bCs/>
          <w:color w:val="000000"/>
          <w:sz w:val="24"/>
          <w:szCs w:val="28"/>
          <w:u w:val="single"/>
        </w:rPr>
      </w:pPr>
      <w:r>
        <w:rPr>
          <w:b/>
          <w:bCs/>
          <w:color w:val="000000"/>
          <w:sz w:val="24"/>
          <w:u w:val="single"/>
        </w:rPr>
        <w:t>通过</w:t>
      </w:r>
      <w:r>
        <w:rPr>
          <w:b/>
          <w:bCs/>
          <w:color w:val="000000"/>
          <w:sz w:val="24"/>
          <w:szCs w:val="28"/>
          <w:u w:val="single"/>
        </w:rPr>
        <w:t>合理搭配日粮</w:t>
      </w:r>
      <w:r>
        <w:rPr>
          <w:b/>
          <w:bCs/>
          <w:color w:val="000000"/>
          <w:sz w:val="24"/>
          <w:u w:val="single"/>
        </w:rPr>
        <w:t>；</w:t>
      </w:r>
      <w:r>
        <w:rPr>
          <w:b/>
          <w:bCs/>
          <w:color w:val="000000"/>
          <w:sz w:val="24"/>
          <w:szCs w:val="28"/>
          <w:u w:val="single"/>
        </w:rPr>
        <w:t>而减轻环境中的恶臭，减少蚊蝇孪生。</w:t>
      </w:r>
    </w:p>
    <w:p>
      <w:pPr>
        <w:pStyle w:val="36"/>
        <w:topLinePunct/>
        <w:adjustRightInd w:val="0"/>
        <w:snapToGrid w:val="0"/>
        <w:spacing w:after="0" w:line="520" w:lineRule="exact"/>
        <w:ind w:firstLine="480" w:firstLineChars="200"/>
        <w:rPr>
          <w:b/>
          <w:bCs/>
          <w:color w:val="000000"/>
          <w:sz w:val="24"/>
          <w:u w:val="single"/>
        </w:rPr>
      </w:pPr>
      <w:r>
        <w:rPr>
          <w:rFonts w:hint="eastAsia" w:ascii="宋体" w:hAnsi="宋体" w:cs="宋体"/>
          <w:b/>
          <w:bCs/>
          <w:color w:val="000000"/>
          <w:sz w:val="24"/>
          <w:u w:val="single"/>
        </w:rPr>
        <w:t>②</w:t>
      </w:r>
      <w:r>
        <w:rPr>
          <w:b/>
          <w:bCs/>
          <w:color w:val="000000"/>
          <w:sz w:val="24"/>
          <w:u w:val="single"/>
        </w:rPr>
        <w:t>过程整治</w:t>
      </w:r>
    </w:p>
    <w:p>
      <w:pPr>
        <w:pStyle w:val="2"/>
        <w:topLinePunct/>
        <w:adjustRightInd w:val="0"/>
        <w:snapToGrid w:val="0"/>
        <w:spacing w:line="520" w:lineRule="exact"/>
        <w:ind w:firstLine="480"/>
        <w:rPr>
          <w:b/>
          <w:bCs/>
          <w:color w:val="000000"/>
          <w:sz w:val="24"/>
          <w:u w:val="single"/>
        </w:rPr>
      </w:pPr>
      <w:r>
        <w:rPr>
          <w:b/>
          <w:bCs/>
          <w:color w:val="000000"/>
          <w:sz w:val="24"/>
          <w:u w:val="single"/>
        </w:rPr>
        <w:t>猪场采用“漏缝板+干清粪”工艺，项目采用墙体集热板、猪舍内热交换器、红外灯和喷雾降温相结合的方式进行猪舍内部温度控制。猪转栏时利用高压水枪冲圈消毒，夏季加强猪舍通风，降低舍内有害气体浓度，产生的粪渣等固废及时运至贮存或处理场所，以减少污染。</w:t>
      </w:r>
    </w:p>
    <w:p>
      <w:pPr>
        <w:pStyle w:val="2"/>
        <w:topLinePunct/>
        <w:adjustRightInd w:val="0"/>
        <w:snapToGrid w:val="0"/>
        <w:spacing w:line="520" w:lineRule="exact"/>
        <w:ind w:firstLine="480"/>
        <w:rPr>
          <w:b/>
          <w:bCs/>
          <w:color w:val="000000"/>
          <w:sz w:val="24"/>
          <w:u w:val="single"/>
        </w:rPr>
      </w:pPr>
      <w:r>
        <w:rPr>
          <w:b/>
          <w:bCs/>
          <w:color w:val="000000"/>
          <w:sz w:val="24"/>
          <w:u w:val="single"/>
        </w:rPr>
        <w:t>猪粪及沼渣及时运往固粪处置区，固粪处置区场设置顶棚，即能防雨又能保持通风，三面设置围堰。</w:t>
      </w:r>
    </w:p>
    <w:p>
      <w:pPr>
        <w:pStyle w:val="2"/>
        <w:topLinePunct/>
        <w:adjustRightInd w:val="0"/>
        <w:snapToGrid w:val="0"/>
        <w:spacing w:line="520" w:lineRule="exact"/>
        <w:ind w:firstLine="480"/>
        <w:rPr>
          <w:b/>
          <w:bCs/>
          <w:color w:val="000000"/>
          <w:sz w:val="24"/>
          <w:u w:val="single"/>
        </w:rPr>
      </w:pPr>
      <w:r>
        <w:rPr>
          <w:b/>
          <w:bCs/>
          <w:color w:val="000000"/>
          <w:sz w:val="24"/>
          <w:u w:val="single"/>
        </w:rPr>
        <w:t>加强养殖场生产管理，并对工作人员强化知识培训，提高饲养人员操作技能；</w:t>
      </w:r>
    </w:p>
    <w:p>
      <w:pPr>
        <w:pStyle w:val="2"/>
        <w:topLinePunct/>
        <w:adjustRightInd w:val="0"/>
        <w:snapToGrid w:val="0"/>
        <w:spacing w:line="520" w:lineRule="exact"/>
        <w:ind w:firstLine="480"/>
        <w:rPr>
          <w:b/>
          <w:bCs/>
          <w:color w:val="000000"/>
          <w:sz w:val="24"/>
          <w:u w:val="single"/>
        </w:rPr>
      </w:pPr>
      <w:r>
        <w:rPr>
          <w:b/>
          <w:bCs/>
          <w:color w:val="000000"/>
          <w:sz w:val="24"/>
          <w:u w:val="single"/>
        </w:rPr>
        <w:t>场区布置按功能区进行相应划分，各构筑物之间设绿化隔离带，特别是沼液储存池四周应加强绿化，易种植椿树、法国梧桐、枸杞树、柏树、小叶女贞等具有吸附恶臭功能的绿色植物，并配合种植草木、灌木等，实现立体绿化，利用绿色植物的吸收作用，以减少恶臭气体的逸散，减轻恶臭等对周围环境的影响；</w:t>
      </w:r>
    </w:p>
    <w:p>
      <w:pPr>
        <w:pStyle w:val="36"/>
        <w:topLinePunct/>
        <w:adjustRightInd w:val="0"/>
        <w:snapToGrid w:val="0"/>
        <w:spacing w:after="0" w:line="500" w:lineRule="exact"/>
        <w:ind w:firstLine="480" w:firstLineChars="200"/>
        <w:rPr>
          <w:b/>
          <w:bCs/>
          <w:color w:val="000000"/>
          <w:sz w:val="24"/>
          <w:u w:val="single"/>
        </w:rPr>
      </w:pPr>
      <w:r>
        <w:rPr>
          <w:rFonts w:hint="eastAsia" w:ascii="宋体" w:hAnsi="宋体" w:cs="宋体"/>
          <w:b/>
          <w:bCs/>
          <w:color w:val="000000"/>
          <w:sz w:val="24"/>
          <w:u w:val="single"/>
        </w:rPr>
        <w:t>③</w:t>
      </w:r>
      <w:r>
        <w:rPr>
          <w:b/>
          <w:bCs/>
          <w:color w:val="000000"/>
          <w:sz w:val="24"/>
          <w:u w:val="single"/>
        </w:rPr>
        <w:t>终端处理</w:t>
      </w:r>
    </w:p>
    <w:p>
      <w:pPr>
        <w:pStyle w:val="25"/>
        <w:topLinePunct/>
        <w:spacing w:after="0" w:line="500" w:lineRule="exact"/>
        <w:ind w:left="0" w:leftChars="0" w:firstLine="480" w:firstLineChars="200"/>
        <w:rPr>
          <w:b/>
          <w:bCs/>
          <w:color w:val="000000"/>
          <w:sz w:val="24"/>
          <w:u w:val="single"/>
        </w:rPr>
      </w:pPr>
      <w:r>
        <w:rPr>
          <w:b/>
          <w:bCs/>
          <w:color w:val="000000"/>
          <w:sz w:val="24"/>
          <w:u w:val="single"/>
        </w:rPr>
        <w:t>产生的恶臭用多种化学和生物产品来控制恶臭。评价建议夏季高温天气在养殖区、污水处理站、固粪处置区附近喷洒除臭剂进行处理，多用强氧化剂和杀菌剂等消除微生物产生的臭味或化学氧化臭味物质。</w:t>
      </w:r>
    </w:p>
    <w:p>
      <w:pPr>
        <w:pStyle w:val="25"/>
        <w:topLinePunct/>
        <w:spacing w:after="0" w:line="500" w:lineRule="exact"/>
        <w:ind w:left="0" w:leftChars="0" w:firstLine="480" w:firstLineChars="200"/>
        <w:rPr>
          <w:b/>
          <w:bCs/>
          <w:color w:val="000000"/>
          <w:sz w:val="24"/>
          <w:u w:val="single"/>
        </w:rPr>
      </w:pPr>
      <w:r>
        <w:rPr>
          <w:b/>
          <w:bCs/>
          <w:color w:val="000000"/>
          <w:sz w:val="24"/>
          <w:u w:val="single"/>
        </w:rPr>
        <w:t>本项目使用养殖场专用植物性除臭剂，该种除臭剂主要成分为活性醛基芳香香料、樟树、桉树、柏木、香茅等天然植物提取物，无毒、无刺激、无腐蚀性，杀菌功能强。植物性除臭剂通过4种物理化学作用力将臭气分子捕捉：范德华力、耦合力、化学反应力、吸附力，植物型除臭剂可以有效去除硫化氢、氨气、二氧化硫、甲硫醇、胺等多种常见的恶臭气体，也可以用于去除工业领域产生的特种恶臭气味。除臭剂中的活性基(-CHO)具有很高的活性，利用它的活性同挥发性含S(如硫化氢、硫醇、疏基化合物)、含N(如氨、有机胺) 等易挥发物质反应，产生新的低气味且无毒的新物质，不能参与活性基(-CHO)反应的一些挥发性物质则采用气味补偿办法解决，这种补偿也不是简单的气味掩盖作用，而是利用植物提取液中的活性成分与不能和活性基(-CHO)反应的成分进行再次作用，使其失去原来的气味，藉此实现对发挥性恶臭物质的有效削减和消除。</w:t>
      </w:r>
    </w:p>
    <w:p>
      <w:pPr>
        <w:topLinePunct/>
        <w:adjustRightInd w:val="0"/>
        <w:snapToGrid w:val="0"/>
        <w:spacing w:line="520" w:lineRule="exact"/>
        <w:ind w:firstLine="480" w:firstLineChars="200"/>
        <w:rPr>
          <w:b/>
          <w:bCs/>
          <w:color w:val="000000"/>
          <w:sz w:val="24"/>
          <w:u w:val="single"/>
        </w:rPr>
      </w:pPr>
      <w:r>
        <w:rPr>
          <w:b/>
          <w:bCs/>
          <w:color w:val="000000"/>
          <w:sz w:val="24"/>
          <w:u w:val="single"/>
        </w:rPr>
        <w:t>采用上述措施治理后，可有效减轻项目恶臭污染影响，评价预测场界排放臭气浓度能够满足《畜禽养殖业污染物排放标准》（GB18596－2001）中表7要求，在场界外</w:t>
      </w:r>
      <w:r>
        <w:rPr>
          <w:rFonts w:hint="eastAsia"/>
          <w:b/>
          <w:bCs/>
          <w:color w:val="000000"/>
          <w:sz w:val="24"/>
          <w:u w:val="single"/>
        </w:rPr>
        <w:t>3</w:t>
      </w:r>
      <w:r>
        <w:rPr>
          <w:b/>
          <w:bCs/>
          <w:color w:val="000000"/>
          <w:sz w:val="24"/>
          <w:u w:val="single"/>
        </w:rPr>
        <w:t>00m范围内不得新建学校、医院、居民区等环境敏感点。</w:t>
      </w:r>
    </w:p>
    <w:p>
      <w:pPr>
        <w:topLinePunct/>
        <w:spacing w:beforeLines="50" w:afterLines="50"/>
        <w:ind w:firstLine="480" w:firstLineChars="200"/>
        <w:jc w:val="center"/>
        <w:rPr>
          <w:rFonts w:ascii="宋体" w:hAnsi="宋体" w:cs="宋体"/>
          <w:b/>
          <w:bCs/>
          <w:color w:val="000000"/>
          <w:sz w:val="24"/>
          <w:u w:val="single"/>
        </w:rPr>
      </w:pPr>
      <w:r>
        <w:rPr>
          <w:rFonts w:hint="eastAsia" w:ascii="宋体" w:hAnsi="宋体" w:cs="宋体"/>
          <w:b/>
          <w:bCs/>
          <w:color w:val="000000"/>
          <w:sz w:val="24"/>
          <w:u w:val="single"/>
        </w:rPr>
        <w:t>表5-15工程废气污染防治措施一栏表</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512"/>
        <w:gridCol w:w="2269"/>
        <w:gridCol w:w="3401"/>
        <w:gridCol w:w="11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81" w:type="dxa"/>
            <w:vAlign w:val="center"/>
          </w:tcPr>
          <w:p>
            <w:pPr>
              <w:topLinePunct/>
              <w:adjustRightInd w:val="0"/>
              <w:snapToGrid w:val="0"/>
              <w:jc w:val="center"/>
              <w:rPr>
                <w:b/>
                <w:bCs/>
                <w:color w:val="000000"/>
                <w:szCs w:val="21"/>
                <w:u w:val="single"/>
              </w:rPr>
            </w:pPr>
            <w:r>
              <w:rPr>
                <w:b/>
                <w:bCs/>
                <w:color w:val="000000"/>
                <w:szCs w:val="21"/>
                <w:u w:val="single"/>
              </w:rPr>
              <w:t>序号</w:t>
            </w:r>
          </w:p>
        </w:tc>
        <w:tc>
          <w:tcPr>
            <w:tcW w:w="1512" w:type="dxa"/>
            <w:vAlign w:val="center"/>
          </w:tcPr>
          <w:p>
            <w:pPr>
              <w:topLinePunct/>
              <w:adjustRightInd w:val="0"/>
              <w:snapToGrid w:val="0"/>
              <w:jc w:val="center"/>
              <w:rPr>
                <w:b/>
                <w:bCs/>
                <w:color w:val="000000"/>
                <w:szCs w:val="21"/>
                <w:u w:val="single"/>
              </w:rPr>
            </w:pPr>
            <w:r>
              <w:rPr>
                <w:b/>
                <w:bCs/>
                <w:color w:val="000000"/>
                <w:szCs w:val="21"/>
                <w:u w:val="single"/>
              </w:rPr>
              <w:t>排放源</w:t>
            </w:r>
          </w:p>
        </w:tc>
        <w:tc>
          <w:tcPr>
            <w:tcW w:w="2269" w:type="dxa"/>
            <w:vAlign w:val="center"/>
          </w:tcPr>
          <w:p>
            <w:pPr>
              <w:topLinePunct/>
              <w:adjustRightInd w:val="0"/>
              <w:snapToGrid w:val="0"/>
              <w:jc w:val="center"/>
              <w:rPr>
                <w:b/>
                <w:bCs/>
                <w:color w:val="000000"/>
                <w:szCs w:val="21"/>
                <w:u w:val="single"/>
              </w:rPr>
            </w:pPr>
            <w:r>
              <w:rPr>
                <w:b/>
                <w:bCs/>
                <w:color w:val="000000"/>
                <w:szCs w:val="21"/>
                <w:u w:val="single"/>
              </w:rPr>
              <w:t>防治措施</w:t>
            </w:r>
          </w:p>
        </w:tc>
        <w:tc>
          <w:tcPr>
            <w:tcW w:w="3401" w:type="dxa"/>
          </w:tcPr>
          <w:p>
            <w:pPr>
              <w:topLinePunct/>
              <w:adjustRightInd w:val="0"/>
              <w:snapToGrid w:val="0"/>
              <w:jc w:val="center"/>
              <w:rPr>
                <w:b/>
                <w:bCs/>
                <w:color w:val="000000"/>
                <w:szCs w:val="21"/>
                <w:u w:val="single"/>
              </w:rPr>
            </w:pPr>
            <w:r>
              <w:rPr>
                <w:b/>
                <w:bCs/>
                <w:color w:val="000000"/>
                <w:szCs w:val="21"/>
                <w:u w:val="single"/>
              </w:rPr>
              <w:t>实施方案</w:t>
            </w:r>
          </w:p>
        </w:tc>
        <w:tc>
          <w:tcPr>
            <w:tcW w:w="1183" w:type="dxa"/>
            <w:vAlign w:val="center"/>
          </w:tcPr>
          <w:p>
            <w:pPr>
              <w:topLinePunct/>
              <w:adjustRightInd w:val="0"/>
              <w:snapToGrid w:val="0"/>
              <w:jc w:val="center"/>
              <w:rPr>
                <w:b/>
                <w:bCs/>
                <w:color w:val="000000"/>
                <w:szCs w:val="21"/>
                <w:u w:val="single"/>
              </w:rPr>
            </w:pPr>
            <w:r>
              <w:rPr>
                <w:b/>
                <w:bCs/>
                <w:color w:val="000000"/>
                <w:szCs w:val="21"/>
                <w:u w:val="single"/>
              </w:rPr>
              <w:t>治理目标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81" w:type="dxa"/>
            <w:vAlign w:val="center"/>
          </w:tcPr>
          <w:p>
            <w:pPr>
              <w:topLinePunct/>
              <w:adjustRightInd w:val="0"/>
              <w:snapToGrid w:val="0"/>
              <w:jc w:val="center"/>
              <w:rPr>
                <w:b/>
                <w:bCs/>
                <w:color w:val="000000"/>
                <w:szCs w:val="21"/>
                <w:u w:val="single"/>
              </w:rPr>
            </w:pPr>
            <w:r>
              <w:rPr>
                <w:b/>
                <w:bCs/>
                <w:color w:val="000000"/>
                <w:szCs w:val="21"/>
                <w:u w:val="single"/>
              </w:rPr>
              <w:t>1</w:t>
            </w:r>
          </w:p>
        </w:tc>
        <w:tc>
          <w:tcPr>
            <w:tcW w:w="1512" w:type="dxa"/>
            <w:vAlign w:val="center"/>
          </w:tcPr>
          <w:p>
            <w:pPr>
              <w:topLinePunct/>
              <w:adjustRightInd w:val="0"/>
              <w:snapToGrid w:val="0"/>
              <w:jc w:val="center"/>
              <w:rPr>
                <w:b/>
                <w:bCs/>
                <w:color w:val="000000"/>
                <w:szCs w:val="21"/>
                <w:u w:val="single"/>
              </w:rPr>
            </w:pPr>
            <w:r>
              <w:rPr>
                <w:b/>
                <w:bCs/>
                <w:color w:val="000000"/>
                <w:szCs w:val="21"/>
                <w:u w:val="single"/>
              </w:rPr>
              <w:t>猪舍</w:t>
            </w:r>
          </w:p>
        </w:tc>
        <w:tc>
          <w:tcPr>
            <w:tcW w:w="2269" w:type="dxa"/>
            <w:vAlign w:val="center"/>
          </w:tcPr>
          <w:p>
            <w:pPr>
              <w:topLinePunct/>
              <w:adjustRightInd w:val="0"/>
              <w:snapToGrid w:val="0"/>
              <w:jc w:val="center"/>
              <w:rPr>
                <w:b/>
                <w:bCs/>
                <w:color w:val="000000"/>
                <w:szCs w:val="21"/>
                <w:u w:val="single"/>
              </w:rPr>
            </w:pPr>
            <w:r>
              <w:rPr>
                <w:b/>
                <w:bCs/>
                <w:color w:val="000000"/>
                <w:szCs w:val="21"/>
                <w:u w:val="single"/>
              </w:rPr>
              <w:t>定期冲圈，猪舍周边喷洒除臭剂</w:t>
            </w:r>
          </w:p>
        </w:tc>
        <w:tc>
          <w:tcPr>
            <w:tcW w:w="3401" w:type="dxa"/>
          </w:tcPr>
          <w:p>
            <w:pPr>
              <w:topLinePunct/>
              <w:adjustRightInd w:val="0"/>
              <w:snapToGrid w:val="0"/>
              <w:rPr>
                <w:b/>
                <w:bCs/>
                <w:color w:val="000000"/>
                <w:szCs w:val="21"/>
                <w:u w:val="single"/>
              </w:rPr>
            </w:pPr>
            <w:r>
              <w:rPr>
                <w:b/>
                <w:bCs/>
                <w:color w:val="000000"/>
                <w:szCs w:val="21"/>
                <w:u w:val="single"/>
              </w:rPr>
              <w:t>猪转栏时利用高压水枪彻底冲圈消毒，人工喷洒除臭剂，喷洒频率为：前期连续喷洒3天，之后每隔5天喷洒一次</w:t>
            </w:r>
          </w:p>
        </w:tc>
        <w:tc>
          <w:tcPr>
            <w:tcW w:w="1183" w:type="dxa"/>
            <w:vMerge w:val="restart"/>
            <w:vAlign w:val="center"/>
          </w:tcPr>
          <w:p>
            <w:pPr>
              <w:topLinePunct/>
              <w:adjustRightInd w:val="0"/>
              <w:snapToGrid w:val="0"/>
              <w:rPr>
                <w:b/>
                <w:bCs/>
                <w:color w:val="000000"/>
                <w:szCs w:val="21"/>
                <w:u w:val="single"/>
              </w:rPr>
            </w:pPr>
            <w:r>
              <w:rPr>
                <w:b/>
                <w:bCs/>
                <w:color w:val="000000"/>
                <w:szCs w:val="21"/>
                <w:u w:val="single"/>
              </w:rPr>
              <w:t>满足《恶臭污染物排放标准》表1中二级标准要求。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81" w:type="dxa"/>
            <w:vAlign w:val="center"/>
          </w:tcPr>
          <w:p>
            <w:pPr>
              <w:topLinePunct/>
              <w:adjustRightInd w:val="0"/>
              <w:snapToGrid w:val="0"/>
              <w:jc w:val="center"/>
              <w:rPr>
                <w:b/>
                <w:bCs/>
                <w:color w:val="000000"/>
                <w:szCs w:val="21"/>
                <w:u w:val="single"/>
              </w:rPr>
            </w:pPr>
            <w:r>
              <w:rPr>
                <w:b/>
                <w:bCs/>
                <w:color w:val="000000"/>
                <w:szCs w:val="21"/>
                <w:u w:val="single"/>
              </w:rPr>
              <w:t>2</w:t>
            </w:r>
          </w:p>
        </w:tc>
        <w:tc>
          <w:tcPr>
            <w:tcW w:w="1512" w:type="dxa"/>
            <w:vAlign w:val="center"/>
          </w:tcPr>
          <w:p>
            <w:pPr>
              <w:topLinePunct/>
              <w:adjustRightInd w:val="0"/>
              <w:snapToGrid w:val="0"/>
              <w:jc w:val="center"/>
              <w:rPr>
                <w:b/>
                <w:bCs/>
                <w:color w:val="000000"/>
                <w:szCs w:val="21"/>
                <w:u w:val="single"/>
              </w:rPr>
            </w:pPr>
            <w:r>
              <w:rPr>
                <w:b/>
                <w:bCs/>
                <w:color w:val="000000"/>
                <w:szCs w:val="21"/>
                <w:u w:val="single"/>
              </w:rPr>
              <w:t>固粪处置区</w:t>
            </w:r>
          </w:p>
        </w:tc>
        <w:tc>
          <w:tcPr>
            <w:tcW w:w="2269" w:type="dxa"/>
            <w:vAlign w:val="center"/>
          </w:tcPr>
          <w:p>
            <w:pPr>
              <w:topLinePunct/>
              <w:adjustRightInd w:val="0"/>
              <w:snapToGrid w:val="0"/>
              <w:jc w:val="center"/>
              <w:rPr>
                <w:b/>
                <w:bCs/>
                <w:color w:val="000000"/>
                <w:szCs w:val="21"/>
                <w:u w:val="single"/>
              </w:rPr>
            </w:pPr>
            <w:r>
              <w:rPr>
                <w:b/>
                <w:bCs/>
                <w:color w:val="000000"/>
                <w:szCs w:val="21"/>
                <w:u w:val="single"/>
              </w:rPr>
              <w:t>加强通风，喷洒除臭剂</w:t>
            </w:r>
          </w:p>
        </w:tc>
        <w:tc>
          <w:tcPr>
            <w:tcW w:w="3401" w:type="dxa"/>
          </w:tcPr>
          <w:p>
            <w:pPr>
              <w:topLinePunct/>
              <w:adjustRightInd w:val="0"/>
              <w:snapToGrid w:val="0"/>
              <w:rPr>
                <w:b/>
                <w:bCs/>
                <w:color w:val="000000"/>
                <w:szCs w:val="21"/>
                <w:u w:val="single"/>
              </w:rPr>
            </w:pPr>
            <w:r>
              <w:rPr>
                <w:b/>
                <w:bCs/>
                <w:color w:val="000000"/>
                <w:szCs w:val="21"/>
                <w:u w:val="single"/>
              </w:rPr>
              <w:t xml:space="preserve">设置顶棚，三面设置围堰，人工喷洒除臭剂，喷洒频率为：每次翻堆时人工喷洒 </w:t>
            </w:r>
          </w:p>
        </w:tc>
        <w:tc>
          <w:tcPr>
            <w:tcW w:w="1183" w:type="dxa"/>
            <w:vMerge w:val="continue"/>
            <w:vAlign w:val="center"/>
          </w:tcPr>
          <w:p>
            <w:pPr>
              <w:topLinePunct/>
              <w:adjustRightInd w:val="0"/>
              <w:snapToGrid w:val="0"/>
              <w:rPr>
                <w:b/>
                <w:bCs/>
                <w:color w:val="00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81" w:type="dxa"/>
            <w:vAlign w:val="center"/>
          </w:tcPr>
          <w:p>
            <w:pPr>
              <w:topLinePunct/>
              <w:adjustRightInd w:val="0"/>
              <w:snapToGrid w:val="0"/>
              <w:jc w:val="center"/>
              <w:rPr>
                <w:b/>
                <w:bCs/>
                <w:color w:val="000000"/>
                <w:szCs w:val="21"/>
                <w:u w:val="single"/>
              </w:rPr>
            </w:pPr>
            <w:r>
              <w:rPr>
                <w:b/>
                <w:bCs/>
                <w:color w:val="000000"/>
                <w:szCs w:val="21"/>
                <w:u w:val="single"/>
              </w:rPr>
              <w:t>3</w:t>
            </w:r>
          </w:p>
        </w:tc>
        <w:tc>
          <w:tcPr>
            <w:tcW w:w="1512" w:type="dxa"/>
            <w:vAlign w:val="center"/>
          </w:tcPr>
          <w:p>
            <w:pPr>
              <w:topLinePunct/>
              <w:adjustRightInd w:val="0"/>
              <w:snapToGrid w:val="0"/>
              <w:jc w:val="center"/>
              <w:rPr>
                <w:b/>
                <w:bCs/>
                <w:color w:val="000000"/>
                <w:szCs w:val="21"/>
                <w:u w:val="single"/>
              </w:rPr>
            </w:pPr>
            <w:r>
              <w:rPr>
                <w:b/>
                <w:bCs/>
                <w:color w:val="000000"/>
                <w:szCs w:val="21"/>
                <w:u w:val="single"/>
              </w:rPr>
              <w:t>污水处理站</w:t>
            </w:r>
          </w:p>
        </w:tc>
        <w:tc>
          <w:tcPr>
            <w:tcW w:w="2269" w:type="dxa"/>
            <w:vAlign w:val="center"/>
          </w:tcPr>
          <w:p>
            <w:pPr>
              <w:topLinePunct/>
              <w:jc w:val="center"/>
              <w:rPr>
                <w:b/>
                <w:bCs/>
                <w:color w:val="000000"/>
                <w:szCs w:val="21"/>
                <w:u w:val="single"/>
              </w:rPr>
            </w:pPr>
            <w:r>
              <w:rPr>
                <w:b/>
                <w:bCs/>
                <w:color w:val="000000"/>
                <w:szCs w:val="21"/>
                <w:u w:val="single"/>
              </w:rPr>
              <w:t>加强管理，喷洒除臭剂</w:t>
            </w:r>
          </w:p>
        </w:tc>
        <w:tc>
          <w:tcPr>
            <w:tcW w:w="3401" w:type="dxa"/>
          </w:tcPr>
          <w:p>
            <w:pPr>
              <w:topLinePunct/>
              <w:adjustRightInd w:val="0"/>
              <w:snapToGrid w:val="0"/>
              <w:rPr>
                <w:b/>
                <w:bCs/>
                <w:color w:val="000000"/>
                <w:szCs w:val="21"/>
                <w:u w:val="single"/>
              </w:rPr>
            </w:pPr>
            <w:r>
              <w:rPr>
                <w:b/>
                <w:bCs/>
                <w:color w:val="000000"/>
                <w:szCs w:val="21"/>
                <w:u w:val="single"/>
              </w:rPr>
              <w:t>对操作人员强化培训，并配合喷洒除臭剂，喷洒频率为：前期连续喷洒3天，之后每隔5天喷洒一次</w:t>
            </w:r>
          </w:p>
        </w:tc>
        <w:tc>
          <w:tcPr>
            <w:tcW w:w="1183" w:type="dxa"/>
            <w:vMerge w:val="continue"/>
            <w:vAlign w:val="center"/>
          </w:tcPr>
          <w:p>
            <w:pPr>
              <w:topLinePunct/>
              <w:adjustRightInd w:val="0"/>
              <w:snapToGrid w:val="0"/>
              <w:rPr>
                <w:b/>
                <w:bCs/>
                <w:color w:val="00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581" w:type="dxa"/>
            <w:vAlign w:val="center"/>
          </w:tcPr>
          <w:p>
            <w:pPr>
              <w:topLinePunct/>
              <w:adjustRightInd w:val="0"/>
              <w:snapToGrid w:val="0"/>
              <w:jc w:val="center"/>
              <w:rPr>
                <w:b/>
                <w:bCs/>
                <w:color w:val="000000"/>
                <w:szCs w:val="21"/>
                <w:u w:val="single"/>
              </w:rPr>
            </w:pPr>
            <w:r>
              <w:rPr>
                <w:b/>
                <w:bCs/>
                <w:color w:val="000000"/>
                <w:szCs w:val="21"/>
                <w:u w:val="single"/>
              </w:rPr>
              <w:t>4</w:t>
            </w:r>
          </w:p>
        </w:tc>
        <w:tc>
          <w:tcPr>
            <w:tcW w:w="1512" w:type="dxa"/>
            <w:vAlign w:val="center"/>
          </w:tcPr>
          <w:p>
            <w:pPr>
              <w:topLinePunct/>
              <w:adjustRightInd w:val="0"/>
              <w:snapToGrid w:val="0"/>
              <w:jc w:val="center"/>
              <w:rPr>
                <w:b/>
                <w:bCs/>
                <w:color w:val="000000"/>
                <w:szCs w:val="21"/>
                <w:u w:val="single"/>
              </w:rPr>
            </w:pPr>
            <w:r>
              <w:rPr>
                <w:b/>
                <w:bCs/>
                <w:color w:val="000000"/>
                <w:szCs w:val="21"/>
                <w:u w:val="single"/>
              </w:rPr>
              <w:t>沼液储存池</w:t>
            </w:r>
          </w:p>
        </w:tc>
        <w:tc>
          <w:tcPr>
            <w:tcW w:w="2269" w:type="dxa"/>
            <w:vAlign w:val="center"/>
          </w:tcPr>
          <w:p>
            <w:pPr>
              <w:topLinePunct/>
              <w:jc w:val="center"/>
              <w:rPr>
                <w:b/>
                <w:bCs/>
                <w:color w:val="000000"/>
                <w:szCs w:val="21"/>
                <w:u w:val="single"/>
              </w:rPr>
            </w:pPr>
            <w:r>
              <w:rPr>
                <w:b/>
                <w:bCs/>
                <w:color w:val="000000"/>
                <w:szCs w:val="21"/>
                <w:u w:val="single"/>
              </w:rPr>
              <w:t>周边绿化</w:t>
            </w:r>
          </w:p>
        </w:tc>
        <w:tc>
          <w:tcPr>
            <w:tcW w:w="3401" w:type="dxa"/>
          </w:tcPr>
          <w:p>
            <w:pPr>
              <w:topLinePunct/>
              <w:adjustRightInd w:val="0"/>
              <w:snapToGrid w:val="0"/>
              <w:rPr>
                <w:b/>
                <w:bCs/>
                <w:color w:val="000000"/>
                <w:szCs w:val="21"/>
                <w:u w:val="single"/>
              </w:rPr>
            </w:pPr>
            <w:r>
              <w:rPr>
                <w:b/>
                <w:bCs/>
                <w:color w:val="000000"/>
                <w:szCs w:val="21"/>
                <w:u w:val="single"/>
              </w:rPr>
              <w:t>四周加强绿化，主要种植草木、灌木、乔木等间隔立体绿化</w:t>
            </w:r>
          </w:p>
        </w:tc>
        <w:tc>
          <w:tcPr>
            <w:tcW w:w="1183" w:type="dxa"/>
            <w:vMerge w:val="continue"/>
            <w:vAlign w:val="center"/>
          </w:tcPr>
          <w:p>
            <w:pPr>
              <w:topLinePunct/>
              <w:adjustRightInd w:val="0"/>
              <w:snapToGrid w:val="0"/>
              <w:rPr>
                <w:b/>
                <w:bCs/>
                <w:color w:val="000000"/>
                <w:szCs w:val="21"/>
                <w:u w:val="single"/>
              </w:rPr>
            </w:pPr>
          </w:p>
        </w:tc>
      </w:tr>
    </w:tbl>
    <w:p>
      <w:pPr>
        <w:topLinePunct/>
        <w:adjustRightInd w:val="0"/>
        <w:snapToGrid w:val="0"/>
        <w:spacing w:line="520" w:lineRule="exact"/>
        <w:rPr>
          <w:color w:val="000000"/>
          <w:sz w:val="24"/>
        </w:rPr>
      </w:pPr>
      <w:r>
        <w:rPr>
          <w:color w:val="000000"/>
          <w:sz w:val="24"/>
        </w:rPr>
        <w:t>5.2.3.2沼气和天然气燃烧废气</w:t>
      </w:r>
    </w:p>
    <w:p>
      <w:pPr>
        <w:topLinePunct/>
        <w:spacing w:line="520" w:lineRule="exact"/>
        <w:ind w:firstLine="480" w:firstLineChars="200"/>
        <w:rPr>
          <w:color w:val="000000"/>
          <w:sz w:val="24"/>
        </w:rPr>
      </w:pPr>
      <w:r>
        <w:rPr>
          <w:color w:val="000000"/>
          <w:sz w:val="24"/>
        </w:rPr>
        <w:t>沼气锅炉燃烧的烟气产生量为</w:t>
      </w:r>
      <w:r>
        <w:rPr>
          <w:rFonts w:hint="eastAsia"/>
          <w:color w:val="000000"/>
          <w:sz w:val="24"/>
        </w:rPr>
        <w:t>796595</w:t>
      </w:r>
      <w:r>
        <w:rPr>
          <w:color w:val="000000"/>
          <w:sz w:val="24"/>
        </w:rPr>
        <w:t>m</w:t>
      </w:r>
      <w:r>
        <w:rPr>
          <w:color w:val="000000"/>
          <w:sz w:val="24"/>
          <w:vertAlign w:val="superscript"/>
        </w:rPr>
        <w:t>3</w:t>
      </w:r>
      <w:r>
        <w:rPr>
          <w:color w:val="000000"/>
          <w:sz w:val="24"/>
        </w:rPr>
        <w:t>/a, SO</w:t>
      </w:r>
      <w:r>
        <w:rPr>
          <w:color w:val="000000"/>
          <w:sz w:val="24"/>
          <w:vertAlign w:val="subscript"/>
        </w:rPr>
        <w:t>2</w:t>
      </w:r>
      <w:r>
        <w:rPr>
          <w:color w:val="000000"/>
          <w:sz w:val="24"/>
        </w:rPr>
        <w:t>产生量为1.8kg/a，NOx产生量为67kg/a，SO</w:t>
      </w:r>
      <w:r>
        <w:rPr>
          <w:color w:val="000000"/>
          <w:sz w:val="24"/>
          <w:vertAlign w:val="subscript"/>
        </w:rPr>
        <w:t>2</w:t>
      </w:r>
      <w:r>
        <w:rPr>
          <w:color w:val="000000"/>
          <w:sz w:val="24"/>
        </w:rPr>
        <w:t>、NOx的产生浓度为2.21mg/m</w:t>
      </w:r>
      <w:r>
        <w:rPr>
          <w:color w:val="000000"/>
          <w:sz w:val="24"/>
          <w:vertAlign w:val="superscript"/>
        </w:rPr>
        <w:t>3</w:t>
      </w:r>
      <w:r>
        <w:rPr>
          <w:color w:val="000000"/>
          <w:sz w:val="24"/>
        </w:rPr>
        <w:t>、78.9mg/m</w:t>
      </w:r>
      <w:r>
        <w:rPr>
          <w:color w:val="000000"/>
          <w:sz w:val="24"/>
          <w:vertAlign w:val="superscript"/>
        </w:rPr>
        <w:t>3</w:t>
      </w:r>
      <w:r>
        <w:rPr>
          <w:color w:val="000000"/>
          <w:sz w:val="24"/>
        </w:rPr>
        <w:t>。经高效低氮燃烧器+烟气二次燃烧技术由8m高排气筒排放，SO</w:t>
      </w:r>
      <w:r>
        <w:rPr>
          <w:color w:val="000000"/>
          <w:sz w:val="24"/>
          <w:vertAlign w:val="subscript"/>
        </w:rPr>
        <w:t>2</w:t>
      </w:r>
      <w:r>
        <w:rPr>
          <w:color w:val="000000"/>
          <w:sz w:val="24"/>
        </w:rPr>
        <w:t>、NOx的产生浓度为2.21mg/m</w:t>
      </w:r>
      <w:r>
        <w:rPr>
          <w:color w:val="000000"/>
          <w:sz w:val="24"/>
          <w:vertAlign w:val="superscript"/>
        </w:rPr>
        <w:t>3</w:t>
      </w:r>
      <w:r>
        <w:rPr>
          <w:color w:val="000000"/>
          <w:sz w:val="24"/>
        </w:rPr>
        <w:t>、15.78mg/m</w:t>
      </w:r>
      <w:r>
        <w:rPr>
          <w:color w:val="000000"/>
          <w:sz w:val="24"/>
          <w:vertAlign w:val="superscript"/>
        </w:rPr>
        <w:t>3</w:t>
      </w:r>
      <w:r>
        <w:rPr>
          <w:color w:val="000000"/>
          <w:sz w:val="24"/>
        </w:rPr>
        <w:t>，SO</w:t>
      </w:r>
      <w:r>
        <w:rPr>
          <w:color w:val="000000"/>
          <w:sz w:val="24"/>
          <w:vertAlign w:val="subscript"/>
        </w:rPr>
        <w:t>2</w:t>
      </w:r>
      <w:r>
        <w:rPr>
          <w:color w:val="000000"/>
          <w:sz w:val="24"/>
        </w:rPr>
        <w:t>产排放为1.8kg/a，NOx排放量为13kg/a，满足河南省2019年度锅炉综合整治方案要求。</w:t>
      </w:r>
    </w:p>
    <w:p>
      <w:pPr>
        <w:topLinePunct/>
        <w:adjustRightInd w:val="0"/>
        <w:snapToGrid w:val="0"/>
        <w:spacing w:line="600" w:lineRule="exact"/>
        <w:outlineLvl w:val="2"/>
        <w:rPr>
          <w:b/>
          <w:bCs/>
          <w:color w:val="000000"/>
          <w:sz w:val="24"/>
        </w:rPr>
      </w:pPr>
      <w:r>
        <w:rPr>
          <w:b/>
          <w:bCs/>
          <w:color w:val="000000"/>
          <w:sz w:val="24"/>
        </w:rPr>
        <w:t>5.2.4噪声污染防治措施分析</w:t>
      </w:r>
    </w:p>
    <w:p>
      <w:pPr>
        <w:tabs>
          <w:tab w:val="right" w:leader="dot" w:pos="8647"/>
        </w:tabs>
        <w:adjustRightInd w:val="0"/>
        <w:snapToGrid w:val="0"/>
        <w:spacing w:line="500" w:lineRule="exact"/>
        <w:ind w:firstLine="570"/>
        <w:rPr>
          <w:bCs/>
          <w:color w:val="000000"/>
          <w:sz w:val="24"/>
        </w:rPr>
      </w:pPr>
      <w:r>
        <w:rPr>
          <w:bCs/>
          <w:color w:val="000000"/>
          <w:sz w:val="24"/>
        </w:rPr>
        <w:t>本工程噪声主要为猪叫声、猪舍降温配套负压风机、粪污处理设施等设备运行时产生的噪声，根据类比调查，其源强为70～85dB(A)。</w:t>
      </w:r>
    </w:p>
    <w:p>
      <w:pPr>
        <w:adjustRightInd w:val="0"/>
        <w:snapToGrid w:val="0"/>
        <w:spacing w:line="520" w:lineRule="exact"/>
        <w:ind w:firstLine="570"/>
        <w:rPr>
          <w:bCs/>
          <w:color w:val="000000"/>
          <w:sz w:val="24"/>
        </w:rPr>
      </w:pPr>
      <w:r>
        <w:rPr>
          <w:color w:val="000000"/>
          <w:sz w:val="24"/>
        </w:rPr>
        <w:t>工程采取以下措施来进行：</w:t>
      </w:r>
    </w:p>
    <w:p>
      <w:pPr>
        <w:adjustRightInd w:val="0"/>
        <w:snapToGrid w:val="0"/>
        <w:spacing w:line="520" w:lineRule="exact"/>
        <w:ind w:firstLine="570"/>
        <w:rPr>
          <w:color w:val="000000"/>
          <w:sz w:val="24"/>
        </w:rPr>
      </w:pPr>
      <w:r>
        <w:rPr>
          <w:color w:val="000000"/>
          <w:sz w:val="24"/>
        </w:rPr>
        <w:t>（1）企业在设备选型上，应选择低噪声风机、空压机、水泵设备，以防止项目运营期间产生的噪声源叠加，对区域环境产生较大影响。</w:t>
      </w:r>
    </w:p>
    <w:p>
      <w:pPr>
        <w:adjustRightInd w:val="0"/>
        <w:snapToGrid w:val="0"/>
        <w:spacing w:line="520" w:lineRule="exact"/>
        <w:ind w:firstLine="570"/>
        <w:rPr>
          <w:color w:val="000000"/>
          <w:sz w:val="24"/>
        </w:rPr>
      </w:pPr>
      <w:r>
        <w:rPr>
          <w:color w:val="000000"/>
          <w:sz w:val="24"/>
        </w:rPr>
        <w:t>（2）对风机、水泵设备安装减振垫进行设备基础减振处理，根据噪声衰减规律分析：</w:t>
      </w:r>
      <w:r>
        <w:rPr>
          <w:bCs/>
          <w:color w:val="000000"/>
          <w:sz w:val="24"/>
        </w:rPr>
        <w:t>经基础减振（减轻振动及不固定配件摆动噪声）及隔声措施噪声衰减可以达到15～25dB(A)</w:t>
      </w:r>
      <w:r>
        <w:rPr>
          <w:color w:val="000000"/>
          <w:sz w:val="24"/>
        </w:rPr>
        <w:t>。</w:t>
      </w:r>
    </w:p>
    <w:p>
      <w:pPr>
        <w:adjustRightInd w:val="0"/>
        <w:snapToGrid w:val="0"/>
        <w:spacing w:line="520" w:lineRule="exact"/>
        <w:ind w:firstLine="480" w:firstLineChars="200"/>
        <w:rPr>
          <w:color w:val="000000"/>
          <w:sz w:val="24"/>
        </w:rPr>
      </w:pPr>
      <w:r>
        <w:rPr>
          <w:color w:val="000000"/>
          <w:sz w:val="24"/>
        </w:rPr>
        <w:t>（3）在场区周围及场内加强绿化，充分利用建筑的边角空隙土地及不规则土地进行绿化；场区绿化应结合场区与猪舍之间的隔离、遮荫及防风需要进行。可根据当地实际种植能美化环境、净化空气的树种和花草，不宜种植有毒、有刺、飞絮的植物，其噪声源强可衰减约5dB(A)。</w:t>
      </w:r>
    </w:p>
    <w:p>
      <w:pPr>
        <w:adjustRightInd w:val="0"/>
        <w:snapToGrid w:val="0"/>
        <w:spacing w:line="520" w:lineRule="exact"/>
        <w:ind w:firstLine="480" w:firstLineChars="200"/>
        <w:rPr>
          <w:color w:val="000000"/>
          <w:sz w:val="24"/>
        </w:rPr>
      </w:pPr>
      <w:r>
        <w:rPr>
          <w:color w:val="000000"/>
          <w:sz w:val="24"/>
        </w:rPr>
        <w:t>（4）评价要求噪声源强较高的设备，尽量往场区内部布置，因距离的原因实现噪声衰减。</w:t>
      </w:r>
    </w:p>
    <w:p>
      <w:pPr>
        <w:topLinePunct/>
        <w:adjustRightInd w:val="0"/>
        <w:snapToGrid w:val="0"/>
        <w:spacing w:line="500" w:lineRule="exact"/>
        <w:ind w:firstLine="600" w:firstLineChars="250"/>
        <w:rPr>
          <w:color w:val="000000"/>
          <w:sz w:val="24"/>
        </w:rPr>
      </w:pPr>
      <w:r>
        <w:rPr>
          <w:color w:val="000000"/>
          <w:sz w:val="24"/>
        </w:rPr>
        <w:t>经采取以上措施，噪声可衰减约15~25dB(A)，再经一定距离衰减后，预测厂界噪声满足《工业企业厂界环境噪声排放标准》（GB12348－2008）2类标准的要求。</w:t>
      </w:r>
    </w:p>
    <w:p>
      <w:pPr>
        <w:topLinePunct/>
        <w:adjustRightInd w:val="0"/>
        <w:snapToGrid w:val="0"/>
        <w:spacing w:line="600" w:lineRule="exact"/>
        <w:outlineLvl w:val="2"/>
        <w:rPr>
          <w:b/>
          <w:bCs/>
          <w:color w:val="000000"/>
          <w:sz w:val="24"/>
        </w:rPr>
      </w:pPr>
      <w:r>
        <w:rPr>
          <w:b/>
          <w:bCs/>
          <w:color w:val="000000"/>
          <w:sz w:val="24"/>
        </w:rPr>
        <w:t>5.2.5固废污染防治措施</w:t>
      </w:r>
    </w:p>
    <w:p>
      <w:pPr>
        <w:topLinePunct/>
        <w:adjustRightInd w:val="0"/>
        <w:snapToGrid w:val="0"/>
        <w:spacing w:line="520" w:lineRule="exact"/>
        <w:ind w:firstLine="480" w:firstLineChars="200"/>
        <w:rPr>
          <w:bCs/>
          <w:color w:val="000000"/>
          <w:sz w:val="24"/>
        </w:rPr>
      </w:pPr>
      <w:r>
        <w:rPr>
          <w:color w:val="000000"/>
          <w:sz w:val="24"/>
        </w:rPr>
        <w:t>本项目</w:t>
      </w:r>
      <w:r>
        <w:rPr>
          <w:color w:val="000000"/>
          <w:spacing w:val="10"/>
          <w:sz w:val="24"/>
        </w:rPr>
        <w:t>产生的固体废物主要</w:t>
      </w:r>
      <w:r>
        <w:rPr>
          <w:color w:val="000000"/>
          <w:sz w:val="24"/>
        </w:rPr>
        <w:t>包括猪粪固形物、</w:t>
      </w:r>
      <w:r>
        <w:rPr>
          <w:bCs/>
          <w:color w:val="000000"/>
          <w:sz w:val="24"/>
        </w:rPr>
        <w:t>厌氧发酵后的沼渣、</w:t>
      </w:r>
      <w:r>
        <w:rPr>
          <w:color w:val="000000"/>
          <w:sz w:val="24"/>
        </w:rPr>
        <w:t>养殖过程产生的病死猪尸及疾病防疫产生的医疗废物、废脱硫剂和职工生活垃圾。</w:t>
      </w:r>
      <w:r>
        <w:rPr>
          <w:bCs/>
          <w:color w:val="000000"/>
          <w:sz w:val="24"/>
        </w:rPr>
        <w:t>固废污染产生及防治措施见表5-16。</w:t>
      </w:r>
    </w:p>
    <w:p>
      <w:pPr>
        <w:topLinePunct/>
        <w:spacing w:line="500" w:lineRule="exact"/>
        <w:ind w:firstLine="420" w:firstLineChars="200"/>
        <w:jc w:val="center"/>
        <w:rPr>
          <w:b/>
          <w:bCs/>
          <w:color w:val="000000"/>
          <w:szCs w:val="21"/>
        </w:rPr>
      </w:pPr>
      <w:r>
        <w:rPr>
          <w:b/>
          <w:bCs/>
          <w:color w:val="000000"/>
          <w:szCs w:val="21"/>
        </w:rPr>
        <w:t>表5-16 固体废物产排情况及处置措施一览表</w:t>
      </w:r>
    </w:p>
    <w:tbl>
      <w:tblPr>
        <w:tblStyle w:val="44"/>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566"/>
        <w:gridCol w:w="1276"/>
        <w:gridCol w:w="1274"/>
        <w:gridCol w:w="993"/>
        <w:gridCol w:w="2614"/>
        <w:gridCol w:w="6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27" w:type="dxa"/>
            <w:tcMar>
              <w:top w:w="0" w:type="dxa"/>
              <w:left w:w="28" w:type="dxa"/>
              <w:bottom w:w="0" w:type="dxa"/>
              <w:right w:w="28" w:type="dxa"/>
            </w:tcMar>
            <w:vAlign w:val="center"/>
          </w:tcPr>
          <w:p>
            <w:pPr>
              <w:jc w:val="center"/>
              <w:rPr>
                <w:b/>
                <w:bCs/>
                <w:szCs w:val="21"/>
              </w:rPr>
            </w:pPr>
            <w:r>
              <w:rPr>
                <w:b/>
                <w:bCs/>
                <w:szCs w:val="21"/>
              </w:rPr>
              <w:t>序号</w:t>
            </w:r>
          </w:p>
        </w:tc>
        <w:tc>
          <w:tcPr>
            <w:tcW w:w="1566" w:type="dxa"/>
            <w:tcMar>
              <w:top w:w="0" w:type="dxa"/>
              <w:left w:w="28" w:type="dxa"/>
              <w:bottom w:w="0" w:type="dxa"/>
              <w:right w:w="28" w:type="dxa"/>
            </w:tcMar>
            <w:vAlign w:val="center"/>
          </w:tcPr>
          <w:p>
            <w:pPr>
              <w:jc w:val="center"/>
              <w:rPr>
                <w:b/>
                <w:bCs/>
                <w:szCs w:val="21"/>
              </w:rPr>
            </w:pPr>
            <w:r>
              <w:rPr>
                <w:b/>
                <w:bCs/>
                <w:szCs w:val="21"/>
              </w:rPr>
              <w:t>产生环节</w:t>
            </w:r>
          </w:p>
        </w:tc>
        <w:tc>
          <w:tcPr>
            <w:tcW w:w="1276" w:type="dxa"/>
            <w:tcMar>
              <w:top w:w="0" w:type="dxa"/>
              <w:left w:w="28" w:type="dxa"/>
              <w:bottom w:w="0" w:type="dxa"/>
              <w:right w:w="28" w:type="dxa"/>
            </w:tcMar>
            <w:vAlign w:val="center"/>
          </w:tcPr>
          <w:p>
            <w:pPr>
              <w:jc w:val="center"/>
              <w:rPr>
                <w:b/>
                <w:bCs/>
                <w:szCs w:val="21"/>
              </w:rPr>
            </w:pPr>
            <w:r>
              <w:rPr>
                <w:b/>
                <w:bCs/>
                <w:szCs w:val="21"/>
              </w:rPr>
              <w:t>名称</w:t>
            </w:r>
          </w:p>
        </w:tc>
        <w:tc>
          <w:tcPr>
            <w:tcW w:w="1274" w:type="dxa"/>
            <w:tcMar>
              <w:top w:w="0" w:type="dxa"/>
              <w:left w:w="28" w:type="dxa"/>
              <w:bottom w:w="0" w:type="dxa"/>
              <w:right w:w="28" w:type="dxa"/>
            </w:tcMar>
            <w:vAlign w:val="center"/>
          </w:tcPr>
          <w:p>
            <w:pPr>
              <w:jc w:val="center"/>
              <w:rPr>
                <w:b/>
                <w:bCs/>
                <w:szCs w:val="21"/>
              </w:rPr>
            </w:pPr>
            <w:r>
              <w:rPr>
                <w:b/>
                <w:bCs/>
                <w:szCs w:val="21"/>
              </w:rPr>
              <w:t>固废性质</w:t>
            </w:r>
          </w:p>
        </w:tc>
        <w:tc>
          <w:tcPr>
            <w:tcW w:w="993"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产生量（t/a）</w:t>
            </w:r>
          </w:p>
        </w:tc>
        <w:tc>
          <w:tcPr>
            <w:tcW w:w="2614"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处置措施</w:t>
            </w:r>
          </w:p>
        </w:tc>
        <w:tc>
          <w:tcPr>
            <w:tcW w:w="696" w:type="dxa"/>
            <w:tcBorders>
              <w:bottom w:val="single" w:color="auto" w:sz="4" w:space="0"/>
            </w:tcBorders>
            <w:tcMar>
              <w:top w:w="0" w:type="dxa"/>
              <w:left w:w="28" w:type="dxa"/>
              <w:bottom w:w="0" w:type="dxa"/>
              <w:right w:w="28" w:type="dxa"/>
            </w:tcMar>
            <w:vAlign w:val="center"/>
          </w:tcPr>
          <w:p>
            <w:pPr>
              <w:jc w:val="center"/>
              <w:rPr>
                <w:b/>
                <w:bCs/>
                <w:szCs w:val="21"/>
              </w:rPr>
            </w:pPr>
            <w:r>
              <w:rPr>
                <w:b/>
                <w:bCs/>
                <w:szCs w:val="21"/>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527" w:type="dxa"/>
            <w:tcMar>
              <w:top w:w="0" w:type="dxa"/>
              <w:left w:w="28" w:type="dxa"/>
              <w:bottom w:w="0" w:type="dxa"/>
              <w:right w:w="28" w:type="dxa"/>
            </w:tcMar>
            <w:vAlign w:val="center"/>
          </w:tcPr>
          <w:p>
            <w:pPr>
              <w:jc w:val="center"/>
              <w:rPr>
                <w:bCs/>
                <w:szCs w:val="21"/>
              </w:rPr>
            </w:pPr>
            <w:r>
              <w:rPr>
                <w:bCs/>
                <w:szCs w:val="21"/>
              </w:rPr>
              <w:t>1</w:t>
            </w:r>
          </w:p>
        </w:tc>
        <w:tc>
          <w:tcPr>
            <w:tcW w:w="1566" w:type="dxa"/>
            <w:tcMar>
              <w:top w:w="0" w:type="dxa"/>
              <w:left w:w="28" w:type="dxa"/>
              <w:bottom w:w="0" w:type="dxa"/>
              <w:right w:w="28" w:type="dxa"/>
            </w:tcMar>
            <w:vAlign w:val="center"/>
          </w:tcPr>
          <w:p>
            <w:pPr>
              <w:jc w:val="center"/>
              <w:rPr>
                <w:bCs/>
                <w:szCs w:val="21"/>
              </w:rPr>
            </w:pPr>
            <w:r>
              <w:rPr>
                <w:bCs/>
                <w:szCs w:val="21"/>
              </w:rPr>
              <w:t>猪舍</w:t>
            </w:r>
          </w:p>
        </w:tc>
        <w:tc>
          <w:tcPr>
            <w:tcW w:w="1276" w:type="dxa"/>
            <w:tcMar>
              <w:top w:w="0" w:type="dxa"/>
              <w:left w:w="28" w:type="dxa"/>
              <w:bottom w:w="0" w:type="dxa"/>
              <w:right w:w="28" w:type="dxa"/>
            </w:tcMar>
            <w:vAlign w:val="center"/>
          </w:tcPr>
          <w:p>
            <w:pPr>
              <w:jc w:val="center"/>
              <w:rPr>
                <w:bCs/>
                <w:szCs w:val="21"/>
              </w:rPr>
            </w:pPr>
            <w:r>
              <w:rPr>
                <w:szCs w:val="21"/>
              </w:rPr>
              <w:t>猪粪固形物</w:t>
            </w:r>
          </w:p>
        </w:tc>
        <w:tc>
          <w:tcPr>
            <w:tcW w:w="1274" w:type="dxa"/>
            <w:tcMar>
              <w:top w:w="0" w:type="dxa"/>
              <w:left w:w="28" w:type="dxa"/>
              <w:bottom w:w="0" w:type="dxa"/>
              <w:right w:w="28" w:type="dxa"/>
            </w:tcMar>
            <w:vAlign w:val="center"/>
          </w:tcPr>
          <w:p>
            <w:pPr>
              <w:jc w:val="center"/>
              <w:rPr>
                <w:bCs/>
                <w:szCs w:val="21"/>
              </w:rPr>
            </w:pPr>
            <w:r>
              <w:rPr>
                <w:szCs w:val="21"/>
              </w:rPr>
              <w:t>一般固废</w:t>
            </w:r>
          </w:p>
        </w:tc>
        <w:tc>
          <w:tcPr>
            <w:tcW w:w="993" w:type="dxa"/>
            <w:tcMar>
              <w:top w:w="0" w:type="dxa"/>
              <w:left w:w="28" w:type="dxa"/>
              <w:bottom w:w="0" w:type="dxa"/>
              <w:right w:w="28" w:type="dxa"/>
            </w:tcMar>
            <w:vAlign w:val="center"/>
          </w:tcPr>
          <w:p>
            <w:pPr>
              <w:jc w:val="center"/>
              <w:rPr>
                <w:bCs/>
                <w:sz w:val="18"/>
                <w:szCs w:val="18"/>
              </w:rPr>
            </w:pPr>
            <w:r>
              <w:rPr>
                <w:color w:val="000000"/>
                <w:szCs w:val="21"/>
              </w:rPr>
              <w:t>4163.09</w:t>
            </w:r>
          </w:p>
        </w:tc>
        <w:tc>
          <w:tcPr>
            <w:tcW w:w="2614" w:type="dxa"/>
            <w:tcMar>
              <w:top w:w="0" w:type="dxa"/>
              <w:left w:w="28" w:type="dxa"/>
              <w:bottom w:w="0" w:type="dxa"/>
              <w:right w:w="28" w:type="dxa"/>
            </w:tcMar>
            <w:vAlign w:val="center"/>
          </w:tcPr>
          <w:p>
            <w:pPr>
              <w:jc w:val="center"/>
              <w:rPr>
                <w:bCs/>
                <w:szCs w:val="21"/>
              </w:rPr>
            </w:pPr>
            <w:r>
              <w:rPr>
                <w:bCs/>
                <w:szCs w:val="21"/>
              </w:rPr>
              <w:t>生产有机肥基肥</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527" w:type="dxa"/>
            <w:tcMar>
              <w:top w:w="0" w:type="dxa"/>
              <w:left w:w="28" w:type="dxa"/>
              <w:bottom w:w="0" w:type="dxa"/>
              <w:right w:w="28" w:type="dxa"/>
            </w:tcMar>
            <w:vAlign w:val="center"/>
          </w:tcPr>
          <w:p>
            <w:pPr>
              <w:jc w:val="center"/>
              <w:rPr>
                <w:bCs/>
                <w:szCs w:val="21"/>
              </w:rPr>
            </w:pPr>
            <w:r>
              <w:rPr>
                <w:bCs/>
                <w:szCs w:val="21"/>
              </w:rPr>
              <w:t>2</w:t>
            </w:r>
          </w:p>
        </w:tc>
        <w:tc>
          <w:tcPr>
            <w:tcW w:w="1566" w:type="dxa"/>
            <w:tcMar>
              <w:top w:w="0" w:type="dxa"/>
              <w:left w:w="28" w:type="dxa"/>
              <w:bottom w:w="0" w:type="dxa"/>
              <w:right w:w="28" w:type="dxa"/>
            </w:tcMar>
            <w:vAlign w:val="center"/>
          </w:tcPr>
          <w:p>
            <w:pPr>
              <w:jc w:val="center"/>
              <w:rPr>
                <w:szCs w:val="21"/>
              </w:rPr>
            </w:pPr>
            <w:r>
              <w:rPr>
                <w:szCs w:val="21"/>
              </w:rPr>
              <w:t>盖泻湖沼气池</w:t>
            </w:r>
          </w:p>
        </w:tc>
        <w:tc>
          <w:tcPr>
            <w:tcW w:w="1276" w:type="dxa"/>
            <w:tcMar>
              <w:top w:w="0" w:type="dxa"/>
              <w:left w:w="28" w:type="dxa"/>
              <w:bottom w:w="0" w:type="dxa"/>
              <w:right w:w="28" w:type="dxa"/>
            </w:tcMar>
            <w:vAlign w:val="center"/>
          </w:tcPr>
          <w:p>
            <w:pPr>
              <w:jc w:val="center"/>
              <w:rPr>
                <w:szCs w:val="21"/>
              </w:rPr>
            </w:pPr>
            <w:r>
              <w:rPr>
                <w:szCs w:val="21"/>
              </w:rPr>
              <w:t>沼渣</w:t>
            </w:r>
          </w:p>
        </w:tc>
        <w:tc>
          <w:tcPr>
            <w:tcW w:w="1274" w:type="dxa"/>
            <w:tcMar>
              <w:top w:w="0" w:type="dxa"/>
              <w:left w:w="28" w:type="dxa"/>
              <w:bottom w:w="0" w:type="dxa"/>
              <w:right w:w="28" w:type="dxa"/>
            </w:tcMar>
            <w:vAlign w:val="center"/>
          </w:tcPr>
          <w:p>
            <w:pPr>
              <w:jc w:val="center"/>
              <w:rPr>
                <w:bCs/>
                <w:szCs w:val="21"/>
              </w:rPr>
            </w:pPr>
            <w:r>
              <w:rPr>
                <w:szCs w:val="21"/>
              </w:rPr>
              <w:t>一般固废</w:t>
            </w:r>
          </w:p>
        </w:tc>
        <w:tc>
          <w:tcPr>
            <w:tcW w:w="993" w:type="dxa"/>
            <w:tcMar>
              <w:top w:w="0" w:type="dxa"/>
              <w:left w:w="28" w:type="dxa"/>
              <w:bottom w:w="0" w:type="dxa"/>
              <w:right w:w="28" w:type="dxa"/>
            </w:tcMar>
            <w:vAlign w:val="center"/>
          </w:tcPr>
          <w:p>
            <w:pPr>
              <w:jc w:val="center"/>
              <w:rPr>
                <w:szCs w:val="21"/>
              </w:rPr>
            </w:pPr>
            <w:r>
              <w:rPr>
                <w:szCs w:val="21"/>
              </w:rPr>
              <w:t>1095</w:t>
            </w:r>
          </w:p>
        </w:tc>
        <w:tc>
          <w:tcPr>
            <w:tcW w:w="2614" w:type="dxa"/>
            <w:tcMar>
              <w:top w:w="0" w:type="dxa"/>
              <w:left w:w="28" w:type="dxa"/>
              <w:bottom w:w="0" w:type="dxa"/>
              <w:right w:w="28" w:type="dxa"/>
            </w:tcMar>
            <w:vAlign w:val="center"/>
          </w:tcPr>
          <w:p>
            <w:pPr>
              <w:jc w:val="center"/>
              <w:rPr>
                <w:bCs/>
                <w:szCs w:val="21"/>
              </w:rPr>
            </w:pPr>
            <w:r>
              <w:rPr>
                <w:bCs/>
                <w:szCs w:val="21"/>
              </w:rPr>
              <w:t>干化后作为基肥外售</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3</w:t>
            </w:r>
          </w:p>
        </w:tc>
        <w:tc>
          <w:tcPr>
            <w:tcW w:w="1566" w:type="dxa"/>
            <w:tcMar>
              <w:top w:w="0" w:type="dxa"/>
              <w:left w:w="28" w:type="dxa"/>
              <w:bottom w:w="0" w:type="dxa"/>
              <w:right w:w="28" w:type="dxa"/>
            </w:tcMar>
            <w:vAlign w:val="center"/>
          </w:tcPr>
          <w:p>
            <w:pPr>
              <w:jc w:val="center"/>
              <w:rPr>
                <w:szCs w:val="21"/>
              </w:rPr>
            </w:pPr>
            <w:r>
              <w:rPr>
                <w:szCs w:val="21"/>
              </w:rPr>
              <w:t>养殖过程</w:t>
            </w:r>
          </w:p>
        </w:tc>
        <w:tc>
          <w:tcPr>
            <w:tcW w:w="1276" w:type="dxa"/>
            <w:tcMar>
              <w:top w:w="0" w:type="dxa"/>
              <w:left w:w="28" w:type="dxa"/>
              <w:bottom w:w="0" w:type="dxa"/>
              <w:right w:w="28" w:type="dxa"/>
            </w:tcMar>
            <w:vAlign w:val="center"/>
          </w:tcPr>
          <w:p>
            <w:pPr>
              <w:jc w:val="center"/>
              <w:rPr>
                <w:szCs w:val="21"/>
              </w:rPr>
            </w:pPr>
            <w:r>
              <w:rPr>
                <w:szCs w:val="21"/>
              </w:rPr>
              <w:t>病死猪</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bCs/>
                <w:szCs w:val="21"/>
              </w:rPr>
            </w:pPr>
            <w:r>
              <w:rPr>
                <w:bCs/>
                <w:szCs w:val="21"/>
              </w:rPr>
              <w:t>16.67</w:t>
            </w:r>
          </w:p>
        </w:tc>
        <w:tc>
          <w:tcPr>
            <w:tcW w:w="2614" w:type="dxa"/>
            <w:tcMar>
              <w:top w:w="0" w:type="dxa"/>
              <w:left w:w="28" w:type="dxa"/>
              <w:bottom w:w="0" w:type="dxa"/>
              <w:right w:w="28" w:type="dxa"/>
            </w:tcMar>
            <w:vAlign w:val="center"/>
          </w:tcPr>
          <w:p>
            <w:pPr>
              <w:jc w:val="center"/>
              <w:rPr>
                <w:bCs/>
                <w:szCs w:val="21"/>
              </w:rPr>
            </w:pPr>
            <w:r>
              <w:rPr>
                <w:szCs w:val="21"/>
              </w:rPr>
              <w:t>场区内自建无害化处理中心</w:t>
            </w:r>
            <w:r>
              <w:rPr>
                <w:kern w:val="0"/>
                <w:szCs w:val="21"/>
              </w:rPr>
              <w:t>处置</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4</w:t>
            </w:r>
          </w:p>
        </w:tc>
        <w:tc>
          <w:tcPr>
            <w:tcW w:w="1566" w:type="dxa"/>
            <w:tcMar>
              <w:top w:w="0" w:type="dxa"/>
              <w:left w:w="28" w:type="dxa"/>
              <w:bottom w:w="0" w:type="dxa"/>
              <w:right w:w="28" w:type="dxa"/>
            </w:tcMar>
            <w:vAlign w:val="center"/>
          </w:tcPr>
          <w:p>
            <w:pPr>
              <w:jc w:val="center"/>
              <w:rPr>
                <w:szCs w:val="21"/>
              </w:rPr>
            </w:pPr>
            <w:r>
              <w:rPr>
                <w:szCs w:val="21"/>
              </w:rPr>
              <w:t>防疫</w:t>
            </w:r>
          </w:p>
        </w:tc>
        <w:tc>
          <w:tcPr>
            <w:tcW w:w="1276" w:type="dxa"/>
            <w:tcMar>
              <w:top w:w="0" w:type="dxa"/>
              <w:left w:w="28" w:type="dxa"/>
              <w:bottom w:w="0" w:type="dxa"/>
              <w:right w:w="28" w:type="dxa"/>
            </w:tcMar>
            <w:vAlign w:val="center"/>
          </w:tcPr>
          <w:p>
            <w:pPr>
              <w:jc w:val="center"/>
              <w:rPr>
                <w:szCs w:val="21"/>
              </w:rPr>
            </w:pPr>
            <w:r>
              <w:rPr>
                <w:szCs w:val="21"/>
              </w:rPr>
              <w:t>医疗固废</w:t>
            </w:r>
          </w:p>
        </w:tc>
        <w:tc>
          <w:tcPr>
            <w:tcW w:w="1274" w:type="dxa"/>
            <w:tcMar>
              <w:top w:w="0" w:type="dxa"/>
              <w:left w:w="28" w:type="dxa"/>
              <w:bottom w:w="0" w:type="dxa"/>
              <w:right w:w="28" w:type="dxa"/>
            </w:tcMar>
            <w:vAlign w:val="center"/>
          </w:tcPr>
          <w:p>
            <w:pPr>
              <w:jc w:val="center"/>
              <w:rPr>
                <w:szCs w:val="21"/>
              </w:rPr>
            </w:pPr>
            <w:r>
              <w:rPr>
                <w:szCs w:val="21"/>
              </w:rPr>
              <w:t>危险废物</w:t>
            </w:r>
          </w:p>
          <w:p>
            <w:pPr>
              <w:jc w:val="center"/>
              <w:rPr>
                <w:szCs w:val="21"/>
              </w:rPr>
            </w:pPr>
            <w:r>
              <w:rPr>
                <w:szCs w:val="21"/>
              </w:rPr>
              <w:t>（HW01）</w:t>
            </w:r>
          </w:p>
        </w:tc>
        <w:tc>
          <w:tcPr>
            <w:tcW w:w="993" w:type="dxa"/>
            <w:tcMar>
              <w:top w:w="0" w:type="dxa"/>
              <w:left w:w="28" w:type="dxa"/>
              <w:bottom w:w="0" w:type="dxa"/>
              <w:right w:w="28" w:type="dxa"/>
            </w:tcMar>
            <w:vAlign w:val="center"/>
          </w:tcPr>
          <w:p>
            <w:pPr>
              <w:jc w:val="center"/>
              <w:rPr>
                <w:szCs w:val="21"/>
              </w:rPr>
            </w:pPr>
            <w:r>
              <w:rPr>
                <w:szCs w:val="21"/>
              </w:rPr>
              <w:t>0.625</w:t>
            </w:r>
          </w:p>
        </w:tc>
        <w:tc>
          <w:tcPr>
            <w:tcW w:w="2614" w:type="dxa"/>
            <w:tcMar>
              <w:top w:w="0" w:type="dxa"/>
              <w:left w:w="28" w:type="dxa"/>
              <w:bottom w:w="0" w:type="dxa"/>
              <w:right w:w="28" w:type="dxa"/>
            </w:tcMar>
            <w:vAlign w:val="center"/>
          </w:tcPr>
          <w:p>
            <w:pPr>
              <w:jc w:val="center"/>
              <w:rPr>
                <w:szCs w:val="21"/>
              </w:rPr>
            </w:pPr>
            <w:r>
              <w:rPr>
                <w:kern w:val="0"/>
                <w:szCs w:val="21"/>
              </w:rPr>
              <w:t>交由有资质的单位进行处理</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5</w:t>
            </w:r>
          </w:p>
        </w:tc>
        <w:tc>
          <w:tcPr>
            <w:tcW w:w="1566" w:type="dxa"/>
            <w:tcMar>
              <w:top w:w="0" w:type="dxa"/>
              <w:left w:w="28" w:type="dxa"/>
              <w:bottom w:w="0" w:type="dxa"/>
              <w:right w:w="28" w:type="dxa"/>
            </w:tcMar>
            <w:vAlign w:val="center"/>
          </w:tcPr>
          <w:p>
            <w:pPr>
              <w:jc w:val="center"/>
              <w:rPr>
                <w:szCs w:val="21"/>
              </w:rPr>
            </w:pPr>
            <w:r>
              <w:rPr>
                <w:szCs w:val="21"/>
              </w:rPr>
              <w:t>职工生活</w:t>
            </w:r>
          </w:p>
        </w:tc>
        <w:tc>
          <w:tcPr>
            <w:tcW w:w="1276" w:type="dxa"/>
            <w:tcMar>
              <w:top w:w="0" w:type="dxa"/>
              <w:left w:w="28" w:type="dxa"/>
              <w:bottom w:w="0" w:type="dxa"/>
              <w:right w:w="28" w:type="dxa"/>
            </w:tcMar>
            <w:vAlign w:val="center"/>
          </w:tcPr>
          <w:p>
            <w:pPr>
              <w:jc w:val="center"/>
              <w:rPr>
                <w:szCs w:val="21"/>
              </w:rPr>
            </w:pPr>
            <w:r>
              <w:rPr>
                <w:szCs w:val="21"/>
              </w:rPr>
              <w:t>生活垃圾</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szCs w:val="21"/>
              </w:rPr>
            </w:pPr>
            <w:r>
              <w:rPr>
                <w:rFonts w:hint="eastAsia"/>
                <w:szCs w:val="21"/>
              </w:rPr>
              <w:t>22.36</w:t>
            </w:r>
          </w:p>
        </w:tc>
        <w:tc>
          <w:tcPr>
            <w:tcW w:w="2614" w:type="dxa"/>
            <w:tcMar>
              <w:top w:w="0" w:type="dxa"/>
              <w:left w:w="28" w:type="dxa"/>
              <w:bottom w:w="0" w:type="dxa"/>
              <w:right w:w="28" w:type="dxa"/>
            </w:tcMar>
            <w:vAlign w:val="center"/>
          </w:tcPr>
          <w:p>
            <w:pPr>
              <w:jc w:val="center"/>
              <w:rPr>
                <w:szCs w:val="21"/>
              </w:rPr>
            </w:pPr>
            <w:r>
              <w:rPr>
                <w:szCs w:val="21"/>
              </w:rPr>
              <w:t>送交环卫部门处理</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7" w:type="dxa"/>
            <w:tcMar>
              <w:top w:w="0" w:type="dxa"/>
              <w:left w:w="28" w:type="dxa"/>
              <w:bottom w:w="0" w:type="dxa"/>
              <w:right w:w="28" w:type="dxa"/>
            </w:tcMar>
            <w:vAlign w:val="center"/>
          </w:tcPr>
          <w:p>
            <w:pPr>
              <w:jc w:val="center"/>
              <w:rPr>
                <w:bCs/>
                <w:szCs w:val="21"/>
              </w:rPr>
            </w:pPr>
            <w:r>
              <w:rPr>
                <w:bCs/>
                <w:szCs w:val="21"/>
              </w:rPr>
              <w:t>6</w:t>
            </w:r>
          </w:p>
        </w:tc>
        <w:tc>
          <w:tcPr>
            <w:tcW w:w="1566" w:type="dxa"/>
            <w:tcMar>
              <w:top w:w="0" w:type="dxa"/>
              <w:left w:w="28" w:type="dxa"/>
              <w:bottom w:w="0" w:type="dxa"/>
              <w:right w:w="28" w:type="dxa"/>
            </w:tcMar>
            <w:vAlign w:val="center"/>
          </w:tcPr>
          <w:p>
            <w:pPr>
              <w:jc w:val="center"/>
              <w:rPr>
                <w:szCs w:val="21"/>
              </w:rPr>
            </w:pPr>
            <w:r>
              <w:rPr>
                <w:szCs w:val="21"/>
              </w:rPr>
              <w:t>沼气脱硫装置</w:t>
            </w:r>
          </w:p>
        </w:tc>
        <w:tc>
          <w:tcPr>
            <w:tcW w:w="1276" w:type="dxa"/>
            <w:tcMar>
              <w:top w:w="0" w:type="dxa"/>
              <w:left w:w="28" w:type="dxa"/>
              <w:bottom w:w="0" w:type="dxa"/>
              <w:right w:w="28" w:type="dxa"/>
            </w:tcMar>
            <w:vAlign w:val="center"/>
          </w:tcPr>
          <w:p>
            <w:pPr>
              <w:jc w:val="center"/>
              <w:rPr>
                <w:szCs w:val="21"/>
              </w:rPr>
            </w:pPr>
            <w:r>
              <w:rPr>
                <w:szCs w:val="21"/>
              </w:rPr>
              <w:t>废脱硫剂</w:t>
            </w:r>
          </w:p>
        </w:tc>
        <w:tc>
          <w:tcPr>
            <w:tcW w:w="1274" w:type="dxa"/>
            <w:tcMar>
              <w:top w:w="0" w:type="dxa"/>
              <w:left w:w="28" w:type="dxa"/>
              <w:bottom w:w="0" w:type="dxa"/>
              <w:right w:w="28" w:type="dxa"/>
            </w:tcMar>
            <w:vAlign w:val="center"/>
          </w:tcPr>
          <w:p>
            <w:pPr>
              <w:jc w:val="center"/>
              <w:rPr>
                <w:szCs w:val="21"/>
              </w:rPr>
            </w:pPr>
            <w:r>
              <w:rPr>
                <w:szCs w:val="21"/>
              </w:rPr>
              <w:t>一般固废</w:t>
            </w:r>
          </w:p>
        </w:tc>
        <w:tc>
          <w:tcPr>
            <w:tcW w:w="993" w:type="dxa"/>
            <w:tcMar>
              <w:top w:w="0" w:type="dxa"/>
              <w:left w:w="28" w:type="dxa"/>
              <w:bottom w:w="0" w:type="dxa"/>
              <w:right w:w="28" w:type="dxa"/>
            </w:tcMar>
            <w:vAlign w:val="center"/>
          </w:tcPr>
          <w:p>
            <w:pPr>
              <w:jc w:val="center"/>
              <w:rPr>
                <w:szCs w:val="21"/>
              </w:rPr>
            </w:pPr>
            <w:r>
              <w:rPr>
                <w:szCs w:val="21"/>
              </w:rPr>
              <w:t>0.5</w:t>
            </w:r>
          </w:p>
        </w:tc>
        <w:tc>
          <w:tcPr>
            <w:tcW w:w="2614" w:type="dxa"/>
            <w:tcMar>
              <w:top w:w="0" w:type="dxa"/>
              <w:left w:w="28" w:type="dxa"/>
              <w:bottom w:w="0" w:type="dxa"/>
              <w:right w:w="28" w:type="dxa"/>
            </w:tcMar>
            <w:vAlign w:val="center"/>
          </w:tcPr>
          <w:p>
            <w:pPr>
              <w:jc w:val="center"/>
              <w:rPr>
                <w:b/>
                <w:szCs w:val="21"/>
                <w:u w:val="single"/>
              </w:rPr>
            </w:pPr>
            <w:r>
              <w:rPr>
                <w:szCs w:val="21"/>
              </w:rPr>
              <w:t>由生产厂家统一回收</w:t>
            </w:r>
          </w:p>
        </w:tc>
        <w:tc>
          <w:tcPr>
            <w:tcW w:w="696" w:type="dxa"/>
            <w:tcMar>
              <w:top w:w="0" w:type="dxa"/>
              <w:left w:w="28" w:type="dxa"/>
              <w:bottom w:w="0" w:type="dxa"/>
              <w:right w:w="28" w:type="dxa"/>
            </w:tcMar>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43" w:type="dxa"/>
            <w:gridSpan w:val="4"/>
            <w:tcMar>
              <w:top w:w="0" w:type="dxa"/>
              <w:left w:w="28" w:type="dxa"/>
              <w:bottom w:w="0" w:type="dxa"/>
              <w:right w:w="28" w:type="dxa"/>
            </w:tcMar>
            <w:vAlign w:val="center"/>
          </w:tcPr>
          <w:p>
            <w:pPr>
              <w:jc w:val="center"/>
              <w:rPr>
                <w:szCs w:val="21"/>
              </w:rPr>
            </w:pPr>
            <w:r>
              <w:rPr>
                <w:szCs w:val="21"/>
              </w:rPr>
              <w:t>合计</w:t>
            </w:r>
          </w:p>
        </w:tc>
        <w:tc>
          <w:tcPr>
            <w:tcW w:w="993" w:type="dxa"/>
            <w:tcMar>
              <w:top w:w="0" w:type="dxa"/>
              <w:left w:w="28" w:type="dxa"/>
              <w:bottom w:w="0" w:type="dxa"/>
              <w:right w:w="28" w:type="dxa"/>
            </w:tcMar>
            <w:vAlign w:val="center"/>
          </w:tcPr>
          <w:p>
            <w:pPr>
              <w:jc w:val="center"/>
              <w:rPr>
                <w:sz w:val="18"/>
                <w:szCs w:val="18"/>
              </w:rPr>
            </w:pPr>
            <w:r>
              <w:rPr>
                <w:szCs w:val="21"/>
              </w:rPr>
              <w:t>5298.245</w:t>
            </w:r>
          </w:p>
        </w:tc>
        <w:tc>
          <w:tcPr>
            <w:tcW w:w="2614" w:type="dxa"/>
            <w:tcMar>
              <w:top w:w="0" w:type="dxa"/>
              <w:left w:w="28" w:type="dxa"/>
              <w:bottom w:w="0" w:type="dxa"/>
              <w:right w:w="28" w:type="dxa"/>
            </w:tcMar>
            <w:vAlign w:val="center"/>
          </w:tcPr>
          <w:p>
            <w:pPr>
              <w:jc w:val="center"/>
              <w:rPr>
                <w:szCs w:val="21"/>
              </w:rPr>
            </w:pPr>
            <w:r>
              <w:rPr>
                <w:szCs w:val="21"/>
              </w:rPr>
              <w:t>/</w:t>
            </w:r>
          </w:p>
        </w:tc>
        <w:tc>
          <w:tcPr>
            <w:tcW w:w="696" w:type="dxa"/>
            <w:tcMar>
              <w:top w:w="0" w:type="dxa"/>
              <w:left w:w="28" w:type="dxa"/>
              <w:bottom w:w="0" w:type="dxa"/>
              <w:right w:w="28" w:type="dxa"/>
            </w:tcMar>
            <w:vAlign w:val="center"/>
          </w:tcPr>
          <w:p>
            <w:pPr>
              <w:jc w:val="center"/>
              <w:rPr>
                <w:szCs w:val="21"/>
              </w:rPr>
            </w:pPr>
            <w:r>
              <w:rPr>
                <w:szCs w:val="21"/>
              </w:rPr>
              <w:t>/</w:t>
            </w:r>
          </w:p>
        </w:tc>
      </w:tr>
    </w:tbl>
    <w:p>
      <w:pPr>
        <w:topLinePunct/>
        <w:adjustRightInd w:val="0"/>
        <w:snapToGrid w:val="0"/>
        <w:spacing w:line="520" w:lineRule="exact"/>
        <w:rPr>
          <w:bCs/>
          <w:color w:val="000000"/>
          <w:sz w:val="24"/>
        </w:rPr>
      </w:pPr>
      <w:r>
        <w:rPr>
          <w:bCs/>
          <w:color w:val="000000"/>
          <w:sz w:val="24"/>
        </w:rPr>
        <w:t>5.2.5.1 固体废物暂存措施</w:t>
      </w:r>
    </w:p>
    <w:p>
      <w:pPr>
        <w:topLinePunct/>
        <w:spacing w:line="520" w:lineRule="exact"/>
        <w:ind w:firstLine="480" w:firstLineChars="200"/>
        <w:rPr>
          <w:color w:val="000000"/>
          <w:sz w:val="24"/>
        </w:rPr>
      </w:pPr>
      <w:r>
        <w:rPr>
          <w:color w:val="000000"/>
          <w:sz w:val="24"/>
        </w:rPr>
        <w:t>项目产生的固体废物主要是一般工业固体废物和危险固体废物。固体废物的暂存措施如下：</w:t>
      </w:r>
    </w:p>
    <w:p>
      <w:pPr>
        <w:topLinePunct/>
        <w:spacing w:line="520" w:lineRule="exact"/>
        <w:ind w:firstLine="480" w:firstLineChars="200"/>
        <w:rPr>
          <w:color w:val="000000"/>
          <w:sz w:val="24"/>
        </w:rPr>
      </w:pPr>
      <w:r>
        <w:rPr>
          <w:color w:val="000000"/>
          <w:sz w:val="24"/>
        </w:rPr>
        <w:t>（1）一般固体废物</w:t>
      </w:r>
    </w:p>
    <w:p>
      <w:pPr>
        <w:topLinePunct/>
        <w:snapToGrid w:val="0"/>
        <w:spacing w:line="520" w:lineRule="exact"/>
        <w:ind w:firstLine="480" w:firstLineChars="200"/>
        <w:rPr>
          <w:color w:val="000000"/>
          <w:sz w:val="24"/>
        </w:rPr>
      </w:pPr>
      <w:r>
        <w:rPr>
          <w:color w:val="000000"/>
          <w:sz w:val="24"/>
        </w:rPr>
        <w:t>根据《中华人民共和国固体废物污染环境防治法》要求，评价建议对一般固体废物设置规范的临时堆存场地，用以暂存废脱硫剂和生活垃圾，按照《一般工业固体废物贮存、处置场污染控制标准》（GB18599-2001）中相应规定，必须采取防扬撒、防流失、防渗漏等三防措施，进行地面硬化，设顶棚和围挡，避免雨水进入，地基加高10cm，达到三防要求。</w:t>
      </w:r>
    </w:p>
    <w:p>
      <w:pPr>
        <w:tabs>
          <w:tab w:val="left" w:pos="3090"/>
          <w:tab w:val="right" w:leader="dot" w:pos="8647"/>
        </w:tabs>
        <w:spacing w:line="500" w:lineRule="exact"/>
        <w:ind w:firstLine="480" w:firstLineChars="200"/>
        <w:rPr>
          <w:color w:val="000000"/>
          <w:sz w:val="24"/>
        </w:rPr>
      </w:pPr>
      <w:r>
        <w:rPr>
          <w:color w:val="000000"/>
          <w:sz w:val="24"/>
        </w:rPr>
        <w:t>病死猪尸的处理与处置</w:t>
      </w:r>
    </w:p>
    <w:p>
      <w:pPr>
        <w:adjustRightInd w:val="0"/>
        <w:snapToGrid w:val="0"/>
        <w:spacing w:line="520" w:lineRule="exact"/>
        <w:ind w:firstLine="480" w:firstLineChars="200"/>
        <w:rPr>
          <w:color w:val="000000"/>
          <w:sz w:val="24"/>
        </w:rPr>
      </w:pPr>
      <w:r>
        <w:rPr>
          <w:color w:val="000000"/>
          <w:sz w:val="24"/>
        </w:rPr>
        <w:t>根据《畜禽养殖业污染防治技术规范》（HJ/T81－2001）第9条规定：</w:t>
      </w:r>
    </w:p>
    <w:p>
      <w:pPr>
        <w:adjustRightInd w:val="0"/>
        <w:snapToGrid w:val="0"/>
        <w:spacing w:line="520" w:lineRule="exact"/>
        <w:ind w:firstLine="480" w:firstLineChars="200"/>
        <w:rPr>
          <w:color w:val="000000"/>
          <w:sz w:val="24"/>
        </w:rPr>
      </w:pPr>
      <w:r>
        <w:rPr>
          <w:rFonts w:hint="eastAsia" w:ascii="宋体" w:hAnsi="宋体" w:cs="宋体"/>
          <w:color w:val="000000"/>
          <w:sz w:val="24"/>
        </w:rPr>
        <w:t>◆</w:t>
      </w:r>
      <w:r>
        <w:rPr>
          <w:color w:val="000000"/>
          <w:sz w:val="24"/>
        </w:rPr>
        <w:t>病死畜禽尸体要及时处理，严禁随意丢弃，严禁出售或作为饲料再利用。</w:t>
      </w:r>
    </w:p>
    <w:p>
      <w:pPr>
        <w:adjustRightInd w:val="0"/>
        <w:snapToGrid w:val="0"/>
        <w:spacing w:line="520" w:lineRule="exact"/>
        <w:ind w:firstLine="480" w:firstLineChars="200"/>
        <w:rPr>
          <w:color w:val="000000"/>
          <w:sz w:val="24"/>
        </w:rPr>
      </w:pPr>
      <w:r>
        <w:rPr>
          <w:rFonts w:hint="eastAsia" w:ascii="宋体" w:hAnsi="宋体" w:cs="宋体"/>
          <w:color w:val="000000"/>
          <w:sz w:val="24"/>
        </w:rPr>
        <w:t>◆</w:t>
      </w:r>
      <w:r>
        <w:rPr>
          <w:color w:val="000000"/>
          <w:sz w:val="24"/>
        </w:rPr>
        <w:t>病死禽畜尸体处理应采用焚烧炉焚烧的方法，在养殖场比较集中的地区，应集中设置焚烧设施；同时焚烧产生的烟气应采取有效的净化措施，防止烟尘、一氧化碳、恶臭等对周围大气环境的污染。</w:t>
      </w:r>
    </w:p>
    <w:p>
      <w:pPr>
        <w:spacing w:line="520" w:lineRule="exact"/>
        <w:ind w:firstLine="480" w:firstLineChars="200"/>
        <w:rPr>
          <w:color w:val="000000"/>
          <w:sz w:val="24"/>
        </w:rPr>
      </w:pPr>
      <w:r>
        <w:rPr>
          <w:rFonts w:hint="eastAsia" w:ascii="宋体" w:hAnsi="宋体" w:cs="宋体"/>
          <w:color w:val="000000"/>
          <w:sz w:val="24"/>
        </w:rPr>
        <w:t>◆</w:t>
      </w:r>
      <w:r>
        <w:rPr>
          <w:color w:val="000000"/>
          <w:sz w:val="24"/>
        </w:rPr>
        <w:t>不具备焚烧条件的养殖场应设置两个以上安全填埋井，填埋井应为混凝提结构，深度大于2m，直径1m，井口加盖密封。进行填埋时，在每次投入畜禽尸体后，应覆盖一层厚度大于10cm的熟石灰，井填满后，须用粘土填埋压实并封口。</w:t>
      </w:r>
    </w:p>
    <w:p>
      <w:pPr>
        <w:spacing w:line="500" w:lineRule="exact"/>
        <w:ind w:firstLine="480" w:firstLineChars="200"/>
        <w:rPr>
          <w:color w:val="000000"/>
          <w:sz w:val="24"/>
        </w:rPr>
      </w:pPr>
      <w:r>
        <w:rPr>
          <w:bCs/>
          <w:color w:val="000000"/>
          <w:sz w:val="24"/>
        </w:rPr>
        <w:t>本项目病死猪产生量为</w:t>
      </w:r>
      <w:r>
        <w:rPr>
          <w:rFonts w:hint="eastAsia"/>
          <w:bCs/>
          <w:color w:val="000000"/>
          <w:sz w:val="24"/>
        </w:rPr>
        <w:t>16.67</w:t>
      </w:r>
      <w:r>
        <w:rPr>
          <w:bCs/>
          <w:color w:val="000000"/>
          <w:sz w:val="24"/>
        </w:rPr>
        <w:t>t/a，每天运送</w:t>
      </w:r>
      <w:r>
        <w:rPr>
          <w:color w:val="000000"/>
          <w:sz w:val="24"/>
        </w:rPr>
        <w:t>至场区内自建无害化处理中心处置。</w:t>
      </w:r>
    </w:p>
    <w:p>
      <w:pPr>
        <w:tabs>
          <w:tab w:val="left" w:pos="3090"/>
        </w:tabs>
        <w:topLinePunct/>
        <w:spacing w:line="500" w:lineRule="exact"/>
        <w:ind w:firstLine="480" w:firstLineChars="200"/>
        <w:rPr>
          <w:color w:val="000000"/>
          <w:sz w:val="24"/>
        </w:rPr>
      </w:pPr>
      <w:r>
        <w:rPr>
          <w:color w:val="000000"/>
          <w:sz w:val="24"/>
        </w:rPr>
        <w:t>（2）危险固体废物</w:t>
      </w:r>
    </w:p>
    <w:p>
      <w:pPr>
        <w:tabs>
          <w:tab w:val="left" w:pos="3090"/>
        </w:tabs>
        <w:topLinePunct/>
        <w:spacing w:line="500" w:lineRule="exact"/>
        <w:ind w:firstLine="480" w:firstLineChars="200"/>
        <w:rPr>
          <w:color w:val="000000"/>
          <w:sz w:val="24"/>
        </w:rPr>
      </w:pPr>
      <w:r>
        <w:rPr>
          <w:color w:val="000000"/>
          <w:sz w:val="24"/>
        </w:rPr>
        <w:t>危险固废主要为防疫医疗废物。</w:t>
      </w:r>
    </w:p>
    <w:p>
      <w:pPr>
        <w:adjustRightInd w:val="0"/>
        <w:snapToGrid w:val="0"/>
        <w:spacing w:line="500" w:lineRule="exact"/>
        <w:ind w:firstLine="480" w:firstLineChars="200"/>
        <w:rPr>
          <w:bCs/>
          <w:color w:val="000000"/>
          <w:sz w:val="24"/>
        </w:rPr>
      </w:pPr>
      <w:r>
        <w:rPr>
          <w:bCs/>
          <w:color w:val="000000"/>
          <w:sz w:val="24"/>
        </w:rPr>
        <w:t>生猪在生长过程接种免疫或发病期接受治疗将产生医疗废物，类比其它企业实际生产情况，每头猪防疫产生医疗量约为0.0</w:t>
      </w:r>
      <w:r>
        <w:rPr>
          <w:rFonts w:hint="eastAsia"/>
          <w:bCs/>
          <w:color w:val="000000"/>
          <w:sz w:val="24"/>
        </w:rPr>
        <w:t>0</w:t>
      </w:r>
      <w:r>
        <w:rPr>
          <w:bCs/>
          <w:color w:val="000000"/>
          <w:sz w:val="24"/>
        </w:rPr>
        <w:t>5kg/a，本项目医疗废物产生量为</w:t>
      </w:r>
      <w:r>
        <w:rPr>
          <w:rFonts w:hint="eastAsia"/>
          <w:bCs/>
          <w:color w:val="000000"/>
          <w:sz w:val="24"/>
        </w:rPr>
        <w:t>0.625</w:t>
      </w:r>
      <w:r>
        <w:rPr>
          <w:bCs/>
          <w:color w:val="000000"/>
          <w:sz w:val="24"/>
        </w:rPr>
        <w:t>t/a，全场医疗废物暂存于危废暂存间内，定期交平舆县中绿环保科技有限公司处置。项目医疗废物需按照《</w:t>
      </w:r>
      <w:r>
        <w:fldChar w:fldCharType="begin"/>
      </w:r>
      <w:r>
        <w:instrText xml:space="preserve"> HYPERLINK "http://baike.haosou.com/doc/4948882-5170156.html" \t "_blank" </w:instrText>
      </w:r>
      <w:r>
        <w:fldChar w:fldCharType="separate"/>
      </w:r>
      <w:r>
        <w:rPr>
          <w:color w:val="000000"/>
          <w:sz w:val="24"/>
        </w:rPr>
        <w:t>医疗废物</w:t>
      </w:r>
      <w:r>
        <w:rPr>
          <w:color w:val="000000"/>
          <w:sz w:val="24"/>
        </w:rPr>
        <w:fldChar w:fldCharType="end"/>
      </w:r>
      <w:r>
        <w:rPr>
          <w:color w:val="000000"/>
          <w:sz w:val="24"/>
          <w:shd w:val="clear" w:color="auto" w:fill="FFFFFF"/>
        </w:rPr>
        <w:t>管理条例</w:t>
      </w:r>
      <w:r>
        <w:rPr>
          <w:bCs/>
          <w:color w:val="000000"/>
          <w:sz w:val="24"/>
        </w:rPr>
        <w:t>》中相应规定收集、</w:t>
      </w:r>
      <w:r>
        <w:fldChar w:fldCharType="begin"/>
      </w:r>
      <w:r>
        <w:instrText xml:space="preserve"> HYPERLINK "http://baike.haosou.com/doc/824185-871698.html" \t "_blank" </w:instrText>
      </w:r>
      <w:r>
        <w:fldChar w:fldCharType="separate"/>
      </w:r>
      <w:r>
        <w:rPr>
          <w:bCs/>
          <w:color w:val="000000"/>
          <w:sz w:val="24"/>
        </w:rPr>
        <w:t>运送</w:t>
      </w:r>
      <w:r>
        <w:rPr>
          <w:bCs/>
          <w:color w:val="000000"/>
          <w:sz w:val="24"/>
        </w:rPr>
        <w:fldChar w:fldCharType="end"/>
      </w:r>
      <w:r>
        <w:rPr>
          <w:bCs/>
          <w:color w:val="000000"/>
          <w:sz w:val="24"/>
        </w:rPr>
        <w:t>、</w:t>
      </w:r>
      <w:r>
        <w:fldChar w:fldCharType="begin"/>
      </w:r>
      <w:r>
        <w:instrText xml:space="preserve"> HYPERLINK "http://baike.haosou.com/doc/1866520-1974147.html" \t "_blank" </w:instrText>
      </w:r>
      <w:r>
        <w:fldChar w:fldCharType="separate"/>
      </w:r>
      <w:r>
        <w:rPr>
          <w:bCs/>
          <w:color w:val="000000"/>
          <w:sz w:val="24"/>
        </w:rPr>
        <w:t>贮存</w:t>
      </w:r>
      <w:r>
        <w:rPr>
          <w:bCs/>
          <w:color w:val="000000"/>
          <w:sz w:val="24"/>
        </w:rPr>
        <w:fldChar w:fldCharType="end"/>
      </w:r>
      <w:r>
        <w:rPr>
          <w:bCs/>
          <w:color w:val="000000"/>
          <w:sz w:val="24"/>
        </w:rPr>
        <w:t>、</w:t>
      </w:r>
      <w:r>
        <w:fldChar w:fldCharType="begin"/>
      </w:r>
      <w:r>
        <w:instrText xml:space="preserve"> HYPERLINK "http://baike.haosou.com/doc/5584939-5797533.html" \t "_blank" </w:instrText>
      </w:r>
      <w:r>
        <w:fldChar w:fldCharType="separate"/>
      </w:r>
      <w:r>
        <w:rPr>
          <w:bCs/>
          <w:color w:val="000000"/>
          <w:sz w:val="24"/>
        </w:rPr>
        <w:t>处置</w:t>
      </w:r>
      <w:r>
        <w:rPr>
          <w:bCs/>
          <w:color w:val="000000"/>
          <w:sz w:val="24"/>
        </w:rPr>
        <w:fldChar w:fldCharType="end"/>
      </w:r>
      <w:r>
        <w:rPr>
          <w:bCs/>
          <w:color w:val="000000"/>
          <w:sz w:val="24"/>
        </w:rPr>
        <w:t>，不得露天存放。（处置见附件9）。</w:t>
      </w:r>
    </w:p>
    <w:p>
      <w:pPr>
        <w:tabs>
          <w:tab w:val="right" w:leader="dot" w:pos="8647"/>
        </w:tabs>
        <w:spacing w:line="500" w:lineRule="exact"/>
        <w:ind w:firstLine="480" w:firstLineChars="200"/>
        <w:rPr>
          <w:color w:val="000000"/>
          <w:sz w:val="24"/>
        </w:rPr>
      </w:pPr>
      <w:r>
        <w:rPr>
          <w:color w:val="000000"/>
          <w:sz w:val="24"/>
        </w:rPr>
        <w:t>项目设置</w:t>
      </w:r>
      <w:r>
        <w:rPr>
          <w:bCs/>
          <w:color w:val="000000"/>
          <w:kern w:val="0"/>
          <w:sz w:val="24"/>
        </w:rPr>
        <w:t>危废暂存间</w:t>
      </w:r>
      <w:r>
        <w:rPr>
          <w:color w:val="000000"/>
          <w:sz w:val="24"/>
        </w:rPr>
        <w:t>1个，占地面积10m</w:t>
      </w:r>
      <w:r>
        <w:rPr>
          <w:color w:val="000000"/>
          <w:sz w:val="24"/>
          <w:vertAlign w:val="superscript"/>
        </w:rPr>
        <w:t>2</w:t>
      </w:r>
      <w:r>
        <w:rPr>
          <w:color w:val="000000"/>
          <w:sz w:val="24"/>
        </w:rPr>
        <w:t>。用于收集、贮存养猪过程产生的医疗废物，危废暂存间须满足《危险废物贮存污染控制标准》（GB18597-2001）要求：危废临时贮存间的混凝土基础做防渗处理，防渗层采用2mm厚的防渗材料，保证渗透系数≤10</w:t>
      </w:r>
      <w:r>
        <w:rPr>
          <w:color w:val="000000"/>
          <w:sz w:val="24"/>
          <w:vertAlign w:val="superscript"/>
        </w:rPr>
        <w:t>-10</w:t>
      </w:r>
      <w:r>
        <w:rPr>
          <w:color w:val="000000"/>
          <w:sz w:val="24"/>
        </w:rPr>
        <w:t>cm/s，并采用环氧漆做防腐防渗处理；根据</w:t>
      </w:r>
      <w:r>
        <w:rPr>
          <w:bCs/>
          <w:color w:val="000000"/>
          <w:sz w:val="24"/>
        </w:rPr>
        <w:t>农业部“关于印发《病死动物无害化处理技术规范》的通知”农医发〔2013〕34号，</w:t>
      </w:r>
      <w:r>
        <w:rPr>
          <w:color w:val="000000"/>
          <w:sz w:val="24"/>
        </w:rPr>
        <w:t>暂存场所应易于清洗和消毒，并定期清洗消毒；危废的贮存场所设置明显标志；贮存场所内禁止混放不相溶危险废物；危废的转移执行国家环保总局第5号令《危险废物转移联单管理办法》，转运病死猪的槽车车厢四壁及底部应使用耐腐蚀材料，并采取防渗措施；车辆驶离暂存、养殖等场所前，应对车轮及车厢外部进行消毒；运载车辆应尽量避免进入人口密集区；卸载后，应对运输车辆及相关工具等进行彻底清洗、消毒。</w:t>
      </w:r>
    </w:p>
    <w:p>
      <w:pPr>
        <w:tabs>
          <w:tab w:val="right" w:leader="dot" w:pos="8647"/>
        </w:tabs>
        <w:spacing w:line="500" w:lineRule="exact"/>
        <w:ind w:firstLine="480" w:firstLineChars="200"/>
        <w:rPr>
          <w:color w:val="000000"/>
          <w:sz w:val="24"/>
        </w:rPr>
      </w:pPr>
      <w:r>
        <w:rPr>
          <w:color w:val="000000"/>
          <w:sz w:val="24"/>
        </w:rPr>
        <w:t>在日常管理中，应设置专人加强对危废暂存间的管理，出现问题及时解决，避免形成二次污染，对工作人员应进行专业培训，熟知各项固废知识。</w:t>
      </w:r>
    </w:p>
    <w:p>
      <w:pPr>
        <w:tabs>
          <w:tab w:val="right" w:leader="dot" w:pos="8647"/>
        </w:tabs>
        <w:spacing w:line="500" w:lineRule="exact"/>
        <w:rPr>
          <w:color w:val="000000"/>
          <w:sz w:val="24"/>
        </w:rPr>
      </w:pPr>
      <w:r>
        <w:rPr>
          <w:color w:val="000000"/>
          <w:sz w:val="24"/>
        </w:rPr>
        <w:t>5.2.5.2猪粪、沼渣综合利用措施的可行性分析</w:t>
      </w:r>
    </w:p>
    <w:p>
      <w:pPr>
        <w:spacing w:line="480" w:lineRule="exact"/>
        <w:ind w:firstLine="480" w:firstLineChars="200"/>
        <w:rPr>
          <w:color w:val="000000"/>
          <w:sz w:val="24"/>
        </w:rPr>
      </w:pPr>
      <w:r>
        <w:rPr>
          <w:color w:val="000000"/>
          <w:sz w:val="24"/>
        </w:rPr>
        <w:t>据测定，新鲜畜禽粪便含水率高为80%，体积大臭味重，农民不愿意直接使用未经处理的粪便，因此企业本着无害化处理和综合利用的原则，拟对产生的猪粪运至固粪处置区采取条垛式堆肥无害化处理。根据堆肥技术的复杂程度以及使用情况，目前我国主要有三大类堆肥系统：条垛式、静态垛式和反应器系统。</w:t>
      </w:r>
    </w:p>
    <w:p>
      <w:pPr>
        <w:spacing w:line="480" w:lineRule="exact"/>
        <w:ind w:firstLine="480" w:firstLineChars="200"/>
        <w:rPr>
          <w:color w:val="000000"/>
          <w:sz w:val="24"/>
        </w:rPr>
      </w:pPr>
      <w:r>
        <w:rPr>
          <w:color w:val="000000"/>
          <w:sz w:val="24"/>
        </w:rPr>
        <w:t>条垛式是在露天或棚架下，将混合好的原料堆成条垛状，在好氧条件下进行分解的一种堆肥化方式。条垛式堆肥一次发酵周期为1个月。</w:t>
      </w:r>
    </w:p>
    <w:p>
      <w:pPr>
        <w:spacing w:line="480" w:lineRule="exact"/>
        <w:ind w:firstLine="480" w:firstLineChars="200"/>
        <w:rPr>
          <w:color w:val="000000"/>
          <w:sz w:val="24"/>
        </w:rPr>
      </w:pPr>
      <w:r>
        <w:rPr>
          <w:color w:val="000000"/>
          <w:sz w:val="24"/>
        </w:rPr>
        <w:t>静态通风堆系统是条形堆的改进形式。它主要用于湿基质的堆肥，堆肥过程中不进行物料的翻堆，通风使堆体保持好氧状态。</w:t>
      </w:r>
    </w:p>
    <w:p>
      <w:pPr>
        <w:spacing w:line="480" w:lineRule="exact"/>
        <w:ind w:firstLine="480" w:firstLineChars="200"/>
        <w:rPr>
          <w:color w:val="000000"/>
          <w:sz w:val="24"/>
        </w:rPr>
      </w:pPr>
      <w:r>
        <w:rPr>
          <w:color w:val="000000"/>
          <w:sz w:val="24"/>
        </w:rPr>
        <w:t>反应器堆肥系统是将物料在部分或全部封闭的发酵装置（如发酵仓、发酵塔等）内，通过控制通气和水分条件，使物料进行生物降解和转化。</w:t>
      </w:r>
    </w:p>
    <w:p>
      <w:pPr>
        <w:spacing w:line="500" w:lineRule="exact"/>
        <w:ind w:firstLine="480" w:firstLineChars="200"/>
        <w:rPr>
          <w:color w:val="000000"/>
          <w:sz w:val="24"/>
        </w:rPr>
      </w:pPr>
      <w:r>
        <w:rPr>
          <w:color w:val="000000"/>
          <w:kern w:val="0"/>
          <w:sz w:val="24"/>
        </w:rPr>
        <w:t>牧原公司</w:t>
      </w:r>
      <w:r>
        <w:rPr>
          <w:bCs/>
          <w:color w:val="000000"/>
          <w:sz w:val="24"/>
        </w:rPr>
        <w:t>经多次试验研究，在好氧条垛堆肥的基础上进行了改进：</w:t>
      </w:r>
      <w:r>
        <w:rPr>
          <w:color w:val="000000"/>
          <w:sz w:val="24"/>
        </w:rPr>
        <w:t>选用专门的翻堆机定期翻堆，操作简单，同时该翻堆机还具有破碎的功能，可增大物料的充氧量，更有利于好氧堆肥。为减小气候条件对堆肥的影响，项目固粪处置区采用半封闭场棚结构，受气候条件影响的程度降低；在固粪处置区通过喷洒植物型除臭剂对恶臭气体进行脱除，操作简单；公司对固粪处置区场地进行了改进，直接在猪舍的机械刮板终端设置固粪处置区，通过整合治污区，合理配置资源，一定程度上减小了堆肥所需的占地面积，同时还减少了运输粪便带来的环境污染。</w:t>
      </w:r>
    </w:p>
    <w:p>
      <w:pPr>
        <w:spacing w:line="480" w:lineRule="exact"/>
        <w:ind w:firstLine="480" w:firstLineChars="200"/>
        <w:rPr>
          <w:color w:val="000000"/>
          <w:sz w:val="24"/>
        </w:rPr>
      </w:pPr>
      <w:r>
        <w:rPr>
          <w:color w:val="000000"/>
          <w:sz w:val="24"/>
        </w:rPr>
        <w:t>各种堆肥系统的优缺点比较：</w:t>
      </w:r>
    </w:p>
    <w:p>
      <w:pPr>
        <w:spacing w:beforeLines="50" w:afterLines="50"/>
        <w:jc w:val="center"/>
        <w:rPr>
          <w:b/>
          <w:bCs/>
          <w:color w:val="000000"/>
          <w:sz w:val="24"/>
        </w:rPr>
      </w:pPr>
      <w:r>
        <w:rPr>
          <w:b/>
          <w:bCs/>
          <w:color w:val="000000"/>
          <w:szCs w:val="21"/>
        </w:rPr>
        <w:t>表5-17 各种堆肥系统的优缺点比较表</w:t>
      </w:r>
    </w:p>
    <w:tbl>
      <w:tblPr>
        <w:tblStyle w:val="44"/>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2"/>
        <w:gridCol w:w="1564"/>
        <w:gridCol w:w="1558"/>
        <w:gridCol w:w="1419"/>
        <w:gridCol w:w="20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pPr>
              <w:widowControl/>
              <w:jc w:val="center"/>
              <w:rPr>
                <w:b/>
                <w:color w:val="000000"/>
                <w:kern w:val="0"/>
                <w:szCs w:val="21"/>
              </w:rPr>
            </w:pPr>
            <w:r>
              <w:rPr>
                <w:b/>
                <w:color w:val="000000"/>
                <w:kern w:val="0"/>
                <w:szCs w:val="21"/>
              </w:rPr>
              <w:t>堆肥工艺</w:t>
            </w:r>
          </w:p>
        </w:tc>
        <w:tc>
          <w:tcPr>
            <w:tcW w:w="1564" w:type="dxa"/>
            <w:vAlign w:val="center"/>
          </w:tcPr>
          <w:p>
            <w:pPr>
              <w:widowControl/>
              <w:jc w:val="center"/>
              <w:rPr>
                <w:b/>
                <w:color w:val="000000"/>
                <w:kern w:val="0"/>
                <w:szCs w:val="21"/>
              </w:rPr>
            </w:pPr>
            <w:r>
              <w:rPr>
                <w:b/>
                <w:color w:val="000000"/>
                <w:kern w:val="0"/>
                <w:szCs w:val="21"/>
              </w:rPr>
              <w:t>条垛堆肥</w:t>
            </w:r>
          </w:p>
        </w:tc>
        <w:tc>
          <w:tcPr>
            <w:tcW w:w="1558" w:type="dxa"/>
            <w:vAlign w:val="center"/>
          </w:tcPr>
          <w:p>
            <w:pPr>
              <w:widowControl/>
              <w:jc w:val="center"/>
              <w:rPr>
                <w:b/>
                <w:color w:val="000000"/>
                <w:kern w:val="0"/>
                <w:szCs w:val="21"/>
              </w:rPr>
            </w:pPr>
            <w:r>
              <w:rPr>
                <w:b/>
                <w:color w:val="000000"/>
                <w:kern w:val="0"/>
                <w:szCs w:val="21"/>
              </w:rPr>
              <w:t>静态堆肥</w:t>
            </w:r>
          </w:p>
        </w:tc>
        <w:tc>
          <w:tcPr>
            <w:tcW w:w="1419" w:type="dxa"/>
            <w:vAlign w:val="center"/>
          </w:tcPr>
          <w:p>
            <w:pPr>
              <w:widowControl/>
              <w:jc w:val="center"/>
              <w:rPr>
                <w:b/>
                <w:color w:val="000000"/>
                <w:kern w:val="0"/>
                <w:szCs w:val="21"/>
              </w:rPr>
            </w:pPr>
            <w:r>
              <w:rPr>
                <w:b/>
                <w:color w:val="000000"/>
                <w:kern w:val="0"/>
                <w:szCs w:val="21"/>
              </w:rPr>
              <w:t>反应器堆肥</w:t>
            </w:r>
          </w:p>
        </w:tc>
        <w:tc>
          <w:tcPr>
            <w:tcW w:w="2033" w:type="dxa"/>
            <w:vAlign w:val="center"/>
          </w:tcPr>
          <w:p>
            <w:pPr>
              <w:widowControl/>
              <w:jc w:val="center"/>
              <w:rPr>
                <w:b/>
                <w:color w:val="000000"/>
                <w:kern w:val="0"/>
                <w:szCs w:val="21"/>
              </w:rPr>
            </w:pPr>
            <w:r>
              <w:rPr>
                <w:b/>
                <w:color w:val="000000"/>
                <w:kern w:val="0"/>
                <w:szCs w:val="21"/>
              </w:rPr>
              <w:t>改良后的条垛堆肥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pPr>
              <w:widowControl/>
              <w:jc w:val="center"/>
              <w:rPr>
                <w:color w:val="000000"/>
                <w:kern w:val="0"/>
                <w:szCs w:val="21"/>
              </w:rPr>
            </w:pPr>
            <w:r>
              <w:rPr>
                <w:color w:val="000000"/>
                <w:kern w:val="0"/>
                <w:szCs w:val="21"/>
              </w:rPr>
              <w:t>投资成本</w:t>
            </w:r>
          </w:p>
        </w:tc>
        <w:tc>
          <w:tcPr>
            <w:tcW w:w="1564" w:type="dxa"/>
            <w:vAlign w:val="center"/>
          </w:tcPr>
          <w:p>
            <w:pPr>
              <w:widowControl/>
              <w:jc w:val="center"/>
              <w:rPr>
                <w:color w:val="000000"/>
                <w:kern w:val="0"/>
                <w:szCs w:val="21"/>
              </w:rPr>
            </w:pPr>
            <w:r>
              <w:rPr>
                <w:color w:val="000000"/>
                <w:kern w:val="0"/>
                <w:szCs w:val="21"/>
              </w:rPr>
              <w:t>低</w:t>
            </w:r>
          </w:p>
        </w:tc>
        <w:tc>
          <w:tcPr>
            <w:tcW w:w="1558" w:type="dxa"/>
            <w:vAlign w:val="center"/>
          </w:tcPr>
          <w:p>
            <w:pPr>
              <w:widowControl/>
              <w:jc w:val="center"/>
              <w:rPr>
                <w:color w:val="000000"/>
                <w:kern w:val="0"/>
                <w:szCs w:val="21"/>
              </w:rPr>
            </w:pPr>
            <w:r>
              <w:rPr>
                <w:color w:val="000000"/>
                <w:kern w:val="0"/>
                <w:szCs w:val="21"/>
              </w:rPr>
              <w:t>低</w:t>
            </w:r>
          </w:p>
        </w:tc>
        <w:tc>
          <w:tcPr>
            <w:tcW w:w="1419" w:type="dxa"/>
            <w:vAlign w:val="center"/>
          </w:tcPr>
          <w:p>
            <w:pPr>
              <w:widowControl/>
              <w:jc w:val="center"/>
              <w:rPr>
                <w:color w:val="000000"/>
                <w:kern w:val="0"/>
                <w:szCs w:val="21"/>
              </w:rPr>
            </w:pPr>
            <w:r>
              <w:rPr>
                <w:color w:val="000000"/>
                <w:kern w:val="0"/>
                <w:szCs w:val="21"/>
              </w:rPr>
              <w:t>高</w:t>
            </w:r>
          </w:p>
        </w:tc>
        <w:tc>
          <w:tcPr>
            <w:tcW w:w="2033" w:type="dxa"/>
            <w:vAlign w:val="center"/>
          </w:tcPr>
          <w:p>
            <w:pPr>
              <w:widowControl/>
              <w:jc w:val="center"/>
              <w:rPr>
                <w:color w:val="000000"/>
                <w:kern w:val="0"/>
                <w:szCs w:val="21"/>
              </w:rPr>
            </w:pPr>
            <w:r>
              <w:rPr>
                <w:color w:val="000000"/>
                <w:kern w:val="0"/>
                <w:szCs w:val="21"/>
              </w:rPr>
              <w:t>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pPr>
              <w:widowControl/>
              <w:jc w:val="center"/>
              <w:rPr>
                <w:color w:val="000000"/>
                <w:kern w:val="0"/>
                <w:szCs w:val="21"/>
              </w:rPr>
            </w:pPr>
            <w:r>
              <w:rPr>
                <w:color w:val="000000"/>
                <w:kern w:val="0"/>
                <w:szCs w:val="21"/>
              </w:rPr>
              <w:t>运行和维护费用</w:t>
            </w:r>
          </w:p>
        </w:tc>
        <w:tc>
          <w:tcPr>
            <w:tcW w:w="1564" w:type="dxa"/>
            <w:vAlign w:val="center"/>
          </w:tcPr>
          <w:p>
            <w:pPr>
              <w:widowControl/>
              <w:jc w:val="center"/>
              <w:rPr>
                <w:color w:val="000000"/>
                <w:kern w:val="0"/>
                <w:szCs w:val="21"/>
              </w:rPr>
            </w:pPr>
            <w:r>
              <w:rPr>
                <w:color w:val="000000"/>
                <w:kern w:val="0"/>
                <w:szCs w:val="21"/>
              </w:rPr>
              <w:t>较低</w:t>
            </w:r>
          </w:p>
        </w:tc>
        <w:tc>
          <w:tcPr>
            <w:tcW w:w="1558" w:type="dxa"/>
            <w:vAlign w:val="center"/>
          </w:tcPr>
          <w:p>
            <w:pPr>
              <w:widowControl/>
              <w:jc w:val="center"/>
              <w:rPr>
                <w:color w:val="000000"/>
                <w:kern w:val="0"/>
                <w:szCs w:val="21"/>
              </w:rPr>
            </w:pPr>
            <w:r>
              <w:rPr>
                <w:color w:val="000000"/>
                <w:kern w:val="0"/>
                <w:szCs w:val="21"/>
              </w:rPr>
              <w:t>低</w:t>
            </w:r>
          </w:p>
        </w:tc>
        <w:tc>
          <w:tcPr>
            <w:tcW w:w="1419" w:type="dxa"/>
            <w:vAlign w:val="center"/>
          </w:tcPr>
          <w:p>
            <w:pPr>
              <w:widowControl/>
              <w:jc w:val="center"/>
              <w:rPr>
                <w:color w:val="000000"/>
                <w:kern w:val="0"/>
                <w:szCs w:val="21"/>
              </w:rPr>
            </w:pPr>
            <w:r>
              <w:rPr>
                <w:color w:val="000000"/>
                <w:kern w:val="0"/>
                <w:szCs w:val="21"/>
              </w:rPr>
              <w:t>低</w:t>
            </w:r>
          </w:p>
        </w:tc>
        <w:tc>
          <w:tcPr>
            <w:tcW w:w="2033" w:type="dxa"/>
            <w:vAlign w:val="center"/>
          </w:tcPr>
          <w:p>
            <w:pPr>
              <w:widowControl/>
              <w:jc w:val="center"/>
              <w:rPr>
                <w:color w:val="000000"/>
                <w:kern w:val="0"/>
                <w:szCs w:val="21"/>
              </w:rPr>
            </w:pPr>
            <w:r>
              <w:rPr>
                <w:color w:val="000000"/>
                <w:kern w:val="0"/>
                <w:szCs w:val="21"/>
              </w:rPr>
              <w:t>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pPr>
              <w:widowControl/>
              <w:jc w:val="center"/>
              <w:rPr>
                <w:color w:val="000000"/>
                <w:kern w:val="0"/>
                <w:szCs w:val="21"/>
              </w:rPr>
            </w:pPr>
            <w:r>
              <w:rPr>
                <w:color w:val="000000"/>
                <w:kern w:val="0"/>
                <w:szCs w:val="21"/>
              </w:rPr>
              <w:t>操作难度</w:t>
            </w:r>
          </w:p>
        </w:tc>
        <w:tc>
          <w:tcPr>
            <w:tcW w:w="1564" w:type="dxa"/>
            <w:vAlign w:val="center"/>
          </w:tcPr>
          <w:p>
            <w:pPr>
              <w:widowControl/>
              <w:jc w:val="center"/>
              <w:rPr>
                <w:color w:val="000000"/>
                <w:kern w:val="0"/>
                <w:szCs w:val="21"/>
              </w:rPr>
            </w:pPr>
            <w:r>
              <w:rPr>
                <w:color w:val="000000"/>
                <w:kern w:val="0"/>
                <w:szCs w:val="21"/>
              </w:rPr>
              <w:t>低</w:t>
            </w:r>
          </w:p>
        </w:tc>
        <w:tc>
          <w:tcPr>
            <w:tcW w:w="1558" w:type="dxa"/>
            <w:vAlign w:val="center"/>
          </w:tcPr>
          <w:p>
            <w:pPr>
              <w:widowControl/>
              <w:jc w:val="center"/>
              <w:rPr>
                <w:color w:val="000000"/>
                <w:kern w:val="0"/>
                <w:szCs w:val="21"/>
              </w:rPr>
            </w:pPr>
            <w:r>
              <w:rPr>
                <w:color w:val="000000"/>
                <w:kern w:val="0"/>
                <w:szCs w:val="21"/>
              </w:rPr>
              <w:t>较低</w:t>
            </w:r>
          </w:p>
        </w:tc>
        <w:tc>
          <w:tcPr>
            <w:tcW w:w="1419" w:type="dxa"/>
            <w:vAlign w:val="center"/>
          </w:tcPr>
          <w:p>
            <w:pPr>
              <w:widowControl/>
              <w:jc w:val="center"/>
              <w:rPr>
                <w:color w:val="000000"/>
                <w:kern w:val="0"/>
                <w:szCs w:val="21"/>
              </w:rPr>
            </w:pPr>
            <w:r>
              <w:rPr>
                <w:color w:val="000000"/>
                <w:kern w:val="0"/>
                <w:szCs w:val="21"/>
              </w:rPr>
              <w:t>难</w:t>
            </w:r>
          </w:p>
        </w:tc>
        <w:tc>
          <w:tcPr>
            <w:tcW w:w="2033" w:type="dxa"/>
            <w:vAlign w:val="center"/>
          </w:tcPr>
          <w:p>
            <w:pPr>
              <w:widowControl/>
              <w:jc w:val="center"/>
              <w:rPr>
                <w:color w:val="000000"/>
                <w:kern w:val="0"/>
                <w:szCs w:val="21"/>
              </w:rPr>
            </w:pPr>
            <w:r>
              <w:rPr>
                <w:color w:val="000000"/>
                <w:kern w:val="0"/>
                <w:szCs w:val="21"/>
              </w:rPr>
              <w:t>较低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pPr>
              <w:widowControl/>
              <w:jc w:val="center"/>
              <w:rPr>
                <w:color w:val="000000"/>
                <w:kern w:val="0"/>
                <w:szCs w:val="21"/>
              </w:rPr>
            </w:pPr>
            <w:r>
              <w:rPr>
                <w:color w:val="000000"/>
                <w:kern w:val="0"/>
                <w:szCs w:val="21"/>
              </w:rPr>
              <w:t>受气候条件影响大小</w:t>
            </w:r>
          </w:p>
        </w:tc>
        <w:tc>
          <w:tcPr>
            <w:tcW w:w="1564" w:type="dxa"/>
            <w:vAlign w:val="center"/>
          </w:tcPr>
          <w:p>
            <w:pPr>
              <w:widowControl/>
              <w:jc w:val="center"/>
              <w:rPr>
                <w:color w:val="000000"/>
                <w:kern w:val="0"/>
                <w:szCs w:val="21"/>
              </w:rPr>
            </w:pPr>
            <w:r>
              <w:rPr>
                <w:color w:val="000000"/>
                <w:kern w:val="0"/>
                <w:szCs w:val="21"/>
              </w:rPr>
              <w:t>大</w:t>
            </w:r>
          </w:p>
        </w:tc>
        <w:tc>
          <w:tcPr>
            <w:tcW w:w="1558" w:type="dxa"/>
            <w:vAlign w:val="center"/>
          </w:tcPr>
          <w:p>
            <w:pPr>
              <w:widowControl/>
              <w:jc w:val="center"/>
              <w:rPr>
                <w:color w:val="000000"/>
                <w:kern w:val="0"/>
                <w:szCs w:val="21"/>
              </w:rPr>
            </w:pPr>
            <w:r>
              <w:rPr>
                <w:color w:val="000000"/>
                <w:kern w:val="0"/>
                <w:szCs w:val="21"/>
              </w:rPr>
              <w:t>较大</w:t>
            </w:r>
          </w:p>
        </w:tc>
        <w:tc>
          <w:tcPr>
            <w:tcW w:w="1419" w:type="dxa"/>
            <w:vAlign w:val="center"/>
          </w:tcPr>
          <w:p>
            <w:pPr>
              <w:widowControl/>
              <w:jc w:val="center"/>
              <w:rPr>
                <w:color w:val="000000"/>
                <w:kern w:val="0"/>
                <w:szCs w:val="21"/>
              </w:rPr>
            </w:pPr>
            <w:r>
              <w:rPr>
                <w:color w:val="000000"/>
                <w:kern w:val="0"/>
                <w:szCs w:val="21"/>
              </w:rPr>
              <w:t>小</w:t>
            </w:r>
          </w:p>
        </w:tc>
        <w:tc>
          <w:tcPr>
            <w:tcW w:w="2033" w:type="dxa"/>
            <w:vAlign w:val="center"/>
          </w:tcPr>
          <w:p>
            <w:pPr>
              <w:widowControl/>
              <w:jc w:val="center"/>
              <w:rPr>
                <w:color w:val="000000"/>
                <w:kern w:val="0"/>
                <w:szCs w:val="21"/>
              </w:rPr>
            </w:pPr>
            <w:r>
              <w:rPr>
                <w:color w:val="000000"/>
                <w:kern w:val="0"/>
                <w:szCs w:val="21"/>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pPr>
              <w:widowControl/>
              <w:jc w:val="center"/>
              <w:rPr>
                <w:color w:val="000000"/>
                <w:kern w:val="0"/>
                <w:szCs w:val="21"/>
              </w:rPr>
            </w:pPr>
            <w:r>
              <w:rPr>
                <w:color w:val="000000"/>
                <w:kern w:val="0"/>
                <w:szCs w:val="21"/>
              </w:rPr>
              <w:t>臭味处理</w:t>
            </w:r>
          </w:p>
        </w:tc>
        <w:tc>
          <w:tcPr>
            <w:tcW w:w="1564" w:type="dxa"/>
            <w:vAlign w:val="center"/>
          </w:tcPr>
          <w:p>
            <w:pPr>
              <w:widowControl/>
              <w:jc w:val="center"/>
              <w:rPr>
                <w:color w:val="000000"/>
                <w:kern w:val="0"/>
                <w:szCs w:val="21"/>
              </w:rPr>
            </w:pPr>
            <w:r>
              <w:rPr>
                <w:color w:val="000000"/>
                <w:kern w:val="0"/>
                <w:szCs w:val="21"/>
              </w:rPr>
              <w:t>难</w:t>
            </w:r>
          </w:p>
        </w:tc>
        <w:tc>
          <w:tcPr>
            <w:tcW w:w="1558" w:type="dxa"/>
            <w:vAlign w:val="center"/>
          </w:tcPr>
          <w:p>
            <w:pPr>
              <w:widowControl/>
              <w:jc w:val="center"/>
              <w:rPr>
                <w:color w:val="000000"/>
                <w:kern w:val="0"/>
                <w:szCs w:val="21"/>
              </w:rPr>
            </w:pPr>
            <w:r>
              <w:rPr>
                <w:color w:val="000000"/>
                <w:kern w:val="0"/>
                <w:szCs w:val="21"/>
              </w:rPr>
              <w:t>较易</w:t>
            </w:r>
          </w:p>
        </w:tc>
        <w:tc>
          <w:tcPr>
            <w:tcW w:w="1419" w:type="dxa"/>
            <w:vAlign w:val="center"/>
          </w:tcPr>
          <w:p>
            <w:pPr>
              <w:widowControl/>
              <w:jc w:val="center"/>
              <w:rPr>
                <w:color w:val="000000"/>
                <w:kern w:val="0"/>
                <w:szCs w:val="21"/>
              </w:rPr>
            </w:pPr>
            <w:r>
              <w:rPr>
                <w:color w:val="000000"/>
                <w:kern w:val="0"/>
                <w:szCs w:val="21"/>
              </w:rPr>
              <w:t>易</w:t>
            </w:r>
          </w:p>
        </w:tc>
        <w:tc>
          <w:tcPr>
            <w:tcW w:w="2033" w:type="dxa"/>
            <w:vAlign w:val="center"/>
          </w:tcPr>
          <w:p>
            <w:pPr>
              <w:widowControl/>
              <w:jc w:val="center"/>
              <w:rPr>
                <w:color w:val="000000"/>
                <w:kern w:val="0"/>
                <w:szCs w:val="21"/>
              </w:rPr>
            </w:pPr>
            <w:r>
              <w:rPr>
                <w:color w:val="000000"/>
                <w:kern w:val="0"/>
                <w:szCs w:val="21"/>
              </w:rPr>
              <w:t>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pPr>
              <w:widowControl/>
              <w:jc w:val="center"/>
              <w:rPr>
                <w:color w:val="000000"/>
                <w:kern w:val="0"/>
                <w:szCs w:val="21"/>
              </w:rPr>
            </w:pPr>
            <w:r>
              <w:rPr>
                <w:color w:val="000000"/>
                <w:kern w:val="0"/>
                <w:szCs w:val="21"/>
              </w:rPr>
              <w:t>占地面积</w:t>
            </w:r>
          </w:p>
        </w:tc>
        <w:tc>
          <w:tcPr>
            <w:tcW w:w="1564" w:type="dxa"/>
            <w:vAlign w:val="center"/>
          </w:tcPr>
          <w:p>
            <w:pPr>
              <w:widowControl/>
              <w:jc w:val="center"/>
              <w:rPr>
                <w:color w:val="000000"/>
                <w:kern w:val="0"/>
                <w:szCs w:val="21"/>
              </w:rPr>
            </w:pPr>
            <w:r>
              <w:rPr>
                <w:color w:val="000000"/>
                <w:kern w:val="0"/>
                <w:szCs w:val="21"/>
              </w:rPr>
              <w:t>大</w:t>
            </w:r>
          </w:p>
        </w:tc>
        <w:tc>
          <w:tcPr>
            <w:tcW w:w="1558" w:type="dxa"/>
            <w:vAlign w:val="center"/>
          </w:tcPr>
          <w:p>
            <w:pPr>
              <w:widowControl/>
              <w:jc w:val="center"/>
              <w:rPr>
                <w:color w:val="000000"/>
                <w:kern w:val="0"/>
                <w:szCs w:val="21"/>
              </w:rPr>
            </w:pPr>
            <w:r>
              <w:rPr>
                <w:color w:val="000000"/>
                <w:kern w:val="0"/>
                <w:szCs w:val="21"/>
              </w:rPr>
              <w:t>中</w:t>
            </w:r>
          </w:p>
        </w:tc>
        <w:tc>
          <w:tcPr>
            <w:tcW w:w="1419" w:type="dxa"/>
            <w:vAlign w:val="center"/>
          </w:tcPr>
          <w:p>
            <w:pPr>
              <w:widowControl/>
              <w:jc w:val="center"/>
              <w:rPr>
                <w:color w:val="000000"/>
                <w:kern w:val="0"/>
                <w:szCs w:val="21"/>
              </w:rPr>
            </w:pPr>
            <w:r>
              <w:rPr>
                <w:color w:val="000000"/>
                <w:kern w:val="0"/>
                <w:szCs w:val="21"/>
              </w:rPr>
              <w:t>小</w:t>
            </w:r>
          </w:p>
        </w:tc>
        <w:tc>
          <w:tcPr>
            <w:tcW w:w="2033" w:type="dxa"/>
            <w:vAlign w:val="center"/>
          </w:tcPr>
          <w:p>
            <w:pPr>
              <w:widowControl/>
              <w:jc w:val="center"/>
              <w:rPr>
                <w:color w:val="000000"/>
                <w:kern w:val="0"/>
                <w:szCs w:val="21"/>
              </w:rPr>
            </w:pPr>
            <w:r>
              <w:rPr>
                <w:color w:val="000000"/>
                <w:kern w:val="0"/>
                <w:szCs w:val="21"/>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72" w:type="dxa"/>
            <w:vAlign w:val="center"/>
          </w:tcPr>
          <w:p>
            <w:pPr>
              <w:widowControl/>
              <w:jc w:val="center"/>
              <w:rPr>
                <w:color w:val="000000"/>
                <w:kern w:val="0"/>
                <w:szCs w:val="21"/>
              </w:rPr>
            </w:pPr>
            <w:r>
              <w:rPr>
                <w:color w:val="000000"/>
                <w:kern w:val="0"/>
                <w:szCs w:val="21"/>
              </w:rPr>
              <w:t>堆肥时间</w:t>
            </w:r>
          </w:p>
        </w:tc>
        <w:tc>
          <w:tcPr>
            <w:tcW w:w="1564" w:type="dxa"/>
            <w:vAlign w:val="center"/>
          </w:tcPr>
          <w:p>
            <w:pPr>
              <w:widowControl/>
              <w:jc w:val="center"/>
              <w:rPr>
                <w:color w:val="000000"/>
                <w:kern w:val="0"/>
                <w:szCs w:val="21"/>
              </w:rPr>
            </w:pPr>
            <w:r>
              <w:rPr>
                <w:color w:val="000000"/>
                <w:kern w:val="0"/>
                <w:szCs w:val="21"/>
              </w:rPr>
              <w:t>长</w:t>
            </w:r>
          </w:p>
        </w:tc>
        <w:tc>
          <w:tcPr>
            <w:tcW w:w="1558" w:type="dxa"/>
            <w:vAlign w:val="center"/>
          </w:tcPr>
          <w:p>
            <w:pPr>
              <w:widowControl/>
              <w:jc w:val="center"/>
              <w:rPr>
                <w:color w:val="000000"/>
                <w:kern w:val="0"/>
                <w:szCs w:val="21"/>
              </w:rPr>
            </w:pPr>
            <w:r>
              <w:rPr>
                <w:color w:val="000000"/>
                <w:kern w:val="0"/>
                <w:szCs w:val="21"/>
              </w:rPr>
              <w:t>中</w:t>
            </w:r>
          </w:p>
        </w:tc>
        <w:tc>
          <w:tcPr>
            <w:tcW w:w="1419" w:type="dxa"/>
            <w:vAlign w:val="center"/>
          </w:tcPr>
          <w:p>
            <w:pPr>
              <w:widowControl/>
              <w:jc w:val="center"/>
              <w:rPr>
                <w:color w:val="000000"/>
                <w:kern w:val="0"/>
                <w:szCs w:val="21"/>
              </w:rPr>
            </w:pPr>
            <w:r>
              <w:rPr>
                <w:color w:val="000000"/>
                <w:kern w:val="0"/>
                <w:szCs w:val="21"/>
              </w:rPr>
              <w:t>短</w:t>
            </w:r>
          </w:p>
        </w:tc>
        <w:tc>
          <w:tcPr>
            <w:tcW w:w="2033" w:type="dxa"/>
            <w:vAlign w:val="center"/>
          </w:tcPr>
          <w:p>
            <w:pPr>
              <w:widowControl/>
              <w:jc w:val="center"/>
              <w:rPr>
                <w:color w:val="000000"/>
                <w:kern w:val="0"/>
                <w:szCs w:val="21"/>
              </w:rPr>
            </w:pPr>
            <w:r>
              <w:rPr>
                <w:color w:val="000000"/>
                <w:kern w:val="0"/>
                <w:szCs w:val="21"/>
              </w:rPr>
              <w:t>中</w:t>
            </w:r>
          </w:p>
        </w:tc>
      </w:tr>
    </w:tbl>
    <w:p>
      <w:pPr>
        <w:spacing w:line="500" w:lineRule="exact"/>
        <w:ind w:firstLine="480" w:firstLineChars="200"/>
        <w:rPr>
          <w:color w:val="000000"/>
          <w:kern w:val="0"/>
          <w:sz w:val="24"/>
        </w:rPr>
      </w:pPr>
      <w:r>
        <w:rPr>
          <w:color w:val="000000"/>
          <w:kern w:val="0"/>
          <w:sz w:val="24"/>
        </w:rPr>
        <w:t>从投资成本、操作难度等方面比较，反应器堆肥成本较高，操作难度大。本项目为畜牧业属第一产业，且项目主体是生猪养殖，有机肥基肥制作只是项目的副产品，从经济可行性上分析，不选用反应器堆肥方式。</w:t>
      </w:r>
    </w:p>
    <w:p>
      <w:pPr>
        <w:spacing w:line="500" w:lineRule="exact"/>
        <w:ind w:firstLine="480" w:firstLineChars="200"/>
        <w:rPr>
          <w:color w:val="000000"/>
          <w:kern w:val="0"/>
          <w:sz w:val="24"/>
        </w:rPr>
      </w:pPr>
      <w:r>
        <w:rPr>
          <w:color w:val="000000"/>
          <w:kern w:val="0"/>
          <w:sz w:val="24"/>
        </w:rPr>
        <w:t>改良后的条垛堆肥与静态通风堆肥相比：</w:t>
      </w:r>
      <w:r>
        <w:rPr>
          <w:color w:val="000000"/>
          <w:kern w:val="0"/>
          <w:sz w:val="24"/>
        </w:rPr>
        <w:fldChar w:fldCharType="begin"/>
      </w:r>
      <w:r>
        <w:rPr>
          <w:color w:val="000000"/>
          <w:kern w:val="0"/>
          <w:sz w:val="24"/>
        </w:rPr>
        <w:instrText xml:space="preserve">= 1 \* GB3</w:instrText>
      </w:r>
      <w:r>
        <w:rPr>
          <w:color w:val="000000"/>
          <w:kern w:val="0"/>
          <w:sz w:val="24"/>
        </w:rPr>
        <w:fldChar w:fldCharType="separate"/>
      </w:r>
      <w:r>
        <w:rPr>
          <w:rFonts w:hint="eastAsia" w:ascii="宋体" w:hAnsi="宋体" w:cs="宋体"/>
          <w:color w:val="000000"/>
          <w:kern w:val="0"/>
          <w:sz w:val="24"/>
        </w:rPr>
        <w:t>①</w:t>
      </w:r>
      <w:r>
        <w:rPr>
          <w:color w:val="000000"/>
          <w:kern w:val="0"/>
          <w:sz w:val="24"/>
        </w:rPr>
        <w:fldChar w:fldCharType="end"/>
      </w:r>
      <w:r>
        <w:rPr>
          <w:color w:val="000000"/>
          <w:kern w:val="0"/>
          <w:sz w:val="24"/>
        </w:rPr>
        <w:t>在运行和维护费用上改良后的条垛堆肥较静态堆肥低，条垛堆肥在前期固粪处置区建成后，仅需定期使用翻堆机进行翻堆即可，而静态堆肥需要铺设管道定期通风，通风耗电量较大，运行成本较高，且管道容易腐蚀，维护费用较高。</w:t>
      </w:r>
      <w:r>
        <w:rPr>
          <w:color w:val="000000"/>
          <w:kern w:val="0"/>
          <w:sz w:val="24"/>
        </w:rPr>
        <w:fldChar w:fldCharType="begin"/>
      </w:r>
      <w:r>
        <w:rPr>
          <w:color w:val="000000"/>
          <w:kern w:val="0"/>
          <w:sz w:val="24"/>
        </w:rPr>
        <w:instrText xml:space="preserve">= 2 \* GB3</w:instrText>
      </w:r>
      <w:r>
        <w:rPr>
          <w:color w:val="000000"/>
          <w:kern w:val="0"/>
          <w:sz w:val="24"/>
        </w:rPr>
        <w:fldChar w:fldCharType="separate"/>
      </w:r>
      <w:r>
        <w:rPr>
          <w:rFonts w:hint="eastAsia" w:ascii="宋体" w:hAnsi="宋体" w:cs="宋体"/>
          <w:color w:val="000000"/>
          <w:kern w:val="0"/>
          <w:sz w:val="24"/>
        </w:rPr>
        <w:t>②</w:t>
      </w:r>
      <w:r>
        <w:rPr>
          <w:color w:val="000000"/>
          <w:kern w:val="0"/>
          <w:sz w:val="24"/>
        </w:rPr>
        <w:fldChar w:fldCharType="end"/>
      </w:r>
      <w:r>
        <w:rPr>
          <w:color w:val="000000"/>
          <w:kern w:val="0"/>
          <w:sz w:val="24"/>
        </w:rPr>
        <w:t>在受气候条件影响程度上，改良后的条垛堆肥较静态堆肥小，静态堆肥为露天，而改良后的条垛固粪处置区场地设有半封闭场棚，受气候条件影响程度较小。</w:t>
      </w:r>
      <w:r>
        <w:rPr>
          <w:color w:val="000000"/>
          <w:kern w:val="0"/>
          <w:sz w:val="24"/>
        </w:rPr>
        <w:fldChar w:fldCharType="begin"/>
      </w:r>
      <w:r>
        <w:rPr>
          <w:color w:val="000000"/>
          <w:kern w:val="0"/>
          <w:sz w:val="24"/>
        </w:rPr>
        <w:instrText xml:space="preserve">= 3 \* GB3</w:instrText>
      </w:r>
      <w:r>
        <w:rPr>
          <w:color w:val="000000"/>
          <w:kern w:val="0"/>
          <w:sz w:val="24"/>
        </w:rPr>
        <w:fldChar w:fldCharType="separate"/>
      </w:r>
      <w:r>
        <w:rPr>
          <w:rFonts w:hint="eastAsia" w:ascii="宋体" w:hAnsi="宋体" w:cs="宋体"/>
          <w:color w:val="000000"/>
          <w:kern w:val="0"/>
          <w:sz w:val="24"/>
        </w:rPr>
        <w:t>③</w:t>
      </w:r>
      <w:r>
        <w:rPr>
          <w:color w:val="000000"/>
          <w:kern w:val="0"/>
          <w:sz w:val="24"/>
        </w:rPr>
        <w:fldChar w:fldCharType="end"/>
      </w:r>
      <w:r>
        <w:rPr>
          <w:color w:val="000000"/>
          <w:kern w:val="0"/>
          <w:sz w:val="24"/>
        </w:rPr>
        <w:t>占地面积，改良后的条垛堆肥通过产污区和治污区的集约整合，一定程度上减小了占地面积</w:t>
      </w:r>
      <w:r>
        <w:rPr>
          <w:color w:val="000000"/>
          <w:sz w:val="24"/>
        </w:rPr>
        <w:t>，同时还减少了运输粪便带来的环境污染。</w:t>
      </w:r>
      <w:r>
        <w:rPr>
          <w:color w:val="000000"/>
          <w:sz w:val="24"/>
        </w:rPr>
        <w:fldChar w:fldCharType="begin"/>
      </w:r>
      <w:r>
        <w:rPr>
          <w:color w:val="000000"/>
          <w:sz w:val="24"/>
        </w:rPr>
        <w:instrText xml:space="preserve">= 4 \* GB3</w:instrText>
      </w:r>
      <w:r>
        <w:rPr>
          <w:color w:val="000000"/>
          <w:sz w:val="24"/>
        </w:rPr>
        <w:fldChar w:fldCharType="separate"/>
      </w:r>
      <w:r>
        <w:rPr>
          <w:rFonts w:hint="eastAsia" w:ascii="宋体" w:hAnsi="宋体" w:cs="宋体"/>
          <w:color w:val="000000"/>
          <w:sz w:val="24"/>
        </w:rPr>
        <w:t>④</w:t>
      </w:r>
      <w:r>
        <w:rPr>
          <w:color w:val="000000"/>
          <w:sz w:val="24"/>
        </w:rPr>
        <w:fldChar w:fldCharType="end"/>
      </w:r>
      <w:r>
        <w:rPr>
          <w:color w:val="000000"/>
          <w:sz w:val="24"/>
        </w:rPr>
        <w:t>堆肥时间和堆肥产品质量，改良后的条垛堆肥使用专业的翻堆机定期翻堆，增大了物料的充氧量，使物料充分发酵，在一定程度上降低了堆肥时间，堆肥产品的质量也有一定提高。</w:t>
      </w:r>
    </w:p>
    <w:p>
      <w:pPr>
        <w:spacing w:line="520" w:lineRule="exact"/>
        <w:ind w:firstLine="480" w:firstLineChars="200"/>
        <w:rPr>
          <w:color w:val="000000"/>
          <w:sz w:val="24"/>
        </w:rPr>
      </w:pPr>
      <w:r>
        <w:rPr>
          <w:color w:val="000000"/>
          <w:sz w:val="24"/>
        </w:rPr>
        <w:t>通过比较，改良后的条垛堆肥在投资成本、运行维护费用、操作难度等方面具有明显的优势</w:t>
      </w:r>
      <w:r>
        <w:rPr>
          <w:color w:val="000000"/>
          <w:kern w:val="0"/>
          <w:sz w:val="24"/>
        </w:rPr>
        <w:t>，因此，</w:t>
      </w:r>
      <w:r>
        <w:rPr>
          <w:color w:val="000000"/>
          <w:sz w:val="24"/>
        </w:rPr>
        <w:t>结合本项目具体情况，</w:t>
      </w:r>
      <w:r>
        <w:rPr>
          <w:color w:val="000000"/>
          <w:kern w:val="0"/>
          <w:sz w:val="24"/>
        </w:rPr>
        <w:t>本项目采用改良后的条垛堆肥方式，</w:t>
      </w:r>
      <w:r>
        <w:rPr>
          <w:color w:val="000000"/>
          <w:sz w:val="24"/>
        </w:rPr>
        <w:t>具体工艺见工程分析。</w:t>
      </w:r>
    </w:p>
    <w:p>
      <w:pPr>
        <w:spacing w:line="520" w:lineRule="exact"/>
        <w:ind w:firstLine="480" w:firstLineChars="200"/>
        <w:rPr>
          <w:color w:val="000000"/>
          <w:sz w:val="24"/>
        </w:rPr>
      </w:pPr>
      <w:r>
        <w:rPr>
          <w:color w:val="000000"/>
          <w:sz w:val="24"/>
        </w:rPr>
        <w:t>堆肥的过程分为4个阶段：前处理、升温期、高温期、后熟期。堆肥进入高温期后，翻堆是控制发酵进程的重要因素。翻堆是堆肥过程中有效的供氧方式，同时有利于散发热量，本项目利用机械翻堆，每天一次，翻堆后加盖塑料薄膜，加盖塑料膜一方面有利于保温，一方面能够降低臭气的挥发速率。</w:t>
      </w:r>
    </w:p>
    <w:p>
      <w:pPr>
        <w:spacing w:line="500" w:lineRule="exact"/>
        <w:ind w:firstLine="480" w:firstLineChars="200"/>
        <w:rPr>
          <w:color w:val="000000"/>
          <w:sz w:val="24"/>
        </w:rPr>
      </w:pPr>
      <w:r>
        <w:rPr>
          <w:color w:val="000000"/>
          <w:sz w:val="24"/>
        </w:rPr>
        <w:t>经采取上述措施，固体废物均得到合理处置，不会对环境造成二次污染，措施可行。</w:t>
      </w:r>
    </w:p>
    <w:p>
      <w:pPr>
        <w:topLinePunct/>
        <w:adjustRightInd w:val="0"/>
        <w:snapToGrid w:val="0"/>
        <w:spacing w:line="600" w:lineRule="exact"/>
        <w:outlineLvl w:val="2"/>
        <w:rPr>
          <w:b/>
          <w:bCs/>
          <w:color w:val="000000"/>
          <w:sz w:val="24"/>
        </w:rPr>
      </w:pPr>
      <w:r>
        <w:rPr>
          <w:b/>
          <w:bCs/>
          <w:color w:val="000000"/>
          <w:sz w:val="24"/>
        </w:rPr>
        <w:t>5.2.6 养殖场防疫措施</w:t>
      </w:r>
    </w:p>
    <w:p>
      <w:pPr>
        <w:adjustRightInd w:val="0"/>
        <w:snapToGrid w:val="0"/>
        <w:spacing w:line="520" w:lineRule="exact"/>
        <w:ind w:firstLine="573"/>
        <w:rPr>
          <w:color w:val="000000"/>
          <w:sz w:val="24"/>
        </w:rPr>
      </w:pPr>
      <w:r>
        <w:rPr>
          <w:color w:val="000000"/>
          <w:sz w:val="24"/>
        </w:rPr>
        <w:t>畜禽传染病是畜牧业的大敌，它制约了畜牧业的发展，还有一些人畜共患病和寄生虫病（如狂犬病、炭疽、结核、布氏杆菌病、猪囊尾蚴病、旋毛虫病），会给人们健康带来威胁，因此控制疫病对于畜牧业生产和保护人民健康都具有重要的意义。国家颁布了《动物防疫法》、《家畜家禽防疫条例》等法律法规，规定了“预防为主”的畜禽防疫方针。</w:t>
      </w:r>
    </w:p>
    <w:p>
      <w:pPr>
        <w:adjustRightInd w:val="0"/>
        <w:snapToGrid w:val="0"/>
        <w:spacing w:line="520" w:lineRule="exact"/>
        <w:ind w:firstLine="573"/>
        <w:rPr>
          <w:color w:val="000000"/>
          <w:sz w:val="24"/>
        </w:rPr>
      </w:pPr>
      <w:r>
        <w:rPr>
          <w:color w:val="000000"/>
          <w:sz w:val="24"/>
        </w:rPr>
        <w:t>（1）畜禽传染病及其传播途径</w:t>
      </w:r>
    </w:p>
    <w:p>
      <w:pPr>
        <w:adjustRightInd w:val="0"/>
        <w:snapToGrid w:val="0"/>
        <w:spacing w:line="520" w:lineRule="exact"/>
        <w:ind w:firstLine="573"/>
        <w:rPr>
          <w:color w:val="000000"/>
          <w:sz w:val="24"/>
        </w:rPr>
      </w:pPr>
      <w:r>
        <w:rPr>
          <w:color w:val="000000"/>
          <w:sz w:val="24"/>
        </w:rPr>
        <w:t>引起动物传染病的病原体主要是细菌、病毒和寄生虫。病原体在患病动物体内生长繁殖，并不断向体外排除病原体，通过多种途径传给更多的易感动物，使疾病流行起来。传染源、传播途径和易感动物是传染病发生的三个基本条件，三者缺一传染病都不会发生。</w:t>
      </w:r>
    </w:p>
    <w:p>
      <w:pPr>
        <w:adjustRightInd w:val="0"/>
        <w:snapToGrid w:val="0"/>
        <w:spacing w:line="520" w:lineRule="exact"/>
        <w:ind w:firstLine="573"/>
        <w:rPr>
          <w:color w:val="000000"/>
          <w:sz w:val="24"/>
        </w:rPr>
      </w:pPr>
      <w:r>
        <w:rPr>
          <w:color w:val="000000"/>
          <w:sz w:val="24"/>
        </w:rPr>
        <w:t>传播途径分为直接接触传染和间接传染。直接接触传染包括交配和啃咬等方式，最为典型的例子就是狂犬病。间接传染通过饲料饲草、饮水、空气、土壤、中间宿主、饲养管理用具、昆虫、鼠类、畜禽及其他野生动物粪便等方式。</w:t>
      </w:r>
    </w:p>
    <w:p>
      <w:pPr>
        <w:adjustRightInd w:val="0"/>
        <w:snapToGrid w:val="0"/>
        <w:spacing w:line="520" w:lineRule="exact"/>
        <w:ind w:firstLine="573"/>
        <w:rPr>
          <w:color w:val="000000"/>
          <w:sz w:val="24"/>
        </w:rPr>
      </w:pPr>
      <w:r>
        <w:rPr>
          <w:color w:val="000000"/>
          <w:sz w:val="24"/>
        </w:rPr>
        <w:t>病畜病禽排出的粪尿和尸体中含有病原菌会造成水污染引起传染病的传播和流行，不仅危害畜禽本身也危及人类。猪丹毒、副伤寒、马鼻疽、布鲁氏菌病、炭疽病、钩端螺旋体病和土拉菌病都是水传疾病，口蹄疫、鸡新城病也可以经胃肠道传播。</w:t>
      </w:r>
    </w:p>
    <w:p>
      <w:pPr>
        <w:adjustRightInd w:val="0"/>
        <w:snapToGrid w:val="0"/>
        <w:spacing w:line="520" w:lineRule="exact"/>
        <w:ind w:firstLine="573"/>
        <w:rPr>
          <w:color w:val="000000"/>
          <w:sz w:val="24"/>
        </w:rPr>
      </w:pPr>
      <w:r>
        <w:rPr>
          <w:color w:val="000000"/>
          <w:sz w:val="24"/>
        </w:rPr>
        <w:t>（2）防疫卫生措施</w:t>
      </w:r>
    </w:p>
    <w:p>
      <w:pPr>
        <w:adjustRightInd w:val="0"/>
        <w:snapToGrid w:val="0"/>
        <w:spacing w:line="520" w:lineRule="exact"/>
        <w:ind w:firstLine="573"/>
        <w:rPr>
          <w:color w:val="000000"/>
          <w:sz w:val="24"/>
        </w:rPr>
      </w:pPr>
      <w:r>
        <w:rPr>
          <w:color w:val="000000"/>
          <w:sz w:val="24"/>
        </w:rPr>
        <w:t>结合项目特点，评价要求采取如下措施以加强养殖区的环境管理和疾病传播的预防措施：</w:t>
      </w:r>
    </w:p>
    <w:p>
      <w:pPr>
        <w:adjustRightInd w:val="0"/>
        <w:snapToGrid w:val="0"/>
        <w:spacing w:line="520" w:lineRule="exact"/>
        <w:ind w:firstLine="480" w:firstLineChars="200"/>
        <w:rPr>
          <w:color w:val="000000"/>
          <w:sz w:val="24"/>
        </w:rPr>
      </w:pPr>
      <w:r>
        <w:rPr>
          <w:color w:val="000000"/>
          <w:sz w:val="24"/>
        </w:rPr>
        <w:fldChar w:fldCharType="begin"/>
      </w:r>
      <w:r>
        <w:rPr>
          <w:color w:val="000000"/>
          <w:sz w:val="24"/>
        </w:rPr>
        <w:instrText xml:space="preserve"> = 1 \* GB3 </w:instrText>
      </w:r>
      <w:r>
        <w:rPr>
          <w:color w:val="000000"/>
          <w:sz w:val="24"/>
        </w:rPr>
        <w:fldChar w:fldCharType="separate"/>
      </w:r>
      <w:r>
        <w:rPr>
          <w:rFonts w:hint="eastAsia" w:ascii="宋体" w:hAnsi="宋体" w:cs="宋体"/>
          <w:color w:val="000000"/>
          <w:sz w:val="24"/>
        </w:rPr>
        <w:t>①</w:t>
      </w:r>
      <w:r>
        <w:rPr>
          <w:color w:val="000000"/>
          <w:sz w:val="24"/>
        </w:rPr>
        <w:fldChar w:fldCharType="end"/>
      </w:r>
      <w:r>
        <w:rPr>
          <w:color w:val="000000"/>
          <w:sz w:val="24"/>
        </w:rPr>
        <w:t>严格“三区分离”制度，将办公区、养殖区和粪污处理处置区分离开来，防止交叉污染。</w:t>
      </w:r>
    </w:p>
    <w:p>
      <w:pPr>
        <w:adjustRightInd w:val="0"/>
        <w:snapToGrid w:val="0"/>
        <w:spacing w:line="520" w:lineRule="exact"/>
        <w:ind w:firstLine="480" w:firstLineChars="200"/>
        <w:rPr>
          <w:color w:val="000000"/>
          <w:sz w:val="24"/>
        </w:rPr>
      </w:pPr>
      <w:r>
        <w:rPr>
          <w:color w:val="000000"/>
          <w:sz w:val="24"/>
        </w:rPr>
        <w:fldChar w:fldCharType="begin"/>
      </w:r>
      <w:r>
        <w:rPr>
          <w:color w:val="000000"/>
          <w:sz w:val="24"/>
        </w:rPr>
        <w:instrText xml:space="preserve"> = 2 \* GB3 </w:instrText>
      </w:r>
      <w:r>
        <w:rPr>
          <w:color w:val="000000"/>
          <w:sz w:val="24"/>
        </w:rPr>
        <w:fldChar w:fldCharType="separate"/>
      </w:r>
      <w:r>
        <w:rPr>
          <w:rFonts w:hint="eastAsia" w:ascii="宋体" w:hAnsi="宋体" w:cs="宋体"/>
          <w:color w:val="000000"/>
          <w:sz w:val="24"/>
        </w:rPr>
        <w:t>②</w:t>
      </w:r>
      <w:r>
        <w:rPr>
          <w:color w:val="000000"/>
          <w:sz w:val="24"/>
        </w:rPr>
        <w:fldChar w:fldCharType="end"/>
      </w:r>
      <w:r>
        <w:rPr>
          <w:color w:val="000000"/>
          <w:sz w:val="24"/>
        </w:rPr>
        <w:t>仔猪出场设置专门出猪台，避免购猪人员和车辆进入养殖区。养殖区设置净道和脏道，并能够保证物流畅通，净道主要运输饲料和由饲养员和兽医等通行；脏道主要作为粪污运输通道，为避免交叉污染，粪污通过必须避开养殖区进入粪污区，即在养殖区外设置专门通道用于粪污输送。</w:t>
      </w:r>
    </w:p>
    <w:p>
      <w:pPr>
        <w:adjustRightInd w:val="0"/>
        <w:snapToGrid w:val="0"/>
        <w:spacing w:line="500" w:lineRule="exact"/>
        <w:ind w:firstLine="480" w:firstLineChars="200"/>
        <w:rPr>
          <w:color w:val="000000"/>
          <w:sz w:val="24"/>
        </w:rPr>
      </w:pPr>
      <w:r>
        <w:rPr>
          <w:color w:val="000000"/>
          <w:sz w:val="24"/>
        </w:rPr>
        <w:fldChar w:fldCharType="begin"/>
      </w:r>
      <w:r>
        <w:rPr>
          <w:color w:val="000000"/>
          <w:sz w:val="24"/>
        </w:rPr>
        <w:instrText xml:space="preserve"> = 3 \* GB3 </w:instrText>
      </w:r>
      <w:r>
        <w:rPr>
          <w:color w:val="000000"/>
          <w:sz w:val="24"/>
        </w:rPr>
        <w:fldChar w:fldCharType="separate"/>
      </w:r>
      <w:r>
        <w:rPr>
          <w:rFonts w:hint="eastAsia" w:ascii="宋体" w:hAnsi="宋体" w:cs="宋体"/>
          <w:color w:val="000000"/>
          <w:sz w:val="24"/>
        </w:rPr>
        <w:t>③</w:t>
      </w:r>
      <w:r>
        <w:rPr>
          <w:color w:val="000000"/>
          <w:sz w:val="24"/>
        </w:rPr>
        <w:fldChar w:fldCharType="end"/>
      </w:r>
      <w:r>
        <w:rPr>
          <w:color w:val="000000"/>
          <w:sz w:val="24"/>
        </w:rPr>
        <w:t>进入养殖区各出入口必须设置消毒池，出入车辆必须经消毒池进行消毒处理，消毒池应设置门楼和防水堰，防止雨水大量进入导致消毒液外溢污染；主场区门口设置紫外线消毒室，入区人员包括饲养员、兽医、管理员及一切外来人员必须经消毒室进行消毒处理，消毒时间不小于5分钟。在养殖区设置饲养员休息室，尽量避免饲养员经常出入养殖区，减降病菌交叉污染的几率。</w:t>
      </w:r>
    </w:p>
    <w:p>
      <w:pPr>
        <w:adjustRightInd w:val="0"/>
        <w:snapToGrid w:val="0"/>
        <w:spacing w:line="520" w:lineRule="exact"/>
        <w:ind w:firstLine="480" w:firstLineChars="200"/>
        <w:rPr>
          <w:color w:val="000000"/>
          <w:sz w:val="24"/>
        </w:rPr>
      </w:pPr>
      <w:r>
        <w:rPr>
          <w:color w:val="000000"/>
          <w:sz w:val="24"/>
        </w:rPr>
        <w:fldChar w:fldCharType="begin"/>
      </w:r>
      <w:r>
        <w:rPr>
          <w:color w:val="000000"/>
          <w:sz w:val="24"/>
        </w:rPr>
        <w:instrText xml:space="preserve"> = 4 \* GB3 </w:instrText>
      </w:r>
      <w:r>
        <w:rPr>
          <w:color w:val="000000"/>
          <w:sz w:val="24"/>
        </w:rPr>
        <w:fldChar w:fldCharType="separate"/>
      </w:r>
      <w:r>
        <w:rPr>
          <w:rFonts w:hint="eastAsia" w:ascii="宋体" w:hAnsi="宋体" w:cs="宋体"/>
          <w:color w:val="000000"/>
          <w:sz w:val="24"/>
        </w:rPr>
        <w:t>④</w:t>
      </w:r>
      <w:r>
        <w:rPr>
          <w:color w:val="000000"/>
          <w:sz w:val="24"/>
        </w:rPr>
        <w:fldChar w:fldCharType="end"/>
      </w:r>
      <w:r>
        <w:rPr>
          <w:color w:val="000000"/>
          <w:sz w:val="24"/>
        </w:rPr>
        <w:t>设置专门兽医和外事专干，外事专干员应能够保证与农、畜、环保等部门的经常沟通与交流；兽医室应配备专门防疫设备和通信装置，以保证兽医能够及时掌握养殖行业疾病防治和传播最新信息，做到防患于未然。</w:t>
      </w:r>
    </w:p>
    <w:p>
      <w:pPr>
        <w:adjustRightInd w:val="0"/>
        <w:snapToGrid w:val="0"/>
        <w:spacing w:line="520" w:lineRule="exact"/>
        <w:ind w:firstLine="480" w:firstLineChars="200"/>
        <w:rPr>
          <w:color w:val="000000"/>
          <w:sz w:val="24"/>
        </w:rPr>
      </w:pPr>
      <w:r>
        <w:rPr>
          <w:color w:val="000000"/>
          <w:sz w:val="24"/>
        </w:rPr>
        <w:fldChar w:fldCharType="begin"/>
      </w:r>
      <w:r>
        <w:rPr>
          <w:color w:val="000000"/>
          <w:sz w:val="24"/>
        </w:rPr>
        <w:instrText xml:space="preserve"> = 5 \* GB3 </w:instrText>
      </w:r>
      <w:r>
        <w:rPr>
          <w:color w:val="000000"/>
          <w:sz w:val="24"/>
        </w:rPr>
        <w:fldChar w:fldCharType="separate"/>
      </w:r>
      <w:r>
        <w:rPr>
          <w:rFonts w:hint="eastAsia" w:ascii="宋体" w:hAnsi="宋体" w:cs="宋体"/>
          <w:color w:val="000000"/>
          <w:sz w:val="24"/>
        </w:rPr>
        <w:t>⑤</w:t>
      </w:r>
      <w:r>
        <w:rPr>
          <w:color w:val="000000"/>
          <w:sz w:val="24"/>
        </w:rPr>
        <w:fldChar w:fldCharType="end"/>
      </w:r>
      <w:r>
        <w:rPr>
          <w:color w:val="000000"/>
          <w:sz w:val="24"/>
        </w:rPr>
        <w:t>《畜禽养殖业污染防治技术规范》（HJ/T81-2001）规定，养殖场场区、畜禽舍、器械等消毒应采用环境友好的消毒剂和消毒措施（包括紫外线、臭氧、双氧水等方法），防止产生氯代有机物及其它的二次污染物。</w:t>
      </w:r>
    </w:p>
    <w:p>
      <w:pPr>
        <w:adjustRightInd w:val="0"/>
        <w:snapToGrid w:val="0"/>
        <w:spacing w:line="520" w:lineRule="exact"/>
        <w:ind w:firstLine="480" w:firstLineChars="200"/>
        <w:rPr>
          <w:color w:val="000000"/>
        </w:rPr>
      </w:pPr>
      <w:r>
        <w:rPr>
          <w:color w:val="000000"/>
          <w:sz w:val="24"/>
        </w:rPr>
        <w:t>企业经严格的畜禽规范化管理措施后，其疾病控制能力将大大提高，因此，评价认为，其出现重大疾病传播的可能性很小</w:t>
      </w:r>
      <w:r>
        <w:rPr>
          <w:color w:val="000000"/>
        </w:rPr>
        <w:t>。</w:t>
      </w:r>
    </w:p>
    <w:p>
      <w:pPr>
        <w:topLinePunct/>
        <w:adjustRightInd w:val="0"/>
        <w:snapToGrid w:val="0"/>
        <w:spacing w:line="600" w:lineRule="exact"/>
        <w:outlineLvl w:val="2"/>
        <w:rPr>
          <w:b/>
          <w:bCs/>
          <w:color w:val="000000"/>
          <w:sz w:val="24"/>
        </w:rPr>
      </w:pPr>
      <w:r>
        <w:rPr>
          <w:b/>
          <w:bCs/>
          <w:color w:val="000000"/>
          <w:sz w:val="24"/>
        </w:rPr>
        <w:t>5.2.7绿化</w:t>
      </w:r>
      <w:r>
        <w:rPr>
          <w:b/>
          <w:bCs/>
          <w:color w:val="000000"/>
          <w:sz w:val="24"/>
        </w:rPr>
        <w:tab/>
      </w:r>
    </w:p>
    <w:p>
      <w:pPr>
        <w:adjustRightInd w:val="0"/>
        <w:snapToGrid w:val="0"/>
        <w:spacing w:line="520" w:lineRule="exact"/>
        <w:rPr>
          <w:bCs/>
          <w:color w:val="000000"/>
          <w:sz w:val="24"/>
        </w:rPr>
      </w:pPr>
      <w:r>
        <w:rPr>
          <w:bCs/>
          <w:color w:val="000000"/>
          <w:sz w:val="24"/>
        </w:rPr>
        <w:t>5.2.7.1原则要求</w:t>
      </w:r>
    </w:p>
    <w:p>
      <w:pPr>
        <w:spacing w:line="520" w:lineRule="exact"/>
        <w:ind w:firstLine="480" w:firstLineChars="200"/>
        <w:rPr>
          <w:color w:val="000000"/>
          <w:sz w:val="24"/>
        </w:rPr>
      </w:pPr>
      <w:r>
        <w:rPr>
          <w:color w:val="000000"/>
          <w:sz w:val="24"/>
        </w:rPr>
        <w:t>（1）在规划设计前要对猪场的自然条件、生产性质、规模、污染状况等进行充分的调查。要从保护环境的观点出发，合理规划。合理地设置猪场饲养猪的类型、头数，从而优化猪场本身的生态条件。</w:t>
      </w:r>
    </w:p>
    <w:p>
      <w:pPr>
        <w:spacing w:line="520" w:lineRule="exact"/>
        <w:ind w:firstLine="480" w:firstLineChars="200"/>
        <w:rPr>
          <w:color w:val="000000"/>
          <w:sz w:val="24"/>
        </w:rPr>
      </w:pPr>
      <w:r>
        <w:rPr>
          <w:color w:val="000000"/>
          <w:sz w:val="24"/>
        </w:rPr>
        <w:t>（2）猪场的绿化规划是总体规划的有机组成部分，要在猪场建设总规划的同时进行绿化规划。要本着统一安排、统一布局的原则进行，规划时既要有长远考虑，又要有近期安排，要与全场的建设协调一致。</w:t>
      </w:r>
    </w:p>
    <w:p>
      <w:pPr>
        <w:spacing w:line="520" w:lineRule="exact"/>
        <w:ind w:firstLine="480" w:firstLineChars="200"/>
        <w:rPr>
          <w:color w:val="000000"/>
          <w:sz w:val="24"/>
        </w:rPr>
      </w:pPr>
      <w:r>
        <w:rPr>
          <w:color w:val="000000"/>
          <w:sz w:val="24"/>
        </w:rPr>
        <w:t>（3）绿化规划设计布局要合理，以保证安全生产。绿化时不能影响地下、地上管线和车间生产的采光。</w:t>
      </w:r>
    </w:p>
    <w:p>
      <w:pPr>
        <w:spacing w:line="520" w:lineRule="exact"/>
        <w:ind w:firstLine="480" w:firstLineChars="200"/>
        <w:rPr>
          <w:color w:val="000000"/>
          <w:sz w:val="24"/>
        </w:rPr>
      </w:pPr>
      <w:r>
        <w:rPr>
          <w:color w:val="000000"/>
          <w:sz w:val="24"/>
        </w:rPr>
        <w:t>（4）在进行绿化苗木选择时要考虑各功能区特点、地形、土质特点、环境污染等情况。为了达到良好的绿化美化效果，树种的选择，除考虑其满足绿化设计功能、易生长、抗病害等因素外，还要考虑其具有较强的抗污染和净化空气的功能。在满足各项功能要求的前提下，还可适当结合猪场生产，种植一些经济植物，以充分合理地利用土地，提高整场的经济效益。</w:t>
      </w:r>
    </w:p>
    <w:p>
      <w:pPr>
        <w:adjustRightInd w:val="0"/>
        <w:snapToGrid w:val="0"/>
        <w:spacing w:line="520" w:lineRule="exact"/>
        <w:rPr>
          <w:bCs/>
          <w:color w:val="000000"/>
          <w:sz w:val="24"/>
        </w:rPr>
      </w:pPr>
      <w:r>
        <w:rPr>
          <w:bCs/>
          <w:color w:val="000000"/>
          <w:sz w:val="24"/>
        </w:rPr>
        <w:t>5.2.7.2绿化措施</w:t>
      </w:r>
    </w:p>
    <w:p>
      <w:pPr>
        <w:spacing w:line="520" w:lineRule="exact"/>
        <w:ind w:firstLine="480" w:firstLineChars="200"/>
        <w:rPr>
          <w:color w:val="000000"/>
          <w:sz w:val="24"/>
        </w:rPr>
      </w:pPr>
      <w:r>
        <w:rPr>
          <w:color w:val="000000"/>
          <w:sz w:val="24"/>
        </w:rPr>
        <w:t>（1）场区林带的规划：在场界周边种植乔木、灌木混合林带或规划种植水果类植物带。乔木类的有大叶杨、钻天杨、白杨、柳树、洋槐、国槐、泡桐、榆树及常绿针叶树等。</w:t>
      </w:r>
    </w:p>
    <w:p>
      <w:pPr>
        <w:spacing w:line="520" w:lineRule="exact"/>
        <w:ind w:firstLine="480" w:firstLineChars="200"/>
        <w:rPr>
          <w:color w:val="000000"/>
          <w:sz w:val="24"/>
        </w:rPr>
      </w:pPr>
      <w:r>
        <w:rPr>
          <w:color w:val="000000"/>
          <w:sz w:val="24"/>
        </w:rPr>
        <w:t>（2）场区隔离带的设计：场内各区，如养殖区、生活区及行政管理区的四周，都应设置隔离林带，采用绿篱植物小叶杨树、松树、榆树、丁香、榆叶等，或以栽种刺笆为主。刺笆可选陈刺、黄刺梅、红玫瑰、野蔷薇、花椒等，以起到防疫、隔离、安全等作用。</w:t>
      </w:r>
    </w:p>
    <w:p>
      <w:pPr>
        <w:spacing w:line="520" w:lineRule="exact"/>
        <w:ind w:firstLine="480" w:firstLineChars="200"/>
        <w:rPr>
          <w:color w:val="000000"/>
          <w:sz w:val="24"/>
        </w:rPr>
      </w:pPr>
      <w:r>
        <w:rPr>
          <w:color w:val="000000"/>
          <w:sz w:val="24"/>
        </w:rPr>
        <w:t>（3）场区道路绿化：宜采用乔木为主，乔、灌木搭配种植。如选种塔柏、冬青、侧柏等四季常青树种，并配置小叶女贞组成绿化带。</w:t>
      </w:r>
    </w:p>
    <w:p>
      <w:pPr>
        <w:spacing w:line="520" w:lineRule="exact"/>
        <w:ind w:firstLine="480" w:firstLineChars="200"/>
        <w:rPr>
          <w:color w:val="000000"/>
          <w:sz w:val="24"/>
        </w:rPr>
      </w:pPr>
      <w:r>
        <w:rPr>
          <w:color w:val="000000"/>
          <w:sz w:val="24"/>
        </w:rPr>
        <w:t>（4）对于养殖区内的猪舍，不宜在其四周密植成片的树林，而应多种植低矮的花卉或草坪，以利于通风，便于有害气体扩散。</w:t>
      </w:r>
    </w:p>
    <w:p>
      <w:pPr>
        <w:spacing w:line="520" w:lineRule="exact"/>
        <w:ind w:firstLine="480" w:firstLineChars="200"/>
        <w:rPr>
          <w:rFonts w:hint="eastAsia" w:eastAsia="宋体"/>
          <w:color w:val="000000"/>
          <w:sz w:val="24"/>
          <w:lang w:val="en-US" w:eastAsia="zh-CN"/>
        </w:rPr>
      </w:pPr>
      <w:r>
        <w:rPr>
          <w:color w:val="000000"/>
          <w:sz w:val="24"/>
        </w:rPr>
        <w:t>（5）行政管理区和生活区：该区是与外界社会接触和员工生活休息的主要区域。该区的环境绿化可以适当进行园林式的规划，提升企业的形象和优美员工的生活环境。为了丰富色彩，宜种植容易繁殖、栽培和管理的花卉灌木为主。</w:t>
      </w:r>
      <w:r>
        <w:rPr>
          <w:rFonts w:hint="eastAsia"/>
          <w:color w:val="000000"/>
          <w:sz w:val="24"/>
          <w:lang w:val="en-US" w:eastAsia="zh-CN"/>
        </w:rPr>
        <w:t xml:space="preserve"> </w:t>
      </w:r>
    </w:p>
    <w:p>
      <w:pPr>
        <w:pStyle w:val="4"/>
        <w:spacing w:before="156" w:after="156"/>
        <w:rPr>
          <w:rFonts w:hAnsi="Times New Roman"/>
          <w:color w:val="000000"/>
        </w:rPr>
      </w:pPr>
      <w:bookmarkStart w:id="286" w:name="_Toc3019540"/>
      <w:bookmarkStart w:id="287" w:name="_Toc488572574"/>
      <w:r>
        <w:rPr>
          <w:rFonts w:hAnsi="Times New Roman"/>
          <w:color w:val="000000"/>
        </w:rPr>
        <w:t>5.3 污染防治环保投资估算</w:t>
      </w:r>
      <w:bookmarkEnd w:id="286"/>
      <w:bookmarkEnd w:id="287"/>
    </w:p>
    <w:p>
      <w:pPr>
        <w:topLinePunct/>
        <w:adjustRightInd w:val="0"/>
        <w:snapToGrid w:val="0"/>
        <w:spacing w:line="520" w:lineRule="exact"/>
        <w:ind w:firstLine="480" w:firstLineChars="200"/>
        <w:rPr>
          <w:b/>
          <w:bCs/>
          <w:color w:val="000000"/>
          <w:kern w:val="0"/>
          <w:sz w:val="24"/>
          <w:u w:val="single"/>
        </w:rPr>
      </w:pPr>
      <w:r>
        <w:rPr>
          <w:b/>
          <w:bCs/>
          <w:color w:val="000000"/>
          <w:kern w:val="0"/>
          <w:sz w:val="24"/>
          <w:u w:val="single"/>
        </w:rPr>
        <w:t>项目污染防治措施投资包括运行期的污染防治措施的总投资，预计该项费用总投资为</w:t>
      </w:r>
      <w:r>
        <w:rPr>
          <w:rFonts w:hint="eastAsia"/>
          <w:b/>
          <w:bCs/>
          <w:color w:val="000000"/>
          <w:kern w:val="0"/>
          <w:sz w:val="24"/>
          <w:u w:val="single"/>
        </w:rPr>
        <w:t>654</w:t>
      </w:r>
      <w:r>
        <w:rPr>
          <w:b/>
          <w:bCs/>
          <w:color w:val="000000"/>
          <w:kern w:val="0"/>
          <w:sz w:val="24"/>
          <w:u w:val="single"/>
        </w:rPr>
        <w:t>万元，占总投资12000万元的比例为5.</w:t>
      </w:r>
      <w:r>
        <w:rPr>
          <w:rFonts w:hint="eastAsia"/>
          <w:b/>
          <w:bCs/>
          <w:color w:val="000000"/>
          <w:kern w:val="0"/>
          <w:sz w:val="24"/>
          <w:u w:val="single"/>
        </w:rPr>
        <w:t>45</w:t>
      </w:r>
      <w:r>
        <w:rPr>
          <w:b/>
          <w:bCs/>
          <w:color w:val="000000"/>
          <w:kern w:val="0"/>
          <w:sz w:val="24"/>
          <w:u w:val="single"/>
        </w:rPr>
        <w:t>％。具体见表5-18。</w:t>
      </w:r>
    </w:p>
    <w:p>
      <w:pPr>
        <w:topLinePunct/>
        <w:spacing w:beforeLines="50" w:afterLines="50"/>
        <w:ind w:firstLine="420" w:firstLineChars="200"/>
        <w:jc w:val="center"/>
        <w:rPr>
          <w:b/>
          <w:bCs/>
          <w:color w:val="000000"/>
          <w:szCs w:val="21"/>
          <w:u w:val="single"/>
        </w:rPr>
      </w:pPr>
      <w:r>
        <w:rPr>
          <w:b/>
          <w:bCs/>
          <w:color w:val="000000"/>
          <w:szCs w:val="21"/>
          <w:u w:val="single"/>
        </w:rPr>
        <w:t>表5-18     工程污染防治环保投资估算表</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9"/>
        <w:gridCol w:w="1260"/>
        <w:gridCol w:w="959"/>
        <w:gridCol w:w="4740"/>
        <w:gridCol w:w="12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99" w:type="dxa"/>
            <w:vAlign w:val="center"/>
          </w:tcPr>
          <w:p>
            <w:pPr>
              <w:jc w:val="center"/>
              <w:rPr>
                <w:b/>
                <w:bCs/>
                <w:szCs w:val="21"/>
                <w:u w:val="single"/>
              </w:rPr>
            </w:pPr>
            <w:r>
              <w:rPr>
                <w:b/>
                <w:bCs/>
                <w:szCs w:val="21"/>
                <w:u w:val="single"/>
              </w:rPr>
              <w:t>项目</w:t>
            </w:r>
          </w:p>
        </w:tc>
        <w:tc>
          <w:tcPr>
            <w:tcW w:w="2219" w:type="dxa"/>
            <w:gridSpan w:val="2"/>
            <w:vAlign w:val="center"/>
          </w:tcPr>
          <w:p>
            <w:pPr>
              <w:jc w:val="center"/>
              <w:rPr>
                <w:b/>
                <w:bCs/>
                <w:szCs w:val="21"/>
                <w:u w:val="single"/>
              </w:rPr>
            </w:pPr>
            <w:r>
              <w:rPr>
                <w:b/>
                <w:bCs/>
                <w:szCs w:val="21"/>
                <w:u w:val="single"/>
              </w:rPr>
              <w:t>类别</w:t>
            </w:r>
          </w:p>
        </w:tc>
        <w:tc>
          <w:tcPr>
            <w:tcW w:w="4740" w:type="dxa"/>
            <w:vAlign w:val="center"/>
          </w:tcPr>
          <w:p>
            <w:pPr>
              <w:jc w:val="center"/>
              <w:rPr>
                <w:b/>
                <w:bCs/>
                <w:szCs w:val="21"/>
                <w:u w:val="single"/>
              </w:rPr>
            </w:pPr>
            <w:r>
              <w:rPr>
                <w:b/>
                <w:bCs/>
                <w:szCs w:val="21"/>
                <w:u w:val="single"/>
              </w:rPr>
              <w:t>措施内容</w:t>
            </w:r>
          </w:p>
        </w:tc>
        <w:tc>
          <w:tcPr>
            <w:tcW w:w="1288" w:type="dxa"/>
            <w:vAlign w:val="center"/>
          </w:tcPr>
          <w:p>
            <w:pPr>
              <w:jc w:val="center"/>
              <w:rPr>
                <w:b/>
                <w:bCs/>
                <w:szCs w:val="21"/>
                <w:u w:val="single"/>
              </w:rPr>
            </w:pPr>
            <w:r>
              <w:rPr>
                <w:b/>
                <w:bCs/>
                <w:szCs w:val="21"/>
                <w:u w:val="single"/>
              </w:rPr>
              <w:t>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restart"/>
            <w:vAlign w:val="center"/>
          </w:tcPr>
          <w:p>
            <w:pPr>
              <w:jc w:val="center"/>
              <w:rPr>
                <w:b/>
                <w:bCs/>
                <w:szCs w:val="21"/>
                <w:u w:val="single"/>
              </w:rPr>
            </w:pPr>
            <w:r>
              <w:rPr>
                <w:b/>
                <w:bCs/>
                <w:szCs w:val="21"/>
                <w:u w:val="single"/>
              </w:rPr>
              <w:t>废水</w:t>
            </w:r>
          </w:p>
        </w:tc>
        <w:tc>
          <w:tcPr>
            <w:tcW w:w="2219" w:type="dxa"/>
            <w:gridSpan w:val="2"/>
            <w:vAlign w:val="center"/>
          </w:tcPr>
          <w:p>
            <w:pPr>
              <w:jc w:val="center"/>
              <w:rPr>
                <w:b/>
                <w:bCs/>
                <w:szCs w:val="21"/>
                <w:u w:val="single"/>
              </w:rPr>
            </w:pPr>
            <w:r>
              <w:rPr>
                <w:b/>
                <w:bCs/>
                <w:szCs w:val="21"/>
                <w:u w:val="single"/>
              </w:rPr>
              <w:t>生活污水</w:t>
            </w:r>
          </w:p>
        </w:tc>
        <w:tc>
          <w:tcPr>
            <w:tcW w:w="4740" w:type="dxa"/>
            <w:vMerge w:val="restart"/>
            <w:vAlign w:val="center"/>
          </w:tcPr>
          <w:p>
            <w:pPr>
              <w:jc w:val="center"/>
              <w:rPr>
                <w:b/>
                <w:bCs/>
                <w:szCs w:val="21"/>
                <w:u w:val="single"/>
              </w:rPr>
            </w:pPr>
            <w:r>
              <w:rPr>
                <w:b/>
                <w:bCs/>
                <w:szCs w:val="21"/>
                <w:u w:val="single"/>
              </w:rPr>
              <w:t>污水处理设施，工艺为“预处理+盖泻湖厌氧发酵”工艺；1套沼气干法脱硫装置；1座盖泻湖沼气池（容积为1</w:t>
            </w:r>
            <w:r>
              <w:rPr>
                <w:rFonts w:hint="eastAsia"/>
                <w:b/>
                <w:bCs/>
                <w:szCs w:val="21"/>
                <w:u w:val="single"/>
              </w:rPr>
              <w:t>0243</w:t>
            </w:r>
            <w:r>
              <w:rPr>
                <w:b/>
                <w:bCs/>
                <w:szCs w:val="21"/>
                <w:u w:val="single"/>
              </w:rPr>
              <w:t>m</w:t>
            </w:r>
            <w:r>
              <w:rPr>
                <w:b/>
                <w:bCs/>
                <w:szCs w:val="21"/>
                <w:u w:val="single"/>
                <w:vertAlign w:val="superscript"/>
              </w:rPr>
              <w:t>3</w:t>
            </w:r>
            <w:r>
              <w:rPr>
                <w:b/>
                <w:bCs/>
                <w:szCs w:val="21"/>
                <w:u w:val="single"/>
              </w:rPr>
              <w:t>）雨污分流；防渗、防雨、防溢的“三防”措施</w:t>
            </w:r>
          </w:p>
        </w:tc>
        <w:tc>
          <w:tcPr>
            <w:tcW w:w="1288" w:type="dxa"/>
            <w:vMerge w:val="restart"/>
            <w:vAlign w:val="center"/>
          </w:tcPr>
          <w:p>
            <w:pPr>
              <w:jc w:val="center"/>
              <w:rPr>
                <w:b/>
                <w:bCs/>
                <w:szCs w:val="21"/>
                <w:u w:val="single"/>
              </w:rPr>
            </w:pPr>
            <w:r>
              <w:rPr>
                <w:b/>
                <w:bCs/>
                <w:szCs w:val="21"/>
                <w:u w:val="single"/>
              </w:rPr>
              <w:t>2</w:t>
            </w:r>
            <w:r>
              <w:rPr>
                <w:rFonts w:hint="eastAsia"/>
                <w:b/>
                <w:bCs/>
                <w:szCs w:val="21"/>
                <w:u w:val="single"/>
              </w:rPr>
              <w:t>6</w:t>
            </w:r>
            <w:r>
              <w:rPr>
                <w:b/>
                <w:bCs/>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2219" w:type="dxa"/>
            <w:gridSpan w:val="2"/>
            <w:vAlign w:val="center"/>
          </w:tcPr>
          <w:p>
            <w:pPr>
              <w:jc w:val="center"/>
              <w:rPr>
                <w:b/>
                <w:bCs/>
                <w:szCs w:val="21"/>
                <w:u w:val="single"/>
              </w:rPr>
            </w:pPr>
            <w:r>
              <w:rPr>
                <w:b/>
                <w:bCs/>
                <w:szCs w:val="21"/>
                <w:u w:val="single"/>
              </w:rPr>
              <w:t>养殖废水</w:t>
            </w:r>
          </w:p>
        </w:tc>
        <w:tc>
          <w:tcPr>
            <w:tcW w:w="4740" w:type="dxa"/>
            <w:vMerge w:val="continue"/>
            <w:vAlign w:val="center"/>
          </w:tcPr>
          <w:p>
            <w:pPr>
              <w:jc w:val="center"/>
              <w:rPr>
                <w:b/>
                <w:bCs/>
                <w:szCs w:val="21"/>
                <w:u w:val="single"/>
              </w:rPr>
            </w:pPr>
          </w:p>
        </w:tc>
        <w:tc>
          <w:tcPr>
            <w:tcW w:w="1288" w:type="dxa"/>
            <w:vMerge w:val="continue"/>
            <w:vAlign w:val="center"/>
          </w:tcPr>
          <w:p>
            <w:pPr>
              <w:jc w:val="center"/>
              <w:rPr>
                <w:b/>
                <w:bCs/>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restart"/>
            <w:vAlign w:val="center"/>
          </w:tcPr>
          <w:p>
            <w:pPr>
              <w:jc w:val="center"/>
              <w:rPr>
                <w:b/>
                <w:bCs/>
                <w:szCs w:val="21"/>
                <w:u w:val="single"/>
              </w:rPr>
            </w:pPr>
            <w:r>
              <w:rPr>
                <w:b/>
                <w:bCs/>
                <w:szCs w:val="21"/>
                <w:u w:val="single"/>
              </w:rPr>
              <w:t>废气</w:t>
            </w:r>
          </w:p>
        </w:tc>
        <w:tc>
          <w:tcPr>
            <w:tcW w:w="2219" w:type="dxa"/>
            <w:gridSpan w:val="2"/>
            <w:vAlign w:val="center"/>
          </w:tcPr>
          <w:p>
            <w:pPr>
              <w:jc w:val="center"/>
              <w:rPr>
                <w:b/>
                <w:bCs/>
                <w:szCs w:val="21"/>
                <w:u w:val="single"/>
              </w:rPr>
            </w:pPr>
            <w:r>
              <w:rPr>
                <w:b/>
                <w:bCs/>
                <w:szCs w:val="21"/>
                <w:u w:val="single"/>
              </w:rPr>
              <w:t>猪舍臭气</w:t>
            </w:r>
          </w:p>
        </w:tc>
        <w:tc>
          <w:tcPr>
            <w:tcW w:w="4740" w:type="dxa"/>
            <w:vAlign w:val="center"/>
          </w:tcPr>
          <w:p>
            <w:pPr>
              <w:jc w:val="center"/>
              <w:rPr>
                <w:b/>
                <w:bCs/>
                <w:szCs w:val="21"/>
                <w:u w:val="single"/>
              </w:rPr>
            </w:pPr>
            <w:r>
              <w:rPr>
                <w:b/>
                <w:bCs/>
                <w:szCs w:val="21"/>
                <w:u w:val="single"/>
              </w:rPr>
              <w:t>控制饲养密度，采用节水型饮水器、全漏缝地板并及时清粪</w:t>
            </w:r>
          </w:p>
        </w:tc>
        <w:tc>
          <w:tcPr>
            <w:tcW w:w="1288" w:type="dxa"/>
            <w:vAlign w:val="center"/>
          </w:tcPr>
          <w:p>
            <w:pPr>
              <w:jc w:val="center"/>
              <w:rPr>
                <w:b/>
                <w:bCs/>
                <w:szCs w:val="21"/>
                <w:u w:val="single"/>
              </w:rPr>
            </w:pPr>
            <w:r>
              <w:rPr>
                <w:b/>
                <w:bCs/>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2219" w:type="dxa"/>
            <w:gridSpan w:val="2"/>
            <w:vAlign w:val="center"/>
          </w:tcPr>
          <w:p>
            <w:pPr>
              <w:jc w:val="center"/>
              <w:rPr>
                <w:b/>
                <w:bCs/>
                <w:szCs w:val="21"/>
                <w:u w:val="single"/>
              </w:rPr>
            </w:pPr>
            <w:r>
              <w:rPr>
                <w:b/>
                <w:bCs/>
                <w:szCs w:val="21"/>
                <w:u w:val="single"/>
              </w:rPr>
              <w:t>污水前处理工序</w:t>
            </w:r>
          </w:p>
        </w:tc>
        <w:tc>
          <w:tcPr>
            <w:tcW w:w="4740" w:type="dxa"/>
            <w:vAlign w:val="center"/>
          </w:tcPr>
          <w:p>
            <w:pPr>
              <w:jc w:val="center"/>
              <w:rPr>
                <w:b/>
                <w:bCs/>
                <w:szCs w:val="21"/>
                <w:u w:val="single"/>
              </w:rPr>
            </w:pPr>
            <w:r>
              <w:rPr>
                <w:b/>
                <w:bCs/>
                <w:szCs w:val="21"/>
                <w:u w:val="single"/>
              </w:rPr>
              <w:t>收集池喷洒除臭剂（除臭剂的喷扫操作方式为人工喷洒，对操作人员强化培训，喷洒频率为：污水处理系统运营前连续喷洒3天每天喷洒一次，之后每隔5天喷洒一次），周边绿化</w:t>
            </w:r>
          </w:p>
        </w:tc>
        <w:tc>
          <w:tcPr>
            <w:tcW w:w="1288" w:type="dxa"/>
            <w:vAlign w:val="center"/>
          </w:tcPr>
          <w:p>
            <w:pPr>
              <w:jc w:val="center"/>
              <w:rPr>
                <w:b/>
                <w:bCs/>
                <w:szCs w:val="21"/>
                <w:u w:val="single"/>
              </w:rPr>
            </w:pPr>
            <w:r>
              <w:rPr>
                <w:b/>
                <w:bCs/>
                <w:szCs w:val="21"/>
                <w:u w:val="singl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2219" w:type="dxa"/>
            <w:gridSpan w:val="2"/>
            <w:vAlign w:val="center"/>
          </w:tcPr>
          <w:p>
            <w:pPr>
              <w:jc w:val="center"/>
              <w:rPr>
                <w:b/>
                <w:bCs/>
                <w:szCs w:val="21"/>
                <w:u w:val="single"/>
              </w:rPr>
            </w:pPr>
            <w:r>
              <w:rPr>
                <w:b/>
                <w:bCs/>
                <w:szCs w:val="21"/>
                <w:u w:val="single"/>
              </w:rPr>
              <w:t>固粪处置区</w:t>
            </w:r>
          </w:p>
        </w:tc>
        <w:tc>
          <w:tcPr>
            <w:tcW w:w="4740" w:type="dxa"/>
            <w:vAlign w:val="center"/>
          </w:tcPr>
          <w:p>
            <w:pPr>
              <w:jc w:val="center"/>
              <w:rPr>
                <w:b/>
                <w:bCs/>
                <w:szCs w:val="21"/>
                <w:u w:val="single"/>
              </w:rPr>
            </w:pPr>
            <w:r>
              <w:rPr>
                <w:b/>
                <w:bCs/>
                <w:szCs w:val="21"/>
                <w:u w:val="single"/>
              </w:rPr>
              <w:t>顶部有棚，三面设置不低于1m高围挡，喷洒除臭剂，底部设置导流沟</w:t>
            </w:r>
          </w:p>
        </w:tc>
        <w:tc>
          <w:tcPr>
            <w:tcW w:w="1288" w:type="dxa"/>
            <w:vAlign w:val="center"/>
          </w:tcPr>
          <w:p>
            <w:pPr>
              <w:jc w:val="center"/>
              <w:rPr>
                <w:b/>
                <w:bCs/>
                <w:szCs w:val="21"/>
                <w:u w:val="single"/>
              </w:rPr>
            </w:pPr>
            <w:r>
              <w:rPr>
                <w:b/>
                <w:bCs/>
                <w:szCs w:val="21"/>
                <w:u w:val="singl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2219" w:type="dxa"/>
            <w:gridSpan w:val="2"/>
            <w:vAlign w:val="center"/>
          </w:tcPr>
          <w:p>
            <w:pPr>
              <w:jc w:val="center"/>
              <w:rPr>
                <w:b/>
                <w:bCs/>
                <w:szCs w:val="21"/>
                <w:u w:val="single"/>
              </w:rPr>
            </w:pPr>
            <w:r>
              <w:rPr>
                <w:b/>
                <w:bCs/>
                <w:szCs w:val="21"/>
                <w:u w:val="single"/>
              </w:rPr>
              <w:t>沼液储存池</w:t>
            </w:r>
          </w:p>
        </w:tc>
        <w:tc>
          <w:tcPr>
            <w:tcW w:w="4740" w:type="dxa"/>
            <w:vAlign w:val="center"/>
          </w:tcPr>
          <w:p>
            <w:pPr>
              <w:jc w:val="center"/>
              <w:rPr>
                <w:b/>
                <w:bCs/>
                <w:szCs w:val="21"/>
                <w:u w:val="single"/>
              </w:rPr>
            </w:pPr>
            <w:r>
              <w:rPr>
                <w:b/>
                <w:bCs/>
                <w:szCs w:val="21"/>
                <w:u w:val="single"/>
              </w:rPr>
              <w:t>四周喷洒除臭剂、四周设置绿化</w:t>
            </w:r>
          </w:p>
        </w:tc>
        <w:tc>
          <w:tcPr>
            <w:tcW w:w="1288" w:type="dxa"/>
            <w:vAlign w:val="center"/>
          </w:tcPr>
          <w:p>
            <w:pPr>
              <w:jc w:val="center"/>
              <w:rPr>
                <w:b/>
                <w:bCs/>
                <w:szCs w:val="21"/>
                <w:u w:val="single"/>
              </w:rPr>
            </w:pPr>
            <w:r>
              <w:rPr>
                <w:b/>
                <w:bCs/>
                <w:szCs w:val="21"/>
                <w:u w:val="single"/>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2219" w:type="dxa"/>
            <w:gridSpan w:val="2"/>
            <w:vAlign w:val="center"/>
          </w:tcPr>
          <w:p>
            <w:pPr>
              <w:jc w:val="center"/>
              <w:rPr>
                <w:b/>
                <w:bCs/>
                <w:szCs w:val="21"/>
                <w:u w:val="single"/>
              </w:rPr>
            </w:pPr>
            <w:r>
              <w:rPr>
                <w:b/>
                <w:bCs/>
                <w:color w:val="000000"/>
                <w:szCs w:val="21"/>
                <w:u w:val="single"/>
              </w:rPr>
              <w:t>无害化处理车间</w:t>
            </w:r>
          </w:p>
        </w:tc>
        <w:tc>
          <w:tcPr>
            <w:tcW w:w="4740" w:type="dxa"/>
            <w:vAlign w:val="center"/>
          </w:tcPr>
          <w:p>
            <w:pPr>
              <w:jc w:val="center"/>
              <w:rPr>
                <w:b/>
                <w:bCs/>
                <w:szCs w:val="21"/>
                <w:u w:val="single"/>
              </w:rPr>
            </w:pPr>
            <w:r>
              <w:rPr>
                <w:b/>
                <w:bCs/>
                <w:szCs w:val="21"/>
                <w:u w:val="single"/>
              </w:rPr>
              <w:t>四周设置绿化带</w:t>
            </w:r>
          </w:p>
        </w:tc>
        <w:tc>
          <w:tcPr>
            <w:tcW w:w="1288" w:type="dxa"/>
            <w:vAlign w:val="center"/>
          </w:tcPr>
          <w:p>
            <w:pPr>
              <w:jc w:val="center"/>
              <w:rPr>
                <w:b/>
                <w:bCs/>
                <w:szCs w:val="21"/>
                <w:u w:val="single"/>
              </w:rPr>
            </w:pPr>
            <w:r>
              <w:rPr>
                <w:b/>
                <w:bCs/>
                <w:szCs w:val="21"/>
                <w:u w:val="singl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2219" w:type="dxa"/>
            <w:gridSpan w:val="2"/>
            <w:vAlign w:val="center"/>
          </w:tcPr>
          <w:p>
            <w:pPr>
              <w:spacing w:line="300" w:lineRule="exact"/>
              <w:jc w:val="center"/>
              <w:rPr>
                <w:b/>
                <w:bCs/>
                <w:color w:val="000000"/>
                <w:szCs w:val="21"/>
                <w:u w:val="single"/>
              </w:rPr>
            </w:pPr>
            <w:r>
              <w:rPr>
                <w:b/>
                <w:bCs/>
                <w:color w:val="000000"/>
                <w:szCs w:val="21"/>
                <w:u w:val="single"/>
              </w:rPr>
              <w:t>沼气锅炉</w:t>
            </w:r>
          </w:p>
        </w:tc>
        <w:tc>
          <w:tcPr>
            <w:tcW w:w="4740" w:type="dxa"/>
            <w:vAlign w:val="center"/>
          </w:tcPr>
          <w:p>
            <w:pPr>
              <w:adjustRightInd w:val="0"/>
              <w:snapToGrid w:val="0"/>
              <w:spacing w:line="300" w:lineRule="exact"/>
              <w:jc w:val="center"/>
              <w:rPr>
                <w:b/>
                <w:bCs/>
                <w:color w:val="000000"/>
                <w:szCs w:val="21"/>
                <w:u w:val="single"/>
              </w:rPr>
            </w:pPr>
            <w:r>
              <w:rPr>
                <w:b/>
                <w:bCs/>
                <w:szCs w:val="21"/>
                <w:u w:val="single"/>
              </w:rPr>
              <w:t>高效低氮燃烧器+烟气二次燃烧技术+8m高排气筒排放</w:t>
            </w:r>
          </w:p>
        </w:tc>
        <w:tc>
          <w:tcPr>
            <w:tcW w:w="1288" w:type="dxa"/>
            <w:vAlign w:val="center"/>
          </w:tcPr>
          <w:p>
            <w:pPr>
              <w:jc w:val="center"/>
              <w:rPr>
                <w:b/>
                <w:bCs/>
                <w:color w:val="000000"/>
                <w:szCs w:val="21"/>
                <w:u w:val="single"/>
              </w:rPr>
            </w:pPr>
            <w:r>
              <w:rPr>
                <w:rFonts w:hint="eastAsia"/>
                <w:b/>
                <w:bCs/>
                <w:color w:val="000000"/>
                <w:szCs w:val="21"/>
                <w:u w:val="single"/>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2219" w:type="dxa"/>
            <w:gridSpan w:val="2"/>
            <w:vAlign w:val="center"/>
          </w:tcPr>
          <w:p>
            <w:pPr>
              <w:jc w:val="center"/>
              <w:rPr>
                <w:b/>
                <w:bCs/>
                <w:szCs w:val="21"/>
                <w:u w:val="single"/>
              </w:rPr>
            </w:pPr>
            <w:r>
              <w:rPr>
                <w:b/>
                <w:bCs/>
                <w:szCs w:val="21"/>
                <w:u w:val="single"/>
              </w:rPr>
              <w:t>食堂油烟</w:t>
            </w:r>
          </w:p>
        </w:tc>
        <w:tc>
          <w:tcPr>
            <w:tcW w:w="4740" w:type="dxa"/>
            <w:vAlign w:val="center"/>
          </w:tcPr>
          <w:p>
            <w:pPr>
              <w:jc w:val="center"/>
              <w:rPr>
                <w:b/>
                <w:bCs/>
                <w:szCs w:val="21"/>
                <w:u w:val="single"/>
              </w:rPr>
            </w:pPr>
            <w:r>
              <w:rPr>
                <w:b/>
                <w:bCs/>
                <w:kern w:val="0"/>
                <w:szCs w:val="21"/>
                <w:u w:val="single"/>
              </w:rPr>
              <w:t>安装净化效率不低于90%的油烟净化装置一套</w:t>
            </w:r>
          </w:p>
        </w:tc>
        <w:tc>
          <w:tcPr>
            <w:tcW w:w="1288" w:type="dxa"/>
            <w:vAlign w:val="center"/>
          </w:tcPr>
          <w:p>
            <w:pPr>
              <w:jc w:val="center"/>
              <w:rPr>
                <w:b/>
                <w:bCs/>
                <w:szCs w:val="21"/>
                <w:u w:val="single"/>
              </w:rPr>
            </w:pPr>
            <w:r>
              <w:rPr>
                <w:b/>
                <w:bCs/>
                <w:szCs w:val="21"/>
                <w:u w:val="singl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restart"/>
            <w:vAlign w:val="center"/>
          </w:tcPr>
          <w:p>
            <w:pPr>
              <w:jc w:val="center"/>
              <w:rPr>
                <w:b/>
                <w:bCs/>
                <w:szCs w:val="21"/>
                <w:u w:val="single"/>
              </w:rPr>
            </w:pPr>
            <w:r>
              <w:rPr>
                <w:b/>
                <w:bCs/>
                <w:szCs w:val="21"/>
                <w:u w:val="single"/>
              </w:rPr>
              <w:t>固废</w:t>
            </w:r>
          </w:p>
        </w:tc>
        <w:tc>
          <w:tcPr>
            <w:tcW w:w="2219" w:type="dxa"/>
            <w:gridSpan w:val="2"/>
            <w:vAlign w:val="center"/>
          </w:tcPr>
          <w:p>
            <w:pPr>
              <w:widowControl/>
              <w:jc w:val="center"/>
              <w:rPr>
                <w:b/>
                <w:bCs/>
                <w:kern w:val="0"/>
                <w:szCs w:val="21"/>
                <w:u w:val="single"/>
              </w:rPr>
            </w:pPr>
            <w:r>
              <w:rPr>
                <w:b/>
                <w:bCs/>
                <w:kern w:val="0"/>
                <w:szCs w:val="21"/>
                <w:u w:val="single"/>
              </w:rPr>
              <w:t>病死猪尸体</w:t>
            </w:r>
          </w:p>
        </w:tc>
        <w:tc>
          <w:tcPr>
            <w:tcW w:w="4740" w:type="dxa"/>
            <w:vAlign w:val="center"/>
          </w:tcPr>
          <w:p>
            <w:pPr>
              <w:jc w:val="center"/>
              <w:rPr>
                <w:b/>
                <w:bCs/>
                <w:szCs w:val="21"/>
                <w:u w:val="single"/>
              </w:rPr>
            </w:pPr>
            <w:r>
              <w:rPr>
                <w:b/>
                <w:bCs/>
                <w:color w:val="000000"/>
                <w:szCs w:val="21"/>
                <w:u w:val="single"/>
              </w:rPr>
              <w:t>场区配套建设的高温化制机处理设施处理。</w:t>
            </w:r>
          </w:p>
        </w:tc>
        <w:tc>
          <w:tcPr>
            <w:tcW w:w="1288" w:type="dxa"/>
            <w:vAlign w:val="center"/>
          </w:tcPr>
          <w:p>
            <w:pPr>
              <w:jc w:val="center"/>
              <w:rPr>
                <w:b/>
                <w:bCs/>
                <w:szCs w:val="21"/>
                <w:u w:val="single"/>
              </w:rPr>
            </w:pPr>
            <w:r>
              <w:rPr>
                <w:b/>
                <w:bCs/>
                <w:szCs w:val="21"/>
                <w:u w:val="singl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2219" w:type="dxa"/>
            <w:gridSpan w:val="2"/>
            <w:vAlign w:val="center"/>
          </w:tcPr>
          <w:p>
            <w:pPr>
              <w:widowControl/>
              <w:jc w:val="center"/>
              <w:rPr>
                <w:b/>
                <w:bCs/>
                <w:kern w:val="0"/>
                <w:szCs w:val="21"/>
                <w:u w:val="single"/>
              </w:rPr>
            </w:pPr>
            <w:r>
              <w:rPr>
                <w:b/>
                <w:bCs/>
                <w:kern w:val="0"/>
                <w:szCs w:val="21"/>
                <w:u w:val="single"/>
              </w:rPr>
              <w:t>疾病防疫产生的医疗废物</w:t>
            </w:r>
          </w:p>
        </w:tc>
        <w:tc>
          <w:tcPr>
            <w:tcW w:w="4740" w:type="dxa"/>
            <w:vAlign w:val="center"/>
          </w:tcPr>
          <w:p>
            <w:pPr>
              <w:jc w:val="center"/>
              <w:rPr>
                <w:b/>
                <w:bCs/>
                <w:szCs w:val="21"/>
                <w:u w:val="single"/>
              </w:rPr>
            </w:pPr>
            <w:r>
              <w:rPr>
                <w:b/>
                <w:bCs/>
                <w:szCs w:val="21"/>
                <w:u w:val="single"/>
              </w:rPr>
              <w:t>暂存于危废暂存池，设置危废暂存标志，定期交由有资质的单位处置</w:t>
            </w:r>
          </w:p>
        </w:tc>
        <w:tc>
          <w:tcPr>
            <w:tcW w:w="1288" w:type="dxa"/>
            <w:vAlign w:val="center"/>
          </w:tcPr>
          <w:p>
            <w:pPr>
              <w:jc w:val="center"/>
              <w:rPr>
                <w:b/>
                <w:bCs/>
                <w:szCs w:val="21"/>
                <w:u w:val="single"/>
              </w:rPr>
            </w:pPr>
            <w:r>
              <w:rPr>
                <w:b/>
                <w:bCs/>
                <w:szCs w:val="21"/>
                <w:u w:val="singl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2219" w:type="dxa"/>
            <w:gridSpan w:val="2"/>
            <w:vAlign w:val="center"/>
          </w:tcPr>
          <w:p>
            <w:pPr>
              <w:widowControl/>
              <w:jc w:val="center"/>
              <w:rPr>
                <w:b/>
                <w:bCs/>
                <w:kern w:val="0"/>
                <w:szCs w:val="21"/>
                <w:u w:val="single"/>
              </w:rPr>
            </w:pPr>
            <w:r>
              <w:rPr>
                <w:b/>
                <w:bCs/>
                <w:kern w:val="0"/>
                <w:szCs w:val="21"/>
                <w:u w:val="single"/>
              </w:rPr>
              <w:t>废脱硫剂</w:t>
            </w:r>
          </w:p>
        </w:tc>
        <w:tc>
          <w:tcPr>
            <w:tcW w:w="4740" w:type="dxa"/>
            <w:vAlign w:val="center"/>
          </w:tcPr>
          <w:p>
            <w:pPr>
              <w:jc w:val="center"/>
              <w:rPr>
                <w:b/>
                <w:bCs/>
                <w:szCs w:val="21"/>
                <w:u w:val="single"/>
              </w:rPr>
            </w:pPr>
            <w:r>
              <w:rPr>
                <w:b/>
                <w:bCs/>
                <w:szCs w:val="21"/>
                <w:u w:val="single"/>
              </w:rPr>
              <w:t>暂存于固废暂存间，由负责项目环保工程的施工单位统一回收处置</w:t>
            </w:r>
          </w:p>
        </w:tc>
        <w:tc>
          <w:tcPr>
            <w:tcW w:w="1288" w:type="dxa"/>
            <w:vAlign w:val="center"/>
          </w:tcPr>
          <w:p>
            <w:pPr>
              <w:jc w:val="center"/>
              <w:rPr>
                <w:b/>
                <w:bCs/>
                <w:szCs w:val="21"/>
                <w:u w:val="single"/>
              </w:rPr>
            </w:pPr>
            <w:r>
              <w:rPr>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2219" w:type="dxa"/>
            <w:gridSpan w:val="2"/>
            <w:vAlign w:val="center"/>
          </w:tcPr>
          <w:p>
            <w:pPr>
              <w:widowControl/>
              <w:jc w:val="center"/>
              <w:rPr>
                <w:b/>
                <w:bCs/>
                <w:kern w:val="0"/>
                <w:szCs w:val="21"/>
                <w:u w:val="single"/>
              </w:rPr>
            </w:pPr>
            <w:r>
              <w:rPr>
                <w:b/>
                <w:bCs/>
                <w:kern w:val="0"/>
                <w:szCs w:val="21"/>
                <w:u w:val="single"/>
              </w:rPr>
              <w:t>生活垃圾及厨余垃圾</w:t>
            </w:r>
          </w:p>
        </w:tc>
        <w:tc>
          <w:tcPr>
            <w:tcW w:w="4740" w:type="dxa"/>
            <w:vAlign w:val="center"/>
          </w:tcPr>
          <w:p>
            <w:pPr>
              <w:jc w:val="center"/>
              <w:rPr>
                <w:b/>
                <w:bCs/>
                <w:szCs w:val="21"/>
                <w:u w:val="single"/>
              </w:rPr>
            </w:pPr>
            <w:r>
              <w:rPr>
                <w:b/>
                <w:bCs/>
                <w:szCs w:val="21"/>
                <w:u w:val="single"/>
              </w:rPr>
              <w:t>垃圾桶若干，集中送环卫部门处理</w:t>
            </w:r>
          </w:p>
        </w:tc>
        <w:tc>
          <w:tcPr>
            <w:tcW w:w="1288" w:type="dxa"/>
            <w:vAlign w:val="center"/>
          </w:tcPr>
          <w:p>
            <w:pPr>
              <w:jc w:val="center"/>
              <w:rPr>
                <w:b/>
                <w:bCs/>
                <w:szCs w:val="21"/>
                <w:u w:val="single"/>
              </w:rPr>
            </w:pPr>
            <w:r>
              <w:rPr>
                <w:b/>
                <w:bCs/>
                <w:szCs w:val="21"/>
                <w:u w:val="singl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2219" w:type="dxa"/>
            <w:gridSpan w:val="2"/>
            <w:vAlign w:val="center"/>
          </w:tcPr>
          <w:p>
            <w:pPr>
              <w:widowControl/>
              <w:spacing w:line="300" w:lineRule="exact"/>
              <w:jc w:val="center"/>
              <w:rPr>
                <w:b/>
                <w:bCs/>
                <w:kern w:val="0"/>
                <w:szCs w:val="21"/>
                <w:u w:val="single"/>
              </w:rPr>
            </w:pPr>
            <w:r>
              <w:rPr>
                <w:b/>
                <w:bCs/>
                <w:kern w:val="0"/>
                <w:szCs w:val="21"/>
                <w:u w:val="single"/>
              </w:rPr>
              <w:t>猪粪和沼渣</w:t>
            </w:r>
          </w:p>
        </w:tc>
        <w:tc>
          <w:tcPr>
            <w:tcW w:w="4740" w:type="dxa"/>
            <w:vAlign w:val="center"/>
          </w:tcPr>
          <w:p>
            <w:pPr>
              <w:jc w:val="center"/>
              <w:rPr>
                <w:b/>
                <w:bCs/>
                <w:szCs w:val="21"/>
                <w:u w:val="single"/>
              </w:rPr>
            </w:pPr>
            <w:r>
              <w:rPr>
                <w:b/>
                <w:bCs/>
                <w:kern w:val="0"/>
                <w:szCs w:val="21"/>
                <w:u w:val="single"/>
              </w:rPr>
              <w:t>粪便发酵制有机肥基肥外售、沼渣经晾晒后做有机肥基肥外售</w:t>
            </w:r>
          </w:p>
        </w:tc>
        <w:tc>
          <w:tcPr>
            <w:tcW w:w="1288" w:type="dxa"/>
            <w:vAlign w:val="center"/>
          </w:tcPr>
          <w:p>
            <w:pPr>
              <w:jc w:val="center"/>
              <w:rPr>
                <w:b/>
                <w:bCs/>
                <w:szCs w:val="21"/>
                <w:u w:val="single"/>
              </w:rPr>
            </w:pPr>
            <w:r>
              <w:rPr>
                <w:b/>
                <w:bCs/>
                <w:szCs w:val="21"/>
                <w:u w:val="single"/>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Align w:val="center"/>
          </w:tcPr>
          <w:p>
            <w:pPr>
              <w:jc w:val="center"/>
              <w:rPr>
                <w:b/>
                <w:bCs/>
                <w:szCs w:val="21"/>
                <w:u w:val="single"/>
              </w:rPr>
            </w:pPr>
            <w:r>
              <w:rPr>
                <w:b/>
                <w:bCs/>
                <w:szCs w:val="21"/>
                <w:u w:val="single"/>
              </w:rPr>
              <w:t>噪声</w:t>
            </w:r>
          </w:p>
        </w:tc>
        <w:tc>
          <w:tcPr>
            <w:tcW w:w="2219" w:type="dxa"/>
            <w:gridSpan w:val="2"/>
            <w:vAlign w:val="center"/>
          </w:tcPr>
          <w:p>
            <w:pPr>
              <w:widowControl/>
              <w:jc w:val="center"/>
              <w:rPr>
                <w:b/>
                <w:bCs/>
                <w:kern w:val="0"/>
                <w:szCs w:val="21"/>
                <w:u w:val="single"/>
              </w:rPr>
            </w:pPr>
            <w:r>
              <w:rPr>
                <w:b/>
                <w:bCs/>
                <w:kern w:val="0"/>
                <w:szCs w:val="21"/>
                <w:u w:val="single"/>
              </w:rPr>
              <w:t>设备噪声</w:t>
            </w:r>
          </w:p>
        </w:tc>
        <w:tc>
          <w:tcPr>
            <w:tcW w:w="4740" w:type="dxa"/>
            <w:vAlign w:val="center"/>
          </w:tcPr>
          <w:p>
            <w:pPr>
              <w:jc w:val="center"/>
              <w:rPr>
                <w:b/>
                <w:bCs/>
                <w:szCs w:val="21"/>
                <w:u w:val="single"/>
              </w:rPr>
            </w:pPr>
            <w:r>
              <w:rPr>
                <w:b/>
                <w:bCs/>
                <w:kern w:val="0"/>
                <w:szCs w:val="21"/>
                <w:u w:val="single"/>
              </w:rPr>
              <w:t>基础减振、隔声等措施</w:t>
            </w:r>
          </w:p>
        </w:tc>
        <w:tc>
          <w:tcPr>
            <w:tcW w:w="1288" w:type="dxa"/>
            <w:vAlign w:val="center"/>
          </w:tcPr>
          <w:p>
            <w:pPr>
              <w:jc w:val="center"/>
              <w:rPr>
                <w:b/>
                <w:bCs/>
                <w:szCs w:val="21"/>
                <w:u w:val="single"/>
              </w:rPr>
            </w:pPr>
            <w:r>
              <w:rPr>
                <w:b/>
                <w:bCs/>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restart"/>
            <w:vAlign w:val="center"/>
          </w:tcPr>
          <w:p>
            <w:pPr>
              <w:jc w:val="center"/>
              <w:rPr>
                <w:b/>
                <w:bCs/>
                <w:szCs w:val="21"/>
                <w:u w:val="single"/>
              </w:rPr>
            </w:pPr>
            <w:r>
              <w:rPr>
                <w:b/>
                <w:bCs/>
                <w:szCs w:val="21"/>
                <w:u w:val="single"/>
              </w:rPr>
              <w:t>风险事故</w:t>
            </w:r>
          </w:p>
        </w:tc>
        <w:tc>
          <w:tcPr>
            <w:tcW w:w="2219" w:type="dxa"/>
            <w:gridSpan w:val="2"/>
            <w:vAlign w:val="center"/>
          </w:tcPr>
          <w:p>
            <w:pPr>
              <w:widowControl/>
              <w:spacing w:line="300" w:lineRule="exact"/>
              <w:jc w:val="center"/>
              <w:rPr>
                <w:b/>
                <w:bCs/>
                <w:kern w:val="0"/>
                <w:szCs w:val="21"/>
                <w:u w:val="single"/>
              </w:rPr>
            </w:pPr>
            <w:r>
              <w:rPr>
                <w:b/>
                <w:bCs/>
                <w:kern w:val="0"/>
                <w:szCs w:val="21"/>
                <w:u w:val="single"/>
              </w:rPr>
              <w:t>沼气泄漏</w:t>
            </w:r>
          </w:p>
        </w:tc>
        <w:tc>
          <w:tcPr>
            <w:tcW w:w="4740" w:type="dxa"/>
            <w:vAlign w:val="center"/>
          </w:tcPr>
          <w:p>
            <w:pPr>
              <w:jc w:val="center"/>
              <w:rPr>
                <w:b/>
                <w:bCs/>
                <w:szCs w:val="21"/>
                <w:u w:val="single"/>
              </w:rPr>
            </w:pPr>
            <w:r>
              <w:rPr>
                <w:b/>
                <w:bCs/>
                <w:szCs w:val="21"/>
                <w:u w:val="single"/>
              </w:rPr>
              <w:t>加强设备的维护，按规定定期对盖泻湖沼气池、管道系统进行密封性和压强测试；建立事故应急预案；加强操作人员的技术培训和岗位责任制教育</w:t>
            </w:r>
          </w:p>
        </w:tc>
        <w:tc>
          <w:tcPr>
            <w:tcW w:w="1288" w:type="dxa"/>
            <w:vMerge w:val="restart"/>
            <w:vAlign w:val="center"/>
          </w:tcPr>
          <w:p>
            <w:pPr>
              <w:jc w:val="center"/>
              <w:rPr>
                <w:b/>
                <w:bCs/>
                <w:szCs w:val="21"/>
                <w:u w:val="single"/>
              </w:rPr>
            </w:pPr>
            <w:r>
              <w:rPr>
                <w:b/>
                <w:bCs/>
                <w:szCs w:val="21"/>
                <w:u w:val="single"/>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2219" w:type="dxa"/>
            <w:gridSpan w:val="2"/>
            <w:vAlign w:val="center"/>
          </w:tcPr>
          <w:p>
            <w:pPr>
              <w:widowControl/>
              <w:spacing w:line="300" w:lineRule="exact"/>
              <w:jc w:val="center"/>
              <w:rPr>
                <w:b/>
                <w:bCs/>
                <w:kern w:val="0"/>
                <w:szCs w:val="21"/>
                <w:u w:val="single"/>
              </w:rPr>
            </w:pPr>
            <w:r>
              <w:rPr>
                <w:b/>
                <w:bCs/>
                <w:kern w:val="0"/>
                <w:szCs w:val="21"/>
                <w:u w:val="single"/>
              </w:rPr>
              <w:t>消防器材</w:t>
            </w:r>
          </w:p>
        </w:tc>
        <w:tc>
          <w:tcPr>
            <w:tcW w:w="4740" w:type="dxa"/>
            <w:vAlign w:val="center"/>
          </w:tcPr>
          <w:p>
            <w:pPr>
              <w:jc w:val="center"/>
              <w:rPr>
                <w:b/>
                <w:bCs/>
                <w:szCs w:val="21"/>
                <w:u w:val="single"/>
              </w:rPr>
            </w:pPr>
            <w:r>
              <w:rPr>
                <w:b/>
                <w:bCs/>
                <w:kern w:val="0"/>
                <w:szCs w:val="21"/>
                <w:u w:val="single"/>
              </w:rPr>
              <w:t>若干</w:t>
            </w:r>
          </w:p>
        </w:tc>
        <w:tc>
          <w:tcPr>
            <w:tcW w:w="1288" w:type="dxa"/>
            <w:vMerge w:val="continue"/>
            <w:vAlign w:val="center"/>
          </w:tcPr>
          <w:p>
            <w:pPr>
              <w:jc w:val="center"/>
              <w:rPr>
                <w:b/>
                <w:bCs/>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restart"/>
            <w:vAlign w:val="center"/>
          </w:tcPr>
          <w:p>
            <w:pPr>
              <w:jc w:val="center"/>
              <w:rPr>
                <w:b/>
                <w:bCs/>
                <w:szCs w:val="21"/>
                <w:u w:val="single"/>
              </w:rPr>
            </w:pPr>
            <w:r>
              <w:rPr>
                <w:b/>
                <w:bCs/>
                <w:szCs w:val="21"/>
                <w:u w:val="single"/>
              </w:rPr>
              <w:t>辅助工程</w:t>
            </w:r>
          </w:p>
        </w:tc>
        <w:tc>
          <w:tcPr>
            <w:tcW w:w="2219" w:type="dxa"/>
            <w:gridSpan w:val="2"/>
            <w:vAlign w:val="center"/>
          </w:tcPr>
          <w:p>
            <w:pPr>
              <w:widowControl/>
              <w:jc w:val="center"/>
              <w:rPr>
                <w:b/>
                <w:bCs/>
                <w:kern w:val="0"/>
                <w:szCs w:val="21"/>
                <w:u w:val="single"/>
              </w:rPr>
            </w:pPr>
            <w:r>
              <w:rPr>
                <w:b/>
                <w:bCs/>
                <w:kern w:val="0"/>
                <w:szCs w:val="21"/>
                <w:u w:val="single"/>
              </w:rPr>
              <w:t>农田</w:t>
            </w:r>
          </w:p>
          <w:p>
            <w:pPr>
              <w:widowControl/>
              <w:jc w:val="center"/>
              <w:rPr>
                <w:b/>
                <w:bCs/>
                <w:kern w:val="0"/>
                <w:szCs w:val="21"/>
                <w:u w:val="single"/>
              </w:rPr>
            </w:pPr>
            <w:r>
              <w:rPr>
                <w:b/>
                <w:bCs/>
                <w:kern w:val="0"/>
                <w:szCs w:val="21"/>
                <w:u w:val="single"/>
              </w:rPr>
              <w:t>沼液施肥系统</w:t>
            </w:r>
          </w:p>
        </w:tc>
        <w:tc>
          <w:tcPr>
            <w:tcW w:w="4740" w:type="dxa"/>
            <w:vAlign w:val="center"/>
          </w:tcPr>
          <w:p>
            <w:pPr>
              <w:jc w:val="center"/>
              <w:rPr>
                <w:b/>
                <w:bCs/>
                <w:szCs w:val="21"/>
                <w:u w:val="single"/>
              </w:rPr>
            </w:pPr>
            <w:r>
              <w:rPr>
                <w:b/>
                <w:bCs/>
                <w:kern w:val="0"/>
                <w:szCs w:val="21"/>
                <w:u w:val="single"/>
              </w:rPr>
              <w:t>建设沼液储存池1个，容积</w:t>
            </w:r>
            <w:r>
              <w:rPr>
                <w:b/>
                <w:bCs/>
                <w:szCs w:val="21"/>
                <w:u w:val="single"/>
              </w:rPr>
              <w:t>90000</w:t>
            </w:r>
            <w:r>
              <w:rPr>
                <w:b/>
                <w:bCs/>
                <w:kern w:val="0"/>
                <w:szCs w:val="21"/>
                <w:u w:val="single"/>
              </w:rPr>
              <w:t>m</w:t>
            </w:r>
            <w:r>
              <w:rPr>
                <w:b/>
                <w:bCs/>
                <w:kern w:val="0"/>
                <w:szCs w:val="21"/>
                <w:u w:val="single"/>
                <w:vertAlign w:val="superscript"/>
              </w:rPr>
              <w:t>3</w:t>
            </w:r>
            <w:r>
              <w:rPr>
                <w:b/>
                <w:bCs/>
                <w:kern w:val="0"/>
                <w:szCs w:val="21"/>
                <w:u w:val="single"/>
              </w:rPr>
              <w:t>，做好防渗、防溢漏、防雨流入措施、周边设置防护栏等安全措施，避免农闲期无处消纳外排或外溢造成污染；沼液输送系统管网铺设</w:t>
            </w:r>
          </w:p>
        </w:tc>
        <w:tc>
          <w:tcPr>
            <w:tcW w:w="1288" w:type="dxa"/>
            <w:vAlign w:val="center"/>
          </w:tcPr>
          <w:p>
            <w:pPr>
              <w:jc w:val="center"/>
              <w:rPr>
                <w:b/>
                <w:bCs/>
                <w:szCs w:val="21"/>
                <w:u w:val="single"/>
              </w:rPr>
            </w:pPr>
            <w:r>
              <w:rPr>
                <w:b/>
                <w:bCs/>
                <w:szCs w:val="21"/>
                <w:u w:val="single"/>
              </w:rPr>
              <w:t>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2219" w:type="dxa"/>
            <w:gridSpan w:val="2"/>
            <w:vAlign w:val="center"/>
          </w:tcPr>
          <w:p>
            <w:pPr>
              <w:widowControl/>
              <w:jc w:val="center"/>
              <w:rPr>
                <w:b/>
                <w:bCs/>
                <w:kern w:val="0"/>
                <w:szCs w:val="21"/>
                <w:u w:val="single"/>
              </w:rPr>
            </w:pPr>
            <w:r>
              <w:rPr>
                <w:b/>
                <w:bCs/>
                <w:kern w:val="0"/>
                <w:szCs w:val="21"/>
                <w:u w:val="single"/>
              </w:rPr>
              <w:t>地下水监测</w:t>
            </w:r>
          </w:p>
        </w:tc>
        <w:tc>
          <w:tcPr>
            <w:tcW w:w="4740" w:type="dxa"/>
            <w:vAlign w:val="center"/>
          </w:tcPr>
          <w:p>
            <w:pPr>
              <w:rPr>
                <w:b/>
                <w:bCs/>
                <w:szCs w:val="21"/>
                <w:u w:val="single"/>
              </w:rPr>
            </w:pPr>
            <w:r>
              <w:rPr>
                <w:b/>
                <w:bCs/>
                <w:szCs w:val="21"/>
                <w:u w:val="single"/>
              </w:rPr>
              <w:t>在沼液消纳地西北方位、东南方各设置1口地下水观测井</w:t>
            </w:r>
          </w:p>
        </w:tc>
        <w:tc>
          <w:tcPr>
            <w:tcW w:w="1288" w:type="dxa"/>
            <w:vAlign w:val="center"/>
          </w:tcPr>
          <w:p>
            <w:pPr>
              <w:jc w:val="center"/>
              <w:rPr>
                <w:b/>
                <w:bCs/>
                <w:szCs w:val="21"/>
                <w:u w:val="single"/>
              </w:rPr>
            </w:pPr>
            <w:r>
              <w:rPr>
                <w:b/>
                <w:bCs/>
                <w:szCs w:val="21"/>
                <w:u w:val="singl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2219" w:type="dxa"/>
            <w:gridSpan w:val="2"/>
            <w:vAlign w:val="center"/>
          </w:tcPr>
          <w:p>
            <w:pPr>
              <w:widowControl/>
              <w:jc w:val="center"/>
              <w:rPr>
                <w:b/>
                <w:bCs/>
                <w:kern w:val="0"/>
                <w:szCs w:val="21"/>
                <w:u w:val="single"/>
              </w:rPr>
            </w:pPr>
            <w:r>
              <w:rPr>
                <w:b/>
                <w:bCs/>
                <w:kern w:val="0"/>
                <w:szCs w:val="21"/>
                <w:u w:val="single"/>
              </w:rPr>
              <w:t>生态保护</w:t>
            </w:r>
          </w:p>
        </w:tc>
        <w:tc>
          <w:tcPr>
            <w:tcW w:w="4740" w:type="dxa"/>
            <w:vAlign w:val="center"/>
          </w:tcPr>
          <w:p>
            <w:pPr>
              <w:jc w:val="center"/>
              <w:rPr>
                <w:b/>
                <w:bCs/>
                <w:szCs w:val="21"/>
                <w:u w:val="single"/>
              </w:rPr>
            </w:pPr>
            <w:r>
              <w:rPr>
                <w:b/>
                <w:bCs/>
                <w:kern w:val="0"/>
                <w:szCs w:val="21"/>
                <w:u w:val="single"/>
              </w:rPr>
              <w:t>加强场区绿化</w:t>
            </w:r>
          </w:p>
        </w:tc>
        <w:tc>
          <w:tcPr>
            <w:tcW w:w="1288" w:type="dxa"/>
            <w:vMerge w:val="restart"/>
            <w:vAlign w:val="center"/>
          </w:tcPr>
          <w:p>
            <w:pPr>
              <w:jc w:val="center"/>
              <w:rPr>
                <w:b/>
                <w:bCs/>
                <w:szCs w:val="21"/>
                <w:u w:val="single"/>
              </w:rPr>
            </w:pPr>
            <w:r>
              <w:rPr>
                <w:b/>
                <w:bCs/>
                <w:szCs w:val="21"/>
                <w:u w:val="single"/>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2219" w:type="dxa"/>
            <w:gridSpan w:val="2"/>
            <w:vAlign w:val="center"/>
          </w:tcPr>
          <w:p>
            <w:pPr>
              <w:widowControl/>
              <w:jc w:val="center"/>
              <w:rPr>
                <w:b/>
                <w:bCs/>
                <w:kern w:val="0"/>
                <w:szCs w:val="21"/>
                <w:u w:val="single"/>
              </w:rPr>
            </w:pPr>
            <w:r>
              <w:rPr>
                <w:b/>
                <w:bCs/>
                <w:kern w:val="0"/>
                <w:szCs w:val="21"/>
                <w:u w:val="single"/>
              </w:rPr>
              <w:t>水土保持</w:t>
            </w:r>
          </w:p>
        </w:tc>
        <w:tc>
          <w:tcPr>
            <w:tcW w:w="4740" w:type="dxa"/>
            <w:vAlign w:val="center"/>
          </w:tcPr>
          <w:p>
            <w:pPr>
              <w:jc w:val="center"/>
              <w:rPr>
                <w:b/>
                <w:bCs/>
                <w:szCs w:val="21"/>
                <w:u w:val="single"/>
              </w:rPr>
            </w:pPr>
            <w:r>
              <w:rPr>
                <w:b/>
                <w:bCs/>
                <w:kern w:val="0"/>
                <w:szCs w:val="21"/>
                <w:u w:val="single"/>
              </w:rPr>
              <w:t>施工期设置导流沟，建筑材料及土方及时覆盖，场区地面硬化</w:t>
            </w:r>
          </w:p>
        </w:tc>
        <w:tc>
          <w:tcPr>
            <w:tcW w:w="1288" w:type="dxa"/>
            <w:vMerge w:val="continue"/>
            <w:vAlign w:val="center"/>
          </w:tcPr>
          <w:p>
            <w:pPr>
              <w:jc w:val="center"/>
              <w:rPr>
                <w:b/>
                <w:bCs/>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restart"/>
            <w:vAlign w:val="center"/>
          </w:tcPr>
          <w:p>
            <w:pPr>
              <w:jc w:val="center"/>
              <w:rPr>
                <w:b/>
                <w:bCs/>
                <w:szCs w:val="21"/>
                <w:u w:val="single"/>
              </w:rPr>
            </w:pPr>
            <w:r>
              <w:rPr>
                <w:b/>
                <w:bCs/>
                <w:szCs w:val="21"/>
                <w:u w:val="single"/>
              </w:rPr>
              <w:t>防渗措施</w:t>
            </w:r>
          </w:p>
        </w:tc>
        <w:tc>
          <w:tcPr>
            <w:tcW w:w="2219" w:type="dxa"/>
            <w:gridSpan w:val="2"/>
            <w:vAlign w:val="center"/>
          </w:tcPr>
          <w:p>
            <w:pPr>
              <w:widowControl/>
              <w:jc w:val="center"/>
              <w:rPr>
                <w:b/>
                <w:bCs/>
                <w:kern w:val="0"/>
                <w:szCs w:val="21"/>
                <w:u w:val="single"/>
              </w:rPr>
            </w:pPr>
            <w:r>
              <w:rPr>
                <w:b/>
                <w:bCs/>
                <w:kern w:val="0"/>
                <w:szCs w:val="21"/>
                <w:u w:val="single"/>
              </w:rPr>
              <w:t>沼液储存池</w:t>
            </w:r>
          </w:p>
        </w:tc>
        <w:tc>
          <w:tcPr>
            <w:tcW w:w="4740" w:type="dxa"/>
            <w:vAlign w:val="center"/>
          </w:tcPr>
          <w:p>
            <w:pPr>
              <w:rPr>
                <w:b/>
                <w:bCs/>
                <w:szCs w:val="21"/>
                <w:u w:val="single"/>
              </w:rPr>
            </w:pPr>
            <w:r>
              <w:rPr>
                <w:b/>
                <w:bCs/>
                <w:kern w:val="0"/>
                <w:szCs w:val="21"/>
                <w:u w:val="single"/>
              </w:rPr>
              <w:t>在清场夯压的基础上铺设HDPE膜防渗，周边设置防护栏等安全措施，保证能够容纳166天的沼液产生量，避免农闲期无处消纳外排或外溢造成污染</w:t>
            </w:r>
          </w:p>
        </w:tc>
        <w:tc>
          <w:tcPr>
            <w:tcW w:w="1288" w:type="dxa"/>
            <w:vMerge w:val="restart"/>
            <w:vAlign w:val="center"/>
          </w:tcPr>
          <w:p>
            <w:pPr>
              <w:jc w:val="center"/>
              <w:rPr>
                <w:b/>
                <w:bCs/>
                <w:szCs w:val="21"/>
                <w:u w:val="single"/>
              </w:rPr>
            </w:pPr>
            <w:r>
              <w:rPr>
                <w:b/>
                <w:bCs/>
                <w:szCs w:val="21"/>
                <w:u w:val="single"/>
              </w:rPr>
              <w:t>1</w:t>
            </w:r>
            <w:r>
              <w:rPr>
                <w:rFonts w:hint="eastAsia"/>
                <w:b/>
                <w:bCs/>
                <w:szCs w:val="21"/>
                <w:u w:val="single"/>
              </w:rPr>
              <w:t>5</w:t>
            </w:r>
            <w:r>
              <w:rPr>
                <w:b/>
                <w:bCs/>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2219" w:type="dxa"/>
            <w:gridSpan w:val="2"/>
            <w:vAlign w:val="center"/>
          </w:tcPr>
          <w:p>
            <w:pPr>
              <w:widowControl/>
              <w:spacing w:line="300" w:lineRule="exact"/>
              <w:jc w:val="center"/>
              <w:rPr>
                <w:b/>
                <w:bCs/>
                <w:kern w:val="0"/>
                <w:szCs w:val="21"/>
                <w:u w:val="single"/>
              </w:rPr>
            </w:pPr>
            <w:r>
              <w:rPr>
                <w:b/>
                <w:bCs/>
                <w:szCs w:val="21"/>
                <w:u w:val="single"/>
              </w:rPr>
              <w:t>固粪处理区</w:t>
            </w:r>
          </w:p>
        </w:tc>
        <w:tc>
          <w:tcPr>
            <w:tcW w:w="4740" w:type="dxa"/>
            <w:vAlign w:val="center"/>
          </w:tcPr>
          <w:p>
            <w:pPr>
              <w:jc w:val="center"/>
              <w:rPr>
                <w:b/>
                <w:bCs/>
                <w:szCs w:val="21"/>
                <w:u w:val="single"/>
              </w:rPr>
            </w:pPr>
            <w:r>
              <w:rPr>
                <w:b/>
                <w:bCs/>
                <w:szCs w:val="21"/>
                <w:u w:val="single"/>
              </w:rPr>
              <w:t>地面在清场夯压的基础上混凝土防渗，设置顶棚和围挡，防止雨水进入造成下溢流污染</w:t>
            </w:r>
          </w:p>
        </w:tc>
        <w:tc>
          <w:tcPr>
            <w:tcW w:w="1288" w:type="dxa"/>
            <w:vMerge w:val="continue"/>
            <w:vAlign w:val="center"/>
          </w:tcPr>
          <w:p>
            <w:pPr>
              <w:jc w:val="center"/>
              <w:rPr>
                <w:b/>
                <w:bCs/>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1260" w:type="dxa"/>
            <w:tcBorders>
              <w:right w:val="single" w:color="auto" w:sz="4" w:space="0"/>
            </w:tcBorders>
            <w:vAlign w:val="center"/>
          </w:tcPr>
          <w:p>
            <w:pPr>
              <w:widowControl/>
              <w:spacing w:line="300" w:lineRule="exact"/>
              <w:jc w:val="center"/>
              <w:rPr>
                <w:b/>
                <w:bCs/>
                <w:kern w:val="0"/>
                <w:szCs w:val="21"/>
                <w:u w:val="single"/>
              </w:rPr>
            </w:pPr>
            <w:r>
              <w:rPr>
                <w:b/>
                <w:bCs/>
                <w:kern w:val="0"/>
                <w:szCs w:val="21"/>
                <w:u w:val="single"/>
              </w:rPr>
              <w:t>污水处理区</w:t>
            </w:r>
          </w:p>
        </w:tc>
        <w:tc>
          <w:tcPr>
            <w:tcW w:w="959" w:type="dxa"/>
            <w:tcBorders>
              <w:left w:val="single" w:color="auto" w:sz="4" w:space="0"/>
            </w:tcBorders>
            <w:vAlign w:val="center"/>
          </w:tcPr>
          <w:p>
            <w:pPr>
              <w:widowControl/>
              <w:spacing w:line="300" w:lineRule="exact"/>
              <w:jc w:val="center"/>
              <w:rPr>
                <w:b/>
                <w:bCs/>
                <w:kern w:val="0"/>
                <w:szCs w:val="21"/>
                <w:u w:val="single"/>
              </w:rPr>
            </w:pPr>
            <w:r>
              <w:rPr>
                <w:b/>
                <w:bCs/>
                <w:szCs w:val="21"/>
                <w:u w:val="single"/>
              </w:rPr>
              <w:t>收集池</w:t>
            </w:r>
          </w:p>
        </w:tc>
        <w:tc>
          <w:tcPr>
            <w:tcW w:w="4740" w:type="dxa"/>
            <w:vAlign w:val="center"/>
          </w:tcPr>
          <w:p>
            <w:pPr>
              <w:jc w:val="center"/>
              <w:rPr>
                <w:b/>
                <w:bCs/>
                <w:szCs w:val="21"/>
                <w:u w:val="single"/>
              </w:rPr>
            </w:pPr>
            <w:r>
              <w:rPr>
                <w:b/>
                <w:bCs/>
                <w:szCs w:val="21"/>
                <w:u w:val="single"/>
              </w:rPr>
              <w:t>砖混结构</w:t>
            </w:r>
          </w:p>
        </w:tc>
        <w:tc>
          <w:tcPr>
            <w:tcW w:w="1288" w:type="dxa"/>
            <w:vMerge w:val="continue"/>
            <w:vAlign w:val="center"/>
          </w:tcPr>
          <w:p>
            <w:pPr>
              <w:jc w:val="center"/>
              <w:rPr>
                <w:b/>
                <w:bCs/>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1260" w:type="dxa"/>
            <w:tcBorders>
              <w:right w:val="single" w:color="auto" w:sz="4" w:space="0"/>
            </w:tcBorders>
            <w:vAlign w:val="center"/>
          </w:tcPr>
          <w:p>
            <w:pPr>
              <w:widowControl/>
              <w:spacing w:line="300" w:lineRule="exact"/>
              <w:jc w:val="center"/>
              <w:rPr>
                <w:b/>
                <w:bCs/>
                <w:kern w:val="0"/>
                <w:szCs w:val="21"/>
                <w:u w:val="single"/>
              </w:rPr>
            </w:pPr>
            <w:r>
              <w:rPr>
                <w:b/>
                <w:bCs/>
                <w:kern w:val="0"/>
                <w:szCs w:val="21"/>
                <w:u w:val="single"/>
              </w:rPr>
              <w:t>养殖区</w:t>
            </w:r>
          </w:p>
        </w:tc>
        <w:tc>
          <w:tcPr>
            <w:tcW w:w="959" w:type="dxa"/>
            <w:tcBorders>
              <w:left w:val="single" w:color="auto" w:sz="4" w:space="0"/>
            </w:tcBorders>
            <w:vAlign w:val="center"/>
          </w:tcPr>
          <w:p>
            <w:pPr>
              <w:autoSpaceDE w:val="0"/>
              <w:autoSpaceDN w:val="0"/>
              <w:adjustRightInd w:val="0"/>
              <w:snapToGrid w:val="0"/>
              <w:spacing w:line="300" w:lineRule="exact"/>
              <w:jc w:val="center"/>
              <w:rPr>
                <w:b/>
                <w:bCs/>
                <w:kern w:val="0"/>
                <w:szCs w:val="21"/>
                <w:u w:val="single"/>
              </w:rPr>
            </w:pPr>
            <w:r>
              <w:rPr>
                <w:b/>
                <w:bCs/>
                <w:szCs w:val="21"/>
                <w:u w:val="single"/>
              </w:rPr>
              <w:t>场区、排污沟、</w:t>
            </w:r>
          </w:p>
        </w:tc>
        <w:tc>
          <w:tcPr>
            <w:tcW w:w="4740" w:type="dxa"/>
            <w:vAlign w:val="center"/>
          </w:tcPr>
          <w:p>
            <w:pPr>
              <w:rPr>
                <w:b/>
                <w:bCs/>
                <w:szCs w:val="21"/>
                <w:u w:val="single"/>
              </w:rPr>
            </w:pPr>
            <w:r>
              <w:rPr>
                <w:b/>
                <w:bCs/>
                <w:szCs w:val="21"/>
                <w:u w:val="single"/>
              </w:rPr>
              <w:t>猪舍底部在清场夯压的基础上混凝土防渗，采取暗沟形式，具备防止淤集以利于定期清理的条件</w:t>
            </w:r>
          </w:p>
        </w:tc>
        <w:tc>
          <w:tcPr>
            <w:tcW w:w="1288" w:type="dxa"/>
            <w:vAlign w:val="center"/>
          </w:tcPr>
          <w:p>
            <w:pPr>
              <w:jc w:val="center"/>
              <w:rPr>
                <w:b/>
                <w:bCs/>
                <w:szCs w:val="21"/>
                <w:u w:val="single"/>
              </w:rPr>
            </w:pPr>
            <w:r>
              <w:rPr>
                <w:b/>
                <w:bCs/>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9" w:type="dxa"/>
            <w:vMerge w:val="continue"/>
            <w:vAlign w:val="center"/>
          </w:tcPr>
          <w:p>
            <w:pPr>
              <w:jc w:val="center"/>
              <w:rPr>
                <w:b/>
                <w:bCs/>
                <w:szCs w:val="21"/>
                <w:u w:val="single"/>
              </w:rPr>
            </w:pPr>
          </w:p>
        </w:tc>
        <w:tc>
          <w:tcPr>
            <w:tcW w:w="1260" w:type="dxa"/>
            <w:tcBorders>
              <w:right w:val="single" w:color="auto" w:sz="4" w:space="0"/>
            </w:tcBorders>
            <w:vAlign w:val="center"/>
          </w:tcPr>
          <w:p>
            <w:pPr>
              <w:widowControl/>
              <w:spacing w:line="300" w:lineRule="exact"/>
              <w:jc w:val="center"/>
              <w:rPr>
                <w:b/>
                <w:bCs/>
                <w:kern w:val="0"/>
                <w:szCs w:val="21"/>
                <w:u w:val="single"/>
              </w:rPr>
            </w:pPr>
            <w:r>
              <w:rPr>
                <w:b/>
                <w:bCs/>
                <w:kern w:val="0"/>
                <w:szCs w:val="21"/>
                <w:u w:val="single"/>
              </w:rPr>
              <w:t>沼液消纳区</w:t>
            </w:r>
          </w:p>
        </w:tc>
        <w:tc>
          <w:tcPr>
            <w:tcW w:w="959" w:type="dxa"/>
            <w:tcBorders>
              <w:left w:val="single" w:color="auto" w:sz="4" w:space="0"/>
            </w:tcBorders>
            <w:vAlign w:val="center"/>
          </w:tcPr>
          <w:p>
            <w:pPr>
              <w:autoSpaceDE w:val="0"/>
              <w:autoSpaceDN w:val="0"/>
              <w:adjustRightInd w:val="0"/>
              <w:snapToGrid w:val="0"/>
              <w:spacing w:line="300" w:lineRule="exact"/>
              <w:jc w:val="center"/>
              <w:rPr>
                <w:b/>
                <w:bCs/>
                <w:kern w:val="0"/>
                <w:szCs w:val="21"/>
                <w:u w:val="single"/>
              </w:rPr>
            </w:pPr>
            <w:r>
              <w:rPr>
                <w:b/>
                <w:bCs/>
                <w:kern w:val="0"/>
                <w:szCs w:val="21"/>
                <w:u w:val="single"/>
              </w:rPr>
              <w:t>沼液输送管网</w:t>
            </w:r>
          </w:p>
        </w:tc>
        <w:tc>
          <w:tcPr>
            <w:tcW w:w="4740" w:type="dxa"/>
            <w:vAlign w:val="center"/>
          </w:tcPr>
          <w:p>
            <w:pPr>
              <w:jc w:val="center"/>
              <w:rPr>
                <w:b/>
                <w:bCs/>
                <w:szCs w:val="21"/>
                <w:u w:val="single"/>
              </w:rPr>
            </w:pPr>
            <w:r>
              <w:rPr>
                <w:b/>
                <w:bCs/>
                <w:szCs w:val="21"/>
                <w:u w:val="single"/>
              </w:rPr>
              <w:t>沼液输送管道与管件必须具有防腐性与防渗性</w:t>
            </w:r>
          </w:p>
        </w:tc>
        <w:tc>
          <w:tcPr>
            <w:tcW w:w="1288" w:type="dxa"/>
            <w:vAlign w:val="center"/>
          </w:tcPr>
          <w:p>
            <w:pPr>
              <w:jc w:val="center"/>
              <w:rPr>
                <w:b/>
                <w:bCs/>
                <w:szCs w:val="21"/>
                <w:u w:val="single"/>
              </w:rPr>
            </w:pPr>
            <w:r>
              <w:rPr>
                <w:b/>
                <w:bCs/>
                <w:szCs w:val="21"/>
                <w:u w:val="singl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8" w:type="dxa"/>
            <w:gridSpan w:val="3"/>
            <w:vAlign w:val="center"/>
          </w:tcPr>
          <w:p>
            <w:pPr>
              <w:widowControl/>
              <w:jc w:val="center"/>
              <w:rPr>
                <w:b/>
                <w:bCs/>
                <w:kern w:val="0"/>
                <w:szCs w:val="21"/>
                <w:u w:val="single"/>
              </w:rPr>
            </w:pPr>
            <w:r>
              <w:rPr>
                <w:b/>
                <w:bCs/>
                <w:kern w:val="0"/>
                <w:szCs w:val="21"/>
                <w:u w:val="single"/>
              </w:rPr>
              <w:t>卫生事故</w:t>
            </w:r>
          </w:p>
        </w:tc>
        <w:tc>
          <w:tcPr>
            <w:tcW w:w="4740" w:type="dxa"/>
            <w:vAlign w:val="center"/>
          </w:tcPr>
          <w:p>
            <w:pPr>
              <w:autoSpaceDE w:val="0"/>
              <w:autoSpaceDN w:val="0"/>
              <w:adjustRightInd w:val="0"/>
              <w:snapToGrid w:val="0"/>
              <w:jc w:val="center"/>
              <w:rPr>
                <w:b/>
                <w:bCs/>
                <w:kern w:val="0"/>
                <w:szCs w:val="21"/>
                <w:u w:val="single"/>
              </w:rPr>
            </w:pPr>
            <w:r>
              <w:rPr>
                <w:b/>
                <w:bCs/>
                <w:kern w:val="0"/>
                <w:szCs w:val="21"/>
                <w:u w:val="single"/>
              </w:rPr>
              <w:t>加强场区内卫生防疫工作</w:t>
            </w:r>
          </w:p>
        </w:tc>
        <w:tc>
          <w:tcPr>
            <w:tcW w:w="1288" w:type="dxa"/>
            <w:vMerge w:val="restart"/>
            <w:vAlign w:val="center"/>
          </w:tcPr>
          <w:p>
            <w:pPr>
              <w:jc w:val="center"/>
              <w:rPr>
                <w:b/>
                <w:bCs/>
                <w:szCs w:val="21"/>
                <w:u w:val="single"/>
              </w:rPr>
            </w:pPr>
            <w:r>
              <w:rPr>
                <w:b/>
                <w:bCs/>
                <w:szCs w:val="21"/>
                <w:u w:val="singl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8" w:type="dxa"/>
            <w:gridSpan w:val="3"/>
            <w:vAlign w:val="center"/>
          </w:tcPr>
          <w:p>
            <w:pPr>
              <w:widowControl/>
              <w:jc w:val="center"/>
              <w:rPr>
                <w:b/>
                <w:bCs/>
                <w:kern w:val="0"/>
                <w:szCs w:val="21"/>
                <w:u w:val="single"/>
              </w:rPr>
            </w:pPr>
            <w:r>
              <w:rPr>
                <w:b/>
                <w:bCs/>
                <w:kern w:val="0"/>
                <w:szCs w:val="21"/>
                <w:u w:val="single"/>
              </w:rPr>
              <w:t>环境管理</w:t>
            </w:r>
          </w:p>
        </w:tc>
        <w:tc>
          <w:tcPr>
            <w:tcW w:w="4740" w:type="dxa"/>
            <w:vAlign w:val="center"/>
          </w:tcPr>
          <w:p>
            <w:pPr>
              <w:autoSpaceDE w:val="0"/>
              <w:autoSpaceDN w:val="0"/>
              <w:adjustRightInd w:val="0"/>
              <w:snapToGrid w:val="0"/>
              <w:jc w:val="center"/>
              <w:rPr>
                <w:b/>
                <w:bCs/>
                <w:kern w:val="0"/>
                <w:szCs w:val="21"/>
                <w:u w:val="single"/>
              </w:rPr>
            </w:pPr>
            <w:r>
              <w:rPr>
                <w:b/>
                <w:bCs/>
                <w:kern w:val="0"/>
                <w:szCs w:val="21"/>
                <w:u w:val="single"/>
              </w:rPr>
              <w:t>制定环境管理体系，加强环境管理</w:t>
            </w:r>
          </w:p>
        </w:tc>
        <w:tc>
          <w:tcPr>
            <w:tcW w:w="1288" w:type="dxa"/>
            <w:vMerge w:val="continue"/>
            <w:vAlign w:val="center"/>
          </w:tcPr>
          <w:p>
            <w:pPr>
              <w:jc w:val="center"/>
              <w:rPr>
                <w:b/>
                <w:bCs/>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18" w:type="dxa"/>
            <w:gridSpan w:val="3"/>
            <w:vAlign w:val="center"/>
          </w:tcPr>
          <w:p>
            <w:pPr>
              <w:widowControl/>
              <w:jc w:val="center"/>
              <w:rPr>
                <w:b/>
                <w:bCs/>
                <w:kern w:val="0"/>
                <w:szCs w:val="21"/>
                <w:u w:val="single"/>
              </w:rPr>
            </w:pPr>
            <w:r>
              <w:rPr>
                <w:b/>
                <w:bCs/>
                <w:kern w:val="0"/>
                <w:szCs w:val="21"/>
                <w:u w:val="single"/>
              </w:rPr>
              <w:t>环境监测</w:t>
            </w:r>
          </w:p>
        </w:tc>
        <w:tc>
          <w:tcPr>
            <w:tcW w:w="4740" w:type="dxa"/>
            <w:vAlign w:val="center"/>
          </w:tcPr>
          <w:p>
            <w:pPr>
              <w:autoSpaceDE w:val="0"/>
              <w:autoSpaceDN w:val="0"/>
              <w:adjustRightInd w:val="0"/>
              <w:snapToGrid w:val="0"/>
              <w:jc w:val="center"/>
              <w:rPr>
                <w:b/>
                <w:bCs/>
                <w:kern w:val="0"/>
                <w:szCs w:val="21"/>
                <w:u w:val="single"/>
              </w:rPr>
            </w:pPr>
            <w:r>
              <w:rPr>
                <w:b/>
                <w:bCs/>
                <w:kern w:val="0"/>
                <w:szCs w:val="21"/>
                <w:u w:val="single"/>
              </w:rPr>
              <w:t>制定环境监测计划，定期监测</w:t>
            </w:r>
          </w:p>
        </w:tc>
        <w:tc>
          <w:tcPr>
            <w:tcW w:w="1288" w:type="dxa"/>
            <w:vMerge w:val="continue"/>
            <w:vAlign w:val="center"/>
          </w:tcPr>
          <w:p>
            <w:pPr>
              <w:jc w:val="center"/>
              <w:rPr>
                <w:b/>
                <w:bCs/>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58" w:type="dxa"/>
            <w:gridSpan w:val="4"/>
            <w:vAlign w:val="center"/>
          </w:tcPr>
          <w:p>
            <w:pPr>
              <w:autoSpaceDE w:val="0"/>
              <w:autoSpaceDN w:val="0"/>
              <w:adjustRightInd w:val="0"/>
              <w:snapToGrid w:val="0"/>
              <w:jc w:val="center"/>
              <w:rPr>
                <w:b/>
                <w:bCs/>
                <w:kern w:val="0"/>
                <w:szCs w:val="21"/>
                <w:u w:val="single"/>
              </w:rPr>
            </w:pPr>
            <w:r>
              <w:rPr>
                <w:b/>
                <w:bCs/>
                <w:kern w:val="0"/>
                <w:szCs w:val="21"/>
                <w:u w:val="single"/>
              </w:rPr>
              <w:t>合  计</w:t>
            </w:r>
          </w:p>
        </w:tc>
        <w:tc>
          <w:tcPr>
            <w:tcW w:w="1288" w:type="dxa"/>
            <w:vAlign w:val="center"/>
          </w:tcPr>
          <w:p>
            <w:pPr>
              <w:jc w:val="center"/>
              <w:rPr>
                <w:b/>
                <w:bCs/>
                <w:szCs w:val="21"/>
                <w:u w:val="single"/>
              </w:rPr>
            </w:pPr>
            <w:r>
              <w:rPr>
                <w:b/>
                <w:bCs/>
                <w:szCs w:val="21"/>
                <w:u w:val="single"/>
              </w:rPr>
              <w:t>6</w:t>
            </w:r>
            <w:r>
              <w:rPr>
                <w:rFonts w:hint="eastAsia"/>
                <w:b/>
                <w:bCs/>
                <w:szCs w:val="21"/>
                <w:u w:val="single"/>
              </w:rPr>
              <w:t>54</w:t>
            </w:r>
          </w:p>
        </w:tc>
      </w:tr>
    </w:tbl>
    <w:p>
      <w:pPr>
        <w:pStyle w:val="4"/>
        <w:spacing w:before="156" w:after="156"/>
        <w:rPr>
          <w:rFonts w:hAnsi="Times New Roman"/>
          <w:color w:val="000000"/>
        </w:rPr>
      </w:pPr>
      <w:bookmarkStart w:id="288" w:name="_Toc488572575"/>
      <w:bookmarkStart w:id="289" w:name="_Toc3019541"/>
      <w:r>
        <w:rPr>
          <w:rFonts w:hAnsi="Times New Roman"/>
          <w:color w:val="000000"/>
        </w:rPr>
        <w:t>5.4环保投资竣工验收内容</w:t>
      </w:r>
      <w:bookmarkEnd w:id="288"/>
      <w:bookmarkEnd w:id="289"/>
    </w:p>
    <w:p>
      <w:pPr>
        <w:topLinePunct/>
        <w:spacing w:line="500" w:lineRule="exact"/>
        <w:ind w:firstLine="480" w:firstLineChars="200"/>
        <w:rPr>
          <w:color w:val="000000"/>
        </w:rPr>
      </w:pPr>
      <w:r>
        <w:rPr>
          <w:color w:val="000000"/>
          <w:sz w:val="24"/>
        </w:rPr>
        <w:t>建设项目的竣工环境保护验收是环境保护行政主管部门在项目建设末期对项目监管的最后一道关口。《建设项目竣工环境保护验收管理办法》第三条规定，建设项目竣工环境保护验收是指建设项目竣工后，环境保护行政主管部门根据本办法规定，依据环境保护验收监测或调查结果，并通过现场检查等手段，考核该建设项目是否达到环境保护要求的活动。工程环保设施竣工验收内容见表5-19。</w:t>
      </w:r>
    </w:p>
    <w:p>
      <w:pPr>
        <w:topLinePunct/>
        <w:rPr>
          <w:color w:val="000000"/>
        </w:rPr>
        <w:sectPr>
          <w:pgSz w:w="11906" w:h="16838"/>
          <w:pgMar w:top="1701" w:right="1588" w:bottom="1985" w:left="1588" w:header="851" w:footer="992" w:gutter="0"/>
          <w:cols w:space="720" w:num="1"/>
          <w:docGrid w:type="linesAndChars" w:linePitch="312" w:charSpace="0"/>
        </w:sectPr>
      </w:pPr>
    </w:p>
    <w:p>
      <w:pPr>
        <w:topLinePunct/>
        <w:rPr>
          <w:b/>
          <w:bCs w:val="0"/>
          <w:color w:val="000000"/>
          <w:u w:val="single"/>
        </w:rPr>
      </w:pPr>
    </w:p>
    <w:tbl>
      <w:tblPr>
        <w:tblStyle w:val="44"/>
        <w:tblW w:w="1337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27"/>
        <w:gridCol w:w="426"/>
        <w:gridCol w:w="532"/>
        <w:gridCol w:w="992"/>
        <w:gridCol w:w="418"/>
        <w:gridCol w:w="858"/>
        <w:gridCol w:w="1701"/>
        <w:gridCol w:w="1418"/>
        <w:gridCol w:w="1270"/>
        <w:gridCol w:w="479"/>
        <w:gridCol w:w="1653"/>
        <w:gridCol w:w="319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restart"/>
            <w:vAlign w:val="center"/>
          </w:tcPr>
          <w:p>
            <w:pPr>
              <w:widowControl/>
              <w:topLinePunct/>
              <w:adjustRightInd w:val="0"/>
              <w:jc w:val="center"/>
              <w:rPr>
                <w:b/>
                <w:bCs w:val="0"/>
                <w:color w:val="000000"/>
                <w:szCs w:val="21"/>
                <w:u w:val="single"/>
              </w:rPr>
            </w:pPr>
            <w:r>
              <w:rPr>
                <w:b/>
                <w:bCs w:val="0"/>
                <w:color w:val="000000"/>
                <w:szCs w:val="21"/>
                <w:u w:val="single"/>
              </w:rPr>
              <w:t>项目</w:t>
            </w:r>
          </w:p>
        </w:tc>
        <w:tc>
          <w:tcPr>
            <w:tcW w:w="958" w:type="dxa"/>
            <w:gridSpan w:val="2"/>
            <w:vMerge w:val="restart"/>
            <w:vAlign w:val="center"/>
          </w:tcPr>
          <w:p>
            <w:pPr>
              <w:widowControl/>
              <w:topLinePunct/>
              <w:adjustRightInd w:val="0"/>
              <w:jc w:val="center"/>
              <w:rPr>
                <w:b/>
                <w:bCs w:val="0"/>
                <w:color w:val="000000"/>
                <w:szCs w:val="21"/>
                <w:u w:val="single"/>
              </w:rPr>
            </w:pPr>
            <w:r>
              <w:rPr>
                <w:b/>
                <w:bCs w:val="0"/>
                <w:color w:val="000000"/>
                <w:szCs w:val="21"/>
                <w:u w:val="single"/>
              </w:rPr>
              <w:t>产污环节</w:t>
            </w:r>
          </w:p>
        </w:tc>
        <w:tc>
          <w:tcPr>
            <w:tcW w:w="2268" w:type="dxa"/>
            <w:gridSpan w:val="3"/>
            <w:vAlign w:val="center"/>
          </w:tcPr>
          <w:p>
            <w:pPr>
              <w:widowControl/>
              <w:topLinePunct/>
              <w:adjustRightInd w:val="0"/>
              <w:jc w:val="center"/>
              <w:rPr>
                <w:b/>
                <w:bCs w:val="0"/>
                <w:color w:val="000000"/>
                <w:szCs w:val="21"/>
                <w:u w:val="single"/>
              </w:rPr>
            </w:pPr>
            <w:r>
              <w:rPr>
                <w:b/>
                <w:bCs w:val="0"/>
                <w:color w:val="000000"/>
                <w:szCs w:val="21"/>
                <w:u w:val="single"/>
              </w:rPr>
              <w:t>源强</w:t>
            </w:r>
          </w:p>
        </w:tc>
        <w:tc>
          <w:tcPr>
            <w:tcW w:w="1701" w:type="dxa"/>
            <w:vMerge w:val="restart"/>
            <w:vAlign w:val="center"/>
          </w:tcPr>
          <w:p>
            <w:pPr>
              <w:widowControl/>
              <w:topLinePunct/>
              <w:adjustRightInd w:val="0"/>
              <w:jc w:val="center"/>
              <w:rPr>
                <w:b/>
                <w:bCs w:val="0"/>
                <w:color w:val="000000"/>
                <w:szCs w:val="21"/>
                <w:u w:val="single"/>
              </w:rPr>
            </w:pPr>
            <w:r>
              <w:rPr>
                <w:b/>
                <w:bCs w:val="0"/>
                <w:color w:val="000000"/>
                <w:szCs w:val="21"/>
                <w:u w:val="single"/>
              </w:rPr>
              <w:pict>
                <v:shape id="_x0000_s3476" o:spid="_x0000_s3476" o:spt="202" type="#_x0000_t202" style="position:absolute;left:0pt;margin-left:99.35pt;margin-top:-26.2pt;height:26.2pt;width:278.15pt;z-index:251665408;mso-width-relative:page;mso-height-relative:page;" filled="f" stroked="f" coordsize="21600,21600">
                  <v:path/>
                  <v:fill on="f" focussize="0,0"/>
                  <v:stroke on="f" joinstyle="miter"/>
                  <v:imagedata o:title=""/>
                  <o:lock v:ext="edit"/>
                  <v:textbox>
                    <w:txbxContent>
                      <w:p>
                        <w:pPr>
                          <w:rPr>
                            <w:b/>
                            <w:szCs w:val="21"/>
                          </w:rPr>
                        </w:pPr>
                        <w:r>
                          <w:rPr>
                            <w:rFonts w:hint="eastAsia"/>
                            <w:b/>
                            <w:szCs w:val="21"/>
                          </w:rPr>
                          <w:t>表5-19</w:t>
                        </w:r>
                        <w:r>
                          <w:rPr>
                            <w:b/>
                            <w:szCs w:val="21"/>
                          </w:rPr>
                          <w:t>环保设施竣工验收</w:t>
                        </w:r>
                        <w:r>
                          <w:rPr>
                            <w:rFonts w:hint="eastAsia"/>
                            <w:b/>
                            <w:szCs w:val="21"/>
                          </w:rPr>
                          <w:t>一览表</w:t>
                        </w:r>
                      </w:p>
                    </w:txbxContent>
                  </v:textbox>
                </v:shape>
              </w:pict>
            </w:r>
            <w:r>
              <w:rPr>
                <w:b/>
                <w:bCs w:val="0"/>
                <w:color w:val="000000"/>
                <w:szCs w:val="21"/>
                <w:u w:val="single"/>
              </w:rPr>
              <w:t>防治措施</w:t>
            </w:r>
          </w:p>
        </w:tc>
        <w:tc>
          <w:tcPr>
            <w:tcW w:w="1418" w:type="dxa"/>
            <w:vMerge w:val="restart"/>
            <w:vAlign w:val="center"/>
          </w:tcPr>
          <w:p>
            <w:pPr>
              <w:widowControl/>
              <w:topLinePunct/>
              <w:adjustRightInd w:val="0"/>
              <w:jc w:val="center"/>
              <w:rPr>
                <w:b/>
                <w:bCs w:val="0"/>
                <w:color w:val="000000"/>
                <w:szCs w:val="21"/>
                <w:u w:val="single"/>
              </w:rPr>
            </w:pPr>
            <w:r>
              <w:rPr>
                <w:b/>
                <w:bCs w:val="0"/>
                <w:color w:val="000000"/>
                <w:szCs w:val="21"/>
                <w:u w:val="single"/>
              </w:rPr>
              <w:t>排放量/浓度</w:t>
            </w:r>
          </w:p>
        </w:tc>
        <w:tc>
          <w:tcPr>
            <w:tcW w:w="3402" w:type="dxa"/>
            <w:gridSpan w:val="3"/>
            <w:vMerge w:val="restart"/>
            <w:vAlign w:val="center"/>
          </w:tcPr>
          <w:p>
            <w:pPr>
              <w:widowControl/>
              <w:topLinePunct/>
              <w:adjustRightInd w:val="0"/>
              <w:jc w:val="center"/>
              <w:rPr>
                <w:b/>
                <w:bCs w:val="0"/>
                <w:color w:val="000000"/>
                <w:szCs w:val="21"/>
                <w:u w:val="single"/>
              </w:rPr>
            </w:pPr>
            <w:r>
              <w:rPr>
                <w:b/>
                <w:bCs w:val="0"/>
                <w:color w:val="000000"/>
                <w:szCs w:val="21"/>
                <w:u w:val="single"/>
              </w:rPr>
              <w:t>验收内容</w:t>
            </w:r>
          </w:p>
        </w:tc>
        <w:tc>
          <w:tcPr>
            <w:tcW w:w="3196" w:type="dxa"/>
            <w:vMerge w:val="restart"/>
            <w:vAlign w:val="center"/>
          </w:tcPr>
          <w:p>
            <w:pPr>
              <w:widowControl/>
              <w:topLinePunct/>
              <w:adjustRightInd w:val="0"/>
              <w:jc w:val="center"/>
              <w:rPr>
                <w:b/>
                <w:bCs w:val="0"/>
                <w:color w:val="000000"/>
                <w:szCs w:val="21"/>
                <w:u w:val="single"/>
              </w:rPr>
            </w:pPr>
            <w:r>
              <w:rPr>
                <w:b/>
                <w:bCs w:val="0"/>
                <w:color w:val="000000"/>
                <w:szCs w:val="21"/>
                <w:u w:val="single"/>
              </w:rPr>
              <w:t>满足标准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widowControl/>
              <w:topLinePunct/>
              <w:adjustRightInd w:val="0"/>
              <w:jc w:val="center"/>
              <w:rPr>
                <w:b/>
                <w:bCs w:val="0"/>
                <w:color w:val="000000"/>
                <w:szCs w:val="21"/>
                <w:u w:val="single"/>
              </w:rPr>
            </w:pPr>
          </w:p>
        </w:tc>
        <w:tc>
          <w:tcPr>
            <w:tcW w:w="958" w:type="dxa"/>
            <w:gridSpan w:val="2"/>
            <w:vMerge w:val="continue"/>
            <w:vAlign w:val="center"/>
          </w:tcPr>
          <w:p>
            <w:pPr>
              <w:widowControl/>
              <w:topLinePunct/>
              <w:adjustRightInd w:val="0"/>
              <w:jc w:val="center"/>
              <w:rPr>
                <w:b/>
                <w:bCs w:val="0"/>
                <w:color w:val="000000"/>
                <w:szCs w:val="21"/>
                <w:u w:val="single"/>
              </w:rPr>
            </w:pPr>
          </w:p>
        </w:tc>
        <w:tc>
          <w:tcPr>
            <w:tcW w:w="992" w:type="dxa"/>
            <w:vAlign w:val="center"/>
          </w:tcPr>
          <w:p>
            <w:pPr>
              <w:widowControl/>
              <w:topLinePunct/>
              <w:adjustRightInd w:val="0"/>
              <w:jc w:val="center"/>
              <w:rPr>
                <w:b/>
                <w:bCs w:val="0"/>
                <w:color w:val="000000"/>
                <w:szCs w:val="21"/>
                <w:u w:val="single"/>
              </w:rPr>
            </w:pPr>
            <w:r>
              <w:rPr>
                <w:b/>
                <w:bCs w:val="0"/>
                <w:color w:val="000000"/>
                <w:szCs w:val="21"/>
                <w:u w:val="single"/>
              </w:rPr>
              <w:t>产生量</w:t>
            </w:r>
          </w:p>
        </w:tc>
        <w:tc>
          <w:tcPr>
            <w:tcW w:w="1276" w:type="dxa"/>
            <w:gridSpan w:val="2"/>
            <w:vAlign w:val="center"/>
          </w:tcPr>
          <w:p>
            <w:pPr>
              <w:widowControl/>
              <w:topLinePunct/>
              <w:adjustRightInd w:val="0"/>
              <w:jc w:val="center"/>
              <w:rPr>
                <w:b/>
                <w:bCs w:val="0"/>
                <w:color w:val="000000"/>
                <w:szCs w:val="21"/>
                <w:u w:val="single"/>
              </w:rPr>
            </w:pPr>
            <w:r>
              <w:rPr>
                <w:b/>
                <w:bCs w:val="0"/>
                <w:color w:val="000000"/>
                <w:szCs w:val="21"/>
                <w:u w:val="single"/>
              </w:rPr>
              <w:t>产生浓度</w:t>
            </w:r>
          </w:p>
        </w:tc>
        <w:tc>
          <w:tcPr>
            <w:tcW w:w="1701" w:type="dxa"/>
            <w:vMerge w:val="continue"/>
            <w:vAlign w:val="center"/>
          </w:tcPr>
          <w:p>
            <w:pPr>
              <w:widowControl/>
              <w:topLinePunct/>
              <w:adjustRightInd w:val="0"/>
              <w:jc w:val="center"/>
              <w:rPr>
                <w:b/>
                <w:bCs w:val="0"/>
                <w:color w:val="000000"/>
                <w:szCs w:val="21"/>
                <w:u w:val="single"/>
              </w:rPr>
            </w:pPr>
          </w:p>
        </w:tc>
        <w:tc>
          <w:tcPr>
            <w:tcW w:w="1418" w:type="dxa"/>
            <w:vMerge w:val="continue"/>
            <w:vAlign w:val="center"/>
          </w:tcPr>
          <w:p>
            <w:pPr>
              <w:widowControl/>
              <w:topLinePunct/>
              <w:adjustRightInd w:val="0"/>
              <w:jc w:val="center"/>
              <w:rPr>
                <w:b/>
                <w:bCs w:val="0"/>
                <w:color w:val="000000"/>
                <w:szCs w:val="21"/>
                <w:u w:val="single"/>
              </w:rPr>
            </w:pPr>
          </w:p>
        </w:tc>
        <w:tc>
          <w:tcPr>
            <w:tcW w:w="3402" w:type="dxa"/>
            <w:gridSpan w:val="3"/>
            <w:vMerge w:val="continue"/>
            <w:vAlign w:val="center"/>
          </w:tcPr>
          <w:p>
            <w:pPr>
              <w:widowControl/>
              <w:topLinePunct/>
              <w:adjustRightInd w:val="0"/>
              <w:jc w:val="center"/>
              <w:rPr>
                <w:b/>
                <w:bCs w:val="0"/>
                <w:color w:val="000000"/>
                <w:szCs w:val="21"/>
                <w:u w:val="single"/>
              </w:rPr>
            </w:pPr>
          </w:p>
        </w:tc>
        <w:tc>
          <w:tcPr>
            <w:tcW w:w="3196" w:type="dxa"/>
            <w:vMerge w:val="continue"/>
            <w:vAlign w:val="center"/>
          </w:tcPr>
          <w:p>
            <w:pPr>
              <w:widowControl/>
              <w:topLinePunct/>
              <w:adjustRightInd w:val="0"/>
              <w:jc w:val="center"/>
              <w:rPr>
                <w:b/>
                <w:bCs w:val="0"/>
                <w:color w:val="000000"/>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restart"/>
            <w:vAlign w:val="center"/>
          </w:tcPr>
          <w:p>
            <w:pPr>
              <w:widowControl/>
              <w:topLinePunct/>
              <w:adjustRightInd w:val="0"/>
              <w:jc w:val="center"/>
              <w:rPr>
                <w:b/>
                <w:bCs w:val="0"/>
                <w:color w:val="000000"/>
                <w:szCs w:val="21"/>
                <w:u w:val="single"/>
              </w:rPr>
            </w:pPr>
            <w:r>
              <w:rPr>
                <w:b/>
                <w:bCs w:val="0"/>
                <w:color w:val="000000"/>
                <w:szCs w:val="21"/>
                <w:u w:val="single"/>
              </w:rPr>
              <w:t>废水</w:t>
            </w:r>
          </w:p>
        </w:tc>
        <w:tc>
          <w:tcPr>
            <w:tcW w:w="958" w:type="dxa"/>
            <w:gridSpan w:val="2"/>
            <w:vMerge w:val="restart"/>
            <w:vAlign w:val="center"/>
          </w:tcPr>
          <w:p>
            <w:pPr>
              <w:widowControl/>
              <w:topLinePunct/>
              <w:adjustRightInd w:val="0"/>
              <w:jc w:val="center"/>
              <w:rPr>
                <w:b/>
                <w:bCs w:val="0"/>
                <w:color w:val="000000"/>
                <w:szCs w:val="21"/>
                <w:u w:val="single"/>
              </w:rPr>
            </w:pPr>
            <w:r>
              <w:rPr>
                <w:b/>
                <w:bCs w:val="0"/>
                <w:color w:val="000000"/>
                <w:szCs w:val="21"/>
                <w:u w:val="single"/>
              </w:rPr>
              <w:t>养殖废水、</w:t>
            </w:r>
          </w:p>
          <w:p>
            <w:pPr>
              <w:widowControl/>
              <w:topLinePunct/>
              <w:adjustRightInd w:val="0"/>
              <w:jc w:val="center"/>
              <w:rPr>
                <w:b/>
                <w:bCs w:val="0"/>
                <w:color w:val="000000"/>
                <w:szCs w:val="21"/>
                <w:u w:val="single"/>
              </w:rPr>
            </w:pPr>
            <w:r>
              <w:rPr>
                <w:b/>
                <w:bCs w:val="0"/>
                <w:color w:val="000000"/>
                <w:szCs w:val="21"/>
                <w:u w:val="single"/>
              </w:rPr>
              <w:t>生活污水</w:t>
            </w:r>
          </w:p>
        </w:tc>
        <w:tc>
          <w:tcPr>
            <w:tcW w:w="992" w:type="dxa"/>
            <w:vMerge w:val="restart"/>
            <w:vAlign w:val="center"/>
          </w:tcPr>
          <w:p>
            <w:pPr>
              <w:widowControl/>
              <w:topLinePunct/>
              <w:adjustRightInd w:val="0"/>
              <w:jc w:val="center"/>
              <w:rPr>
                <w:b/>
                <w:bCs w:val="0"/>
                <w:color w:val="000000"/>
                <w:szCs w:val="21"/>
                <w:u w:val="single"/>
              </w:rPr>
            </w:pPr>
            <w:r>
              <w:rPr>
                <w:b/>
                <w:bCs w:val="0"/>
                <w:color w:val="000000"/>
                <w:szCs w:val="21"/>
                <w:u w:val="single"/>
              </w:rPr>
              <w:t>72737.2m</w:t>
            </w:r>
            <w:r>
              <w:rPr>
                <w:b/>
                <w:bCs w:val="0"/>
                <w:color w:val="000000"/>
                <w:szCs w:val="21"/>
                <w:u w:val="single"/>
                <w:vertAlign w:val="superscript"/>
              </w:rPr>
              <w:t>3</w:t>
            </w:r>
            <w:r>
              <w:rPr>
                <w:b/>
                <w:bCs w:val="0"/>
                <w:color w:val="000000"/>
                <w:szCs w:val="21"/>
                <w:u w:val="single"/>
              </w:rPr>
              <w:t>/a</w:t>
            </w:r>
          </w:p>
        </w:tc>
        <w:tc>
          <w:tcPr>
            <w:tcW w:w="1276" w:type="dxa"/>
            <w:gridSpan w:val="2"/>
            <w:vMerge w:val="restart"/>
            <w:vAlign w:val="center"/>
          </w:tcPr>
          <w:p>
            <w:pPr>
              <w:widowControl/>
              <w:topLinePunct/>
              <w:adjustRightInd w:val="0"/>
              <w:jc w:val="center"/>
              <w:rPr>
                <w:b/>
                <w:bCs w:val="0"/>
                <w:color w:val="000000"/>
                <w:szCs w:val="21"/>
                <w:u w:val="single"/>
              </w:rPr>
            </w:pPr>
            <w:r>
              <w:rPr>
                <w:b/>
                <w:bCs w:val="0"/>
                <w:color w:val="000000"/>
                <w:szCs w:val="21"/>
                <w:u w:val="single"/>
              </w:rPr>
              <w:t>COD：15000mg/L</w:t>
            </w:r>
          </w:p>
          <w:p>
            <w:pPr>
              <w:pStyle w:val="14"/>
              <w:rPr>
                <w:b/>
                <w:bCs w:val="0"/>
                <w:u w:val="single"/>
              </w:rPr>
            </w:pPr>
            <w:r>
              <w:rPr>
                <w:b/>
                <w:bCs w:val="0"/>
                <w:color w:val="000000"/>
                <w:szCs w:val="21"/>
                <w:u w:val="single"/>
              </w:rPr>
              <w:t>BOD</w:t>
            </w:r>
            <w:r>
              <w:rPr>
                <w:b/>
                <w:bCs w:val="0"/>
                <w:color w:val="000000"/>
                <w:szCs w:val="21"/>
                <w:u w:val="single"/>
                <w:vertAlign w:val="subscript"/>
              </w:rPr>
              <w:t>5</w:t>
            </w:r>
            <w:r>
              <w:rPr>
                <w:b/>
                <w:bCs w:val="0"/>
                <w:color w:val="000000"/>
                <w:szCs w:val="21"/>
                <w:u w:val="single"/>
              </w:rPr>
              <w:t>：</w:t>
            </w:r>
            <w:r>
              <w:rPr>
                <w:b/>
                <w:bCs w:val="0"/>
                <w:u w:val="single"/>
              </w:rPr>
              <w:t>8000</w:t>
            </w:r>
          </w:p>
          <w:p>
            <w:pPr>
              <w:widowControl/>
              <w:topLinePunct/>
              <w:adjustRightInd w:val="0"/>
              <w:jc w:val="center"/>
              <w:rPr>
                <w:b/>
                <w:bCs w:val="0"/>
                <w:color w:val="000000"/>
                <w:szCs w:val="21"/>
                <w:u w:val="single"/>
                <w:vertAlign w:val="subscript"/>
              </w:rPr>
            </w:pPr>
            <w:r>
              <w:rPr>
                <w:b/>
                <w:bCs w:val="0"/>
                <w:color w:val="000000"/>
                <w:szCs w:val="21"/>
                <w:u w:val="single"/>
              </w:rPr>
              <w:t>mg/L</w:t>
            </w:r>
          </w:p>
          <w:p>
            <w:pPr>
              <w:widowControl/>
              <w:topLinePunct/>
              <w:adjustRightInd w:val="0"/>
              <w:jc w:val="center"/>
              <w:rPr>
                <w:b/>
                <w:bCs w:val="0"/>
                <w:color w:val="000000"/>
                <w:szCs w:val="21"/>
                <w:u w:val="single"/>
              </w:rPr>
            </w:pPr>
            <w:r>
              <w:rPr>
                <w:b/>
                <w:bCs w:val="0"/>
                <w:color w:val="000000"/>
                <w:szCs w:val="21"/>
                <w:u w:val="single"/>
              </w:rPr>
              <w:t>SS：</w:t>
            </w:r>
            <w:r>
              <w:rPr>
                <w:b/>
                <w:bCs w:val="0"/>
                <w:u w:val="single"/>
              </w:rPr>
              <w:t>16000</w:t>
            </w:r>
            <w:r>
              <w:rPr>
                <w:b/>
                <w:bCs w:val="0"/>
                <w:color w:val="000000"/>
                <w:szCs w:val="21"/>
                <w:u w:val="single"/>
              </w:rPr>
              <w:t>mg/L</w:t>
            </w:r>
          </w:p>
          <w:p>
            <w:pPr>
              <w:widowControl/>
              <w:topLinePunct/>
              <w:adjustRightInd w:val="0"/>
              <w:jc w:val="center"/>
              <w:rPr>
                <w:b/>
                <w:bCs w:val="0"/>
                <w:color w:val="000000"/>
                <w:szCs w:val="21"/>
                <w:u w:val="single"/>
              </w:rPr>
            </w:pPr>
            <w:r>
              <w:rPr>
                <w:b/>
                <w:bCs w:val="0"/>
                <w:color w:val="000000"/>
                <w:szCs w:val="21"/>
                <w:u w:val="single"/>
              </w:rPr>
              <w:t>NH</w:t>
            </w:r>
            <w:r>
              <w:rPr>
                <w:b/>
                <w:bCs w:val="0"/>
                <w:color w:val="000000"/>
                <w:szCs w:val="21"/>
                <w:u w:val="single"/>
                <w:vertAlign w:val="subscript"/>
              </w:rPr>
              <w:t>3</w:t>
            </w:r>
            <w:r>
              <w:rPr>
                <w:b/>
                <w:bCs w:val="0"/>
                <w:color w:val="000000"/>
                <w:szCs w:val="21"/>
                <w:u w:val="single"/>
              </w:rPr>
              <w:t>-N：1200mg/L</w:t>
            </w:r>
          </w:p>
        </w:tc>
        <w:tc>
          <w:tcPr>
            <w:tcW w:w="1701" w:type="dxa"/>
            <w:vMerge w:val="restart"/>
            <w:vAlign w:val="center"/>
          </w:tcPr>
          <w:p>
            <w:pPr>
              <w:widowControl/>
              <w:topLinePunct/>
              <w:adjustRightInd w:val="0"/>
              <w:jc w:val="center"/>
              <w:rPr>
                <w:b/>
                <w:bCs w:val="0"/>
                <w:color w:val="000000"/>
                <w:szCs w:val="21"/>
                <w:u w:val="single"/>
              </w:rPr>
            </w:pPr>
            <w:r>
              <w:rPr>
                <w:b/>
                <w:bCs w:val="0"/>
                <w:color w:val="000000"/>
                <w:szCs w:val="21"/>
                <w:u w:val="single"/>
              </w:rPr>
              <w:t>养殖废水与生活污水混合后经场区1套盖泄湖沼气池处理，定期经过配套施肥系统用于农田施肥</w:t>
            </w:r>
          </w:p>
        </w:tc>
        <w:tc>
          <w:tcPr>
            <w:tcW w:w="1418" w:type="dxa"/>
            <w:vMerge w:val="restart"/>
            <w:vAlign w:val="center"/>
          </w:tcPr>
          <w:p>
            <w:pPr>
              <w:widowControl/>
              <w:topLinePunct/>
              <w:adjustRightInd w:val="0"/>
              <w:jc w:val="center"/>
              <w:rPr>
                <w:b/>
                <w:bCs w:val="0"/>
                <w:color w:val="000000"/>
                <w:szCs w:val="21"/>
                <w:u w:val="single"/>
              </w:rPr>
            </w:pPr>
            <w:r>
              <w:rPr>
                <w:b/>
                <w:bCs w:val="0"/>
                <w:color w:val="000000"/>
                <w:szCs w:val="21"/>
                <w:u w:val="single"/>
              </w:rPr>
              <w:t>出水浓度： COD：3000mg/L</w:t>
            </w:r>
          </w:p>
          <w:p>
            <w:pPr>
              <w:widowControl/>
              <w:topLinePunct/>
              <w:adjustRightInd w:val="0"/>
              <w:jc w:val="center"/>
              <w:rPr>
                <w:b/>
                <w:bCs w:val="0"/>
                <w:color w:val="000000"/>
                <w:szCs w:val="21"/>
                <w:u w:val="single"/>
                <w:vertAlign w:val="subscript"/>
              </w:rPr>
            </w:pPr>
            <w:r>
              <w:rPr>
                <w:b/>
                <w:bCs w:val="0"/>
                <w:color w:val="000000"/>
                <w:szCs w:val="21"/>
                <w:u w:val="single"/>
              </w:rPr>
              <w:t>BOD</w:t>
            </w:r>
            <w:r>
              <w:rPr>
                <w:b/>
                <w:bCs w:val="0"/>
                <w:color w:val="000000"/>
                <w:szCs w:val="21"/>
                <w:u w:val="single"/>
                <w:vertAlign w:val="subscript"/>
              </w:rPr>
              <w:t>5</w:t>
            </w:r>
            <w:r>
              <w:rPr>
                <w:b/>
                <w:bCs w:val="0"/>
                <w:color w:val="000000"/>
                <w:szCs w:val="21"/>
                <w:u w:val="single"/>
              </w:rPr>
              <w:t>：1400mg/L</w:t>
            </w:r>
          </w:p>
          <w:p>
            <w:pPr>
              <w:widowControl/>
              <w:topLinePunct/>
              <w:adjustRightInd w:val="0"/>
              <w:jc w:val="center"/>
              <w:rPr>
                <w:b/>
                <w:bCs w:val="0"/>
                <w:color w:val="000000"/>
                <w:szCs w:val="21"/>
                <w:u w:val="single"/>
              </w:rPr>
            </w:pPr>
            <w:r>
              <w:rPr>
                <w:b/>
                <w:bCs w:val="0"/>
                <w:color w:val="000000"/>
                <w:szCs w:val="21"/>
                <w:u w:val="single"/>
              </w:rPr>
              <w:t>SS：2000mg/L</w:t>
            </w:r>
          </w:p>
          <w:p>
            <w:pPr>
              <w:widowControl/>
              <w:topLinePunct/>
              <w:adjustRightInd w:val="0"/>
              <w:jc w:val="center"/>
              <w:rPr>
                <w:b/>
                <w:bCs w:val="0"/>
                <w:color w:val="000000"/>
                <w:szCs w:val="21"/>
                <w:u w:val="single"/>
              </w:rPr>
            </w:pPr>
            <w:r>
              <w:rPr>
                <w:b/>
                <w:bCs w:val="0"/>
                <w:color w:val="000000"/>
                <w:szCs w:val="21"/>
                <w:u w:val="single"/>
              </w:rPr>
              <w:t>NH</w:t>
            </w:r>
            <w:r>
              <w:rPr>
                <w:b/>
                <w:bCs w:val="0"/>
                <w:color w:val="000000"/>
                <w:szCs w:val="21"/>
                <w:u w:val="single"/>
                <w:vertAlign w:val="subscript"/>
              </w:rPr>
              <w:t>3</w:t>
            </w:r>
            <w:r>
              <w:rPr>
                <w:b/>
                <w:bCs w:val="0"/>
                <w:color w:val="000000"/>
                <w:szCs w:val="21"/>
                <w:u w:val="single"/>
              </w:rPr>
              <w:t>-N：900mg/L</w:t>
            </w:r>
          </w:p>
        </w:tc>
        <w:tc>
          <w:tcPr>
            <w:tcW w:w="1270" w:type="dxa"/>
            <w:vAlign w:val="center"/>
          </w:tcPr>
          <w:p>
            <w:pPr>
              <w:widowControl/>
              <w:topLinePunct/>
              <w:adjustRightInd w:val="0"/>
              <w:jc w:val="center"/>
              <w:rPr>
                <w:b/>
                <w:bCs w:val="0"/>
                <w:color w:val="000000"/>
                <w:szCs w:val="21"/>
                <w:u w:val="single"/>
              </w:rPr>
            </w:pPr>
            <w:r>
              <w:rPr>
                <w:b/>
                <w:bCs w:val="0"/>
                <w:color w:val="000000"/>
                <w:szCs w:val="21"/>
                <w:u w:val="single"/>
              </w:rPr>
              <w:t>污水处理设施</w:t>
            </w:r>
          </w:p>
        </w:tc>
        <w:tc>
          <w:tcPr>
            <w:tcW w:w="2132" w:type="dxa"/>
            <w:gridSpan w:val="2"/>
            <w:vAlign w:val="center"/>
          </w:tcPr>
          <w:p>
            <w:pPr>
              <w:widowControl/>
              <w:topLinePunct/>
              <w:adjustRightInd w:val="0"/>
              <w:jc w:val="center"/>
              <w:rPr>
                <w:b/>
                <w:bCs w:val="0"/>
                <w:color w:val="000000"/>
                <w:szCs w:val="21"/>
                <w:u w:val="single"/>
              </w:rPr>
            </w:pPr>
            <w:r>
              <w:rPr>
                <w:b/>
                <w:bCs w:val="0"/>
                <w:color w:val="000000"/>
                <w:szCs w:val="21"/>
                <w:u w:val="single"/>
              </w:rPr>
              <w:t>位于场区东部，包括</w:t>
            </w:r>
            <w:r>
              <w:rPr>
                <w:b/>
                <w:bCs w:val="0"/>
                <w:color w:val="000000"/>
                <w:kern w:val="0"/>
                <w:szCs w:val="21"/>
                <w:u w:val="single"/>
              </w:rPr>
              <w:t>收集池1座314m</w:t>
            </w:r>
            <w:r>
              <w:rPr>
                <w:b/>
                <w:bCs w:val="0"/>
                <w:color w:val="000000"/>
                <w:kern w:val="0"/>
                <w:szCs w:val="21"/>
                <w:u w:val="single"/>
                <w:vertAlign w:val="superscript"/>
              </w:rPr>
              <w:t>3</w:t>
            </w:r>
            <w:r>
              <w:rPr>
                <w:b/>
                <w:bCs w:val="0"/>
                <w:color w:val="000000"/>
                <w:kern w:val="0"/>
                <w:szCs w:val="21"/>
                <w:u w:val="single"/>
              </w:rPr>
              <w:t>，盖泄湖沼气池1座10243m</w:t>
            </w:r>
            <w:r>
              <w:rPr>
                <w:b/>
                <w:bCs w:val="0"/>
                <w:color w:val="000000"/>
                <w:kern w:val="0"/>
                <w:szCs w:val="21"/>
                <w:u w:val="single"/>
                <w:vertAlign w:val="superscript"/>
              </w:rPr>
              <w:t>3</w:t>
            </w:r>
            <w:r>
              <w:rPr>
                <w:b/>
                <w:bCs w:val="0"/>
                <w:color w:val="000000"/>
                <w:kern w:val="0"/>
                <w:szCs w:val="21"/>
                <w:u w:val="single"/>
              </w:rPr>
              <w:t>。沼液储存池1个，总容积</w:t>
            </w:r>
            <w:r>
              <w:rPr>
                <w:b/>
                <w:bCs w:val="0"/>
                <w:szCs w:val="21"/>
                <w:u w:val="single"/>
              </w:rPr>
              <w:t>64006</w:t>
            </w:r>
            <w:r>
              <w:rPr>
                <w:b/>
                <w:bCs w:val="0"/>
                <w:color w:val="000000"/>
                <w:kern w:val="0"/>
                <w:szCs w:val="21"/>
                <w:u w:val="single"/>
              </w:rPr>
              <w:t>m</w:t>
            </w:r>
            <w:r>
              <w:rPr>
                <w:b/>
                <w:bCs w:val="0"/>
                <w:color w:val="000000"/>
                <w:kern w:val="0"/>
                <w:szCs w:val="21"/>
                <w:u w:val="single"/>
                <w:vertAlign w:val="superscript"/>
              </w:rPr>
              <w:t>3</w:t>
            </w:r>
            <w:r>
              <w:rPr>
                <w:b/>
                <w:bCs w:val="0"/>
                <w:color w:val="000000"/>
                <w:szCs w:val="21"/>
                <w:u w:val="single"/>
              </w:rPr>
              <w:t>；</w:t>
            </w:r>
          </w:p>
        </w:tc>
        <w:tc>
          <w:tcPr>
            <w:tcW w:w="3196" w:type="dxa"/>
            <w:vMerge w:val="restart"/>
            <w:vAlign w:val="center"/>
          </w:tcPr>
          <w:p>
            <w:pPr>
              <w:widowControl/>
              <w:topLinePunct/>
              <w:adjustRightInd w:val="0"/>
              <w:jc w:val="center"/>
              <w:rPr>
                <w:b/>
                <w:bCs w:val="0"/>
                <w:color w:val="000000"/>
                <w:szCs w:val="21"/>
                <w:u w:val="single"/>
              </w:rPr>
            </w:pPr>
            <w:r>
              <w:rPr>
                <w:b/>
                <w:bCs w:val="0"/>
                <w:color w:val="000000"/>
                <w:szCs w:val="21"/>
                <w:u w:val="single"/>
              </w:rPr>
              <w:t>废水中主要污染物去除效率为COD80%、BOD</w:t>
            </w:r>
            <w:r>
              <w:rPr>
                <w:b/>
                <w:bCs w:val="0"/>
                <w:color w:val="000000"/>
                <w:szCs w:val="21"/>
                <w:u w:val="single"/>
                <w:vertAlign w:val="subscript"/>
              </w:rPr>
              <w:t>5</w:t>
            </w:r>
            <w:r>
              <w:rPr>
                <w:b/>
                <w:bCs w:val="0"/>
                <w:color w:val="000000"/>
                <w:szCs w:val="21"/>
                <w:u w:val="single"/>
              </w:rPr>
              <w:t>82.5%、SS 87.5%、氨氮25%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bCs w:val="0"/>
                <w:color w:val="000000"/>
                <w:szCs w:val="21"/>
                <w:u w:val="single"/>
              </w:rPr>
            </w:pPr>
          </w:p>
        </w:tc>
        <w:tc>
          <w:tcPr>
            <w:tcW w:w="958" w:type="dxa"/>
            <w:gridSpan w:val="2"/>
            <w:vMerge w:val="continue"/>
            <w:vAlign w:val="center"/>
          </w:tcPr>
          <w:p>
            <w:pPr>
              <w:topLinePunct/>
              <w:jc w:val="center"/>
              <w:rPr>
                <w:b/>
                <w:bCs w:val="0"/>
                <w:color w:val="000000"/>
                <w:szCs w:val="21"/>
                <w:u w:val="single"/>
              </w:rPr>
            </w:pPr>
          </w:p>
        </w:tc>
        <w:tc>
          <w:tcPr>
            <w:tcW w:w="992" w:type="dxa"/>
            <w:vMerge w:val="continue"/>
            <w:vAlign w:val="center"/>
          </w:tcPr>
          <w:p>
            <w:pPr>
              <w:topLinePunct/>
              <w:jc w:val="center"/>
              <w:rPr>
                <w:b/>
                <w:bCs w:val="0"/>
                <w:color w:val="000000"/>
                <w:szCs w:val="21"/>
                <w:u w:val="single"/>
              </w:rPr>
            </w:pPr>
          </w:p>
        </w:tc>
        <w:tc>
          <w:tcPr>
            <w:tcW w:w="1276" w:type="dxa"/>
            <w:gridSpan w:val="2"/>
            <w:vMerge w:val="continue"/>
            <w:vAlign w:val="center"/>
          </w:tcPr>
          <w:p>
            <w:pPr>
              <w:topLinePunct/>
              <w:jc w:val="center"/>
              <w:rPr>
                <w:b/>
                <w:bCs w:val="0"/>
                <w:color w:val="000000"/>
                <w:szCs w:val="21"/>
                <w:u w:val="single"/>
              </w:rPr>
            </w:pPr>
          </w:p>
        </w:tc>
        <w:tc>
          <w:tcPr>
            <w:tcW w:w="1701" w:type="dxa"/>
            <w:vMerge w:val="continue"/>
            <w:vAlign w:val="center"/>
          </w:tcPr>
          <w:p>
            <w:pPr>
              <w:topLinePunct/>
              <w:jc w:val="center"/>
              <w:rPr>
                <w:b/>
                <w:bCs w:val="0"/>
                <w:color w:val="000000"/>
                <w:szCs w:val="21"/>
                <w:u w:val="single"/>
              </w:rPr>
            </w:pPr>
          </w:p>
        </w:tc>
        <w:tc>
          <w:tcPr>
            <w:tcW w:w="1418" w:type="dxa"/>
            <w:vMerge w:val="continue"/>
            <w:vAlign w:val="center"/>
          </w:tcPr>
          <w:p>
            <w:pPr>
              <w:topLinePunct/>
              <w:jc w:val="center"/>
              <w:rPr>
                <w:b/>
                <w:bCs w:val="0"/>
                <w:color w:val="000000"/>
                <w:szCs w:val="21"/>
                <w:u w:val="single"/>
              </w:rPr>
            </w:pPr>
          </w:p>
        </w:tc>
        <w:tc>
          <w:tcPr>
            <w:tcW w:w="1270" w:type="dxa"/>
            <w:vAlign w:val="center"/>
          </w:tcPr>
          <w:p>
            <w:pPr>
              <w:topLinePunct/>
              <w:jc w:val="center"/>
              <w:rPr>
                <w:b/>
                <w:bCs w:val="0"/>
                <w:color w:val="000000"/>
                <w:szCs w:val="21"/>
                <w:u w:val="single"/>
              </w:rPr>
            </w:pPr>
            <w:r>
              <w:rPr>
                <w:b/>
                <w:bCs w:val="0"/>
                <w:color w:val="000000"/>
                <w:szCs w:val="21"/>
                <w:u w:val="single"/>
              </w:rPr>
              <w:t>施肥</w:t>
            </w:r>
          </w:p>
          <w:p>
            <w:pPr>
              <w:topLinePunct/>
              <w:jc w:val="center"/>
              <w:rPr>
                <w:b/>
                <w:bCs w:val="0"/>
                <w:color w:val="000000"/>
                <w:szCs w:val="21"/>
                <w:u w:val="single"/>
              </w:rPr>
            </w:pPr>
            <w:r>
              <w:rPr>
                <w:b/>
                <w:bCs w:val="0"/>
                <w:color w:val="000000"/>
                <w:szCs w:val="21"/>
                <w:u w:val="single"/>
              </w:rPr>
              <w:t>系统</w:t>
            </w:r>
          </w:p>
        </w:tc>
        <w:tc>
          <w:tcPr>
            <w:tcW w:w="2132" w:type="dxa"/>
            <w:gridSpan w:val="2"/>
            <w:vAlign w:val="center"/>
          </w:tcPr>
          <w:p>
            <w:pPr>
              <w:topLinePunct/>
              <w:jc w:val="center"/>
              <w:rPr>
                <w:b/>
                <w:bCs w:val="0"/>
                <w:color w:val="000000"/>
                <w:szCs w:val="21"/>
                <w:u w:val="single"/>
              </w:rPr>
            </w:pPr>
            <w:r>
              <w:rPr>
                <w:b/>
                <w:bCs w:val="0"/>
                <w:color w:val="000000"/>
                <w:szCs w:val="21"/>
                <w:u w:val="single"/>
              </w:rPr>
              <w:t>全场沼液输送主管网长度3</w:t>
            </w:r>
            <w:r>
              <w:rPr>
                <w:rFonts w:hint="eastAsia"/>
                <w:b/>
                <w:bCs w:val="0"/>
                <w:color w:val="000000"/>
                <w:szCs w:val="21"/>
                <w:u w:val="single"/>
              </w:rPr>
              <w:t>6</w:t>
            </w:r>
            <w:r>
              <w:rPr>
                <w:b/>
                <w:bCs w:val="0"/>
                <w:color w:val="000000"/>
                <w:szCs w:val="21"/>
                <w:u w:val="single"/>
              </w:rPr>
              <w:t>00m，直径为1</w:t>
            </w:r>
            <w:r>
              <w:rPr>
                <w:rFonts w:hint="eastAsia"/>
                <w:b/>
                <w:bCs w:val="0"/>
                <w:color w:val="000000"/>
                <w:szCs w:val="21"/>
                <w:u w:val="single"/>
              </w:rPr>
              <w:t>1</w:t>
            </w:r>
            <w:r>
              <w:rPr>
                <w:b/>
                <w:bCs w:val="0"/>
                <w:color w:val="000000"/>
                <w:szCs w:val="21"/>
                <w:u w:val="single"/>
              </w:rPr>
              <w:t>0mm；支管网长度为</w:t>
            </w:r>
            <w:r>
              <w:rPr>
                <w:rFonts w:hint="eastAsia"/>
                <w:b/>
                <w:bCs w:val="0"/>
                <w:color w:val="000000"/>
                <w:szCs w:val="21"/>
                <w:u w:val="single"/>
              </w:rPr>
              <w:t>3400</w:t>
            </w:r>
            <w:r>
              <w:rPr>
                <w:b/>
                <w:bCs w:val="0"/>
                <w:color w:val="000000"/>
                <w:szCs w:val="21"/>
                <w:u w:val="single"/>
              </w:rPr>
              <w:t>m，直径为</w:t>
            </w:r>
            <w:r>
              <w:rPr>
                <w:rFonts w:hint="eastAsia"/>
                <w:b/>
                <w:bCs w:val="0"/>
                <w:color w:val="000000"/>
                <w:szCs w:val="21"/>
                <w:u w:val="single"/>
              </w:rPr>
              <w:t>75</w:t>
            </w:r>
            <w:r>
              <w:rPr>
                <w:b/>
                <w:bCs w:val="0"/>
                <w:color w:val="000000"/>
                <w:szCs w:val="21"/>
                <w:u w:val="single"/>
              </w:rPr>
              <w:t>mm；管材为PVC管。并在配套农田西侧和东侧方位各设置1口地下水观测井</w:t>
            </w:r>
          </w:p>
        </w:tc>
        <w:tc>
          <w:tcPr>
            <w:tcW w:w="3196" w:type="dxa"/>
            <w:vMerge w:val="continue"/>
            <w:vAlign w:val="center"/>
          </w:tcPr>
          <w:p>
            <w:pPr>
              <w:topLinePunct/>
              <w:jc w:val="center"/>
              <w:rPr>
                <w:b/>
                <w:bCs w:val="0"/>
                <w:color w:val="000000"/>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restart"/>
            <w:vAlign w:val="center"/>
          </w:tcPr>
          <w:p>
            <w:pPr>
              <w:topLinePunct/>
              <w:jc w:val="center"/>
              <w:rPr>
                <w:b/>
                <w:bCs w:val="0"/>
                <w:color w:val="000000"/>
                <w:szCs w:val="21"/>
                <w:u w:val="single"/>
              </w:rPr>
            </w:pPr>
            <w:r>
              <w:rPr>
                <w:b/>
                <w:bCs w:val="0"/>
                <w:color w:val="000000"/>
                <w:szCs w:val="21"/>
                <w:u w:val="single"/>
              </w:rPr>
              <w:t>废气</w:t>
            </w:r>
          </w:p>
        </w:tc>
        <w:tc>
          <w:tcPr>
            <w:tcW w:w="958" w:type="dxa"/>
            <w:gridSpan w:val="2"/>
            <w:vAlign w:val="center"/>
          </w:tcPr>
          <w:p>
            <w:pPr>
              <w:topLinePunct/>
              <w:jc w:val="center"/>
              <w:rPr>
                <w:b/>
                <w:bCs w:val="0"/>
                <w:color w:val="000000"/>
                <w:szCs w:val="21"/>
                <w:u w:val="single"/>
              </w:rPr>
            </w:pPr>
            <w:r>
              <w:rPr>
                <w:b/>
                <w:bCs w:val="0"/>
                <w:color w:val="000000"/>
                <w:szCs w:val="21"/>
                <w:u w:val="single"/>
              </w:rPr>
              <w:t>猪舍</w:t>
            </w:r>
          </w:p>
        </w:tc>
        <w:tc>
          <w:tcPr>
            <w:tcW w:w="2268" w:type="dxa"/>
            <w:gridSpan w:val="3"/>
            <w:vMerge w:val="restart"/>
            <w:vAlign w:val="center"/>
          </w:tcPr>
          <w:p>
            <w:pPr>
              <w:topLinePunct/>
              <w:jc w:val="center"/>
              <w:rPr>
                <w:b/>
                <w:bCs w:val="0"/>
                <w:color w:val="000000"/>
                <w:szCs w:val="21"/>
                <w:u w:val="single"/>
              </w:rPr>
            </w:pPr>
            <w:r>
              <w:rPr>
                <w:b/>
                <w:bCs w:val="0"/>
                <w:color w:val="000000"/>
                <w:szCs w:val="21"/>
                <w:u w:val="single"/>
              </w:rPr>
              <w:t>NH</w:t>
            </w:r>
            <w:r>
              <w:rPr>
                <w:b/>
                <w:bCs w:val="0"/>
                <w:color w:val="000000"/>
                <w:szCs w:val="21"/>
                <w:u w:val="single"/>
                <w:vertAlign w:val="subscript"/>
              </w:rPr>
              <w:t>3</w:t>
            </w:r>
            <w:r>
              <w:rPr>
                <w:b/>
                <w:bCs w:val="0"/>
                <w:color w:val="000000"/>
                <w:szCs w:val="21"/>
                <w:u w:val="single"/>
              </w:rPr>
              <w:t>:</w:t>
            </w:r>
            <w:r>
              <w:rPr>
                <w:rFonts w:hint="eastAsia"/>
                <w:b/>
                <w:bCs w:val="0"/>
                <w:snapToGrid w:val="0"/>
                <w:spacing w:val="-4"/>
                <w:szCs w:val="21"/>
                <w:u w:val="single"/>
              </w:rPr>
              <w:t>4.776</w:t>
            </w:r>
            <w:r>
              <w:rPr>
                <w:b/>
                <w:bCs w:val="0"/>
                <w:color w:val="000000"/>
                <w:szCs w:val="21"/>
                <w:u w:val="single"/>
              </w:rPr>
              <w:t>t/a</w:t>
            </w:r>
          </w:p>
          <w:p>
            <w:pPr>
              <w:topLinePunct/>
              <w:jc w:val="center"/>
              <w:rPr>
                <w:b/>
                <w:bCs w:val="0"/>
                <w:color w:val="000000"/>
                <w:szCs w:val="21"/>
                <w:u w:val="single"/>
              </w:rPr>
            </w:pPr>
            <w:r>
              <w:rPr>
                <w:b/>
                <w:bCs w:val="0"/>
                <w:color w:val="000000"/>
                <w:szCs w:val="21"/>
                <w:u w:val="single"/>
              </w:rPr>
              <w:t>H</w:t>
            </w:r>
            <w:r>
              <w:rPr>
                <w:b/>
                <w:bCs w:val="0"/>
                <w:color w:val="000000"/>
                <w:szCs w:val="21"/>
                <w:u w:val="single"/>
                <w:vertAlign w:val="subscript"/>
              </w:rPr>
              <w:t>2</w:t>
            </w:r>
            <w:r>
              <w:rPr>
                <w:b/>
                <w:bCs w:val="0"/>
                <w:color w:val="000000"/>
                <w:szCs w:val="21"/>
                <w:u w:val="single"/>
              </w:rPr>
              <w:t>S :</w:t>
            </w:r>
            <w:r>
              <w:rPr>
                <w:b/>
                <w:bCs w:val="0"/>
                <w:snapToGrid w:val="0"/>
                <w:spacing w:val="-4"/>
                <w:szCs w:val="21"/>
                <w:u w:val="single"/>
              </w:rPr>
              <w:t>0.</w:t>
            </w:r>
            <w:r>
              <w:rPr>
                <w:rFonts w:hint="eastAsia"/>
                <w:b/>
                <w:bCs w:val="0"/>
                <w:snapToGrid w:val="0"/>
                <w:spacing w:val="-4"/>
                <w:szCs w:val="21"/>
                <w:u w:val="single"/>
              </w:rPr>
              <w:t>3469</w:t>
            </w:r>
            <w:r>
              <w:rPr>
                <w:b/>
                <w:bCs w:val="0"/>
                <w:color w:val="000000"/>
                <w:szCs w:val="21"/>
                <w:u w:val="single"/>
              </w:rPr>
              <w:t>t/a</w:t>
            </w:r>
          </w:p>
        </w:tc>
        <w:tc>
          <w:tcPr>
            <w:tcW w:w="1701" w:type="dxa"/>
            <w:vAlign w:val="center"/>
          </w:tcPr>
          <w:p>
            <w:pPr>
              <w:topLinePunct/>
              <w:jc w:val="center"/>
              <w:rPr>
                <w:b/>
                <w:bCs w:val="0"/>
                <w:color w:val="000000"/>
                <w:szCs w:val="21"/>
                <w:u w:val="single"/>
              </w:rPr>
            </w:pPr>
            <w:r>
              <w:rPr>
                <w:b/>
                <w:bCs w:val="0"/>
                <w:color w:val="000000"/>
                <w:szCs w:val="21"/>
                <w:u w:val="single"/>
              </w:rPr>
              <w:t>定期冲圈，喷洒除臭剂</w:t>
            </w:r>
          </w:p>
        </w:tc>
        <w:tc>
          <w:tcPr>
            <w:tcW w:w="1418" w:type="dxa"/>
            <w:vMerge w:val="restart"/>
            <w:vAlign w:val="center"/>
          </w:tcPr>
          <w:p>
            <w:pPr>
              <w:topLinePunct/>
              <w:jc w:val="center"/>
              <w:rPr>
                <w:b/>
                <w:bCs w:val="0"/>
                <w:color w:val="000000"/>
                <w:szCs w:val="21"/>
                <w:u w:val="single"/>
              </w:rPr>
            </w:pPr>
            <w:r>
              <w:rPr>
                <w:b/>
                <w:bCs w:val="0"/>
                <w:color w:val="000000"/>
                <w:szCs w:val="21"/>
                <w:u w:val="single"/>
              </w:rPr>
              <w:t>NH</w:t>
            </w:r>
            <w:r>
              <w:rPr>
                <w:b/>
                <w:bCs w:val="0"/>
                <w:color w:val="000000"/>
                <w:szCs w:val="21"/>
                <w:u w:val="single"/>
                <w:vertAlign w:val="subscript"/>
              </w:rPr>
              <w:t>3</w:t>
            </w:r>
            <w:r>
              <w:rPr>
                <w:b/>
                <w:bCs w:val="0"/>
                <w:color w:val="000000"/>
                <w:szCs w:val="21"/>
                <w:u w:val="single"/>
              </w:rPr>
              <w:t>:</w:t>
            </w:r>
            <w:r>
              <w:rPr>
                <w:b/>
                <w:bCs w:val="0"/>
                <w:snapToGrid w:val="0"/>
                <w:spacing w:val="-4"/>
                <w:szCs w:val="21"/>
                <w:u w:val="single"/>
              </w:rPr>
              <w:t>1.</w:t>
            </w:r>
            <w:r>
              <w:rPr>
                <w:rFonts w:hint="eastAsia"/>
                <w:b/>
                <w:bCs w:val="0"/>
                <w:snapToGrid w:val="0"/>
                <w:spacing w:val="-4"/>
                <w:szCs w:val="21"/>
                <w:u w:val="single"/>
              </w:rPr>
              <w:t>43</w:t>
            </w:r>
            <w:r>
              <w:rPr>
                <w:b/>
                <w:bCs w:val="0"/>
                <w:snapToGrid w:val="0"/>
                <w:spacing w:val="-4"/>
                <w:szCs w:val="21"/>
                <w:u w:val="single"/>
              </w:rPr>
              <w:t>3</w:t>
            </w:r>
            <w:r>
              <w:rPr>
                <w:b/>
                <w:bCs w:val="0"/>
                <w:color w:val="000000"/>
                <w:szCs w:val="21"/>
                <w:u w:val="single"/>
              </w:rPr>
              <w:t>t/a</w:t>
            </w:r>
          </w:p>
          <w:p>
            <w:pPr>
              <w:topLinePunct/>
              <w:jc w:val="center"/>
              <w:rPr>
                <w:b/>
                <w:bCs w:val="0"/>
                <w:color w:val="000000"/>
                <w:szCs w:val="21"/>
                <w:u w:val="single"/>
              </w:rPr>
            </w:pPr>
            <w:r>
              <w:rPr>
                <w:b/>
                <w:bCs w:val="0"/>
                <w:color w:val="000000"/>
                <w:szCs w:val="21"/>
                <w:u w:val="single"/>
              </w:rPr>
              <w:t>H</w:t>
            </w:r>
            <w:r>
              <w:rPr>
                <w:b/>
                <w:bCs w:val="0"/>
                <w:color w:val="000000"/>
                <w:szCs w:val="21"/>
                <w:u w:val="single"/>
                <w:vertAlign w:val="subscript"/>
              </w:rPr>
              <w:t>2</w:t>
            </w:r>
            <w:r>
              <w:rPr>
                <w:b/>
                <w:bCs w:val="0"/>
                <w:color w:val="000000"/>
                <w:szCs w:val="21"/>
                <w:u w:val="single"/>
              </w:rPr>
              <w:t>S :0.1</w:t>
            </w:r>
            <w:r>
              <w:rPr>
                <w:rFonts w:hint="eastAsia"/>
                <w:b/>
                <w:bCs w:val="0"/>
                <w:color w:val="000000"/>
                <w:szCs w:val="21"/>
                <w:u w:val="single"/>
              </w:rPr>
              <w:t>0367</w:t>
            </w:r>
            <w:r>
              <w:rPr>
                <w:b/>
                <w:bCs w:val="0"/>
                <w:color w:val="000000"/>
                <w:szCs w:val="21"/>
                <w:u w:val="single"/>
              </w:rPr>
              <w:t>t/a</w:t>
            </w:r>
          </w:p>
        </w:tc>
        <w:tc>
          <w:tcPr>
            <w:tcW w:w="1270" w:type="dxa"/>
            <w:vAlign w:val="center"/>
          </w:tcPr>
          <w:p>
            <w:pPr>
              <w:tabs>
                <w:tab w:val="right" w:leader="dot" w:pos="8647"/>
              </w:tabs>
              <w:topLinePunct/>
              <w:jc w:val="center"/>
              <w:rPr>
                <w:b/>
                <w:bCs w:val="0"/>
                <w:color w:val="000000"/>
                <w:szCs w:val="21"/>
                <w:u w:val="single"/>
              </w:rPr>
            </w:pPr>
            <w:r>
              <w:rPr>
                <w:b/>
                <w:bCs w:val="0"/>
                <w:color w:val="000000"/>
                <w:szCs w:val="21"/>
                <w:u w:val="single"/>
              </w:rPr>
              <w:t>定期冲圈，喷洒除臭剂，除臭效率70%</w:t>
            </w:r>
          </w:p>
        </w:tc>
        <w:tc>
          <w:tcPr>
            <w:tcW w:w="479" w:type="dxa"/>
            <w:vMerge w:val="restart"/>
            <w:vAlign w:val="center"/>
          </w:tcPr>
          <w:p>
            <w:pPr>
              <w:tabs>
                <w:tab w:val="right" w:leader="dot" w:pos="8647"/>
              </w:tabs>
              <w:topLinePunct/>
              <w:jc w:val="center"/>
              <w:rPr>
                <w:b/>
                <w:bCs w:val="0"/>
                <w:color w:val="000000"/>
                <w:szCs w:val="21"/>
                <w:u w:val="single"/>
              </w:rPr>
            </w:pPr>
            <w:r>
              <w:rPr>
                <w:b/>
                <w:bCs w:val="0"/>
                <w:color w:val="000000"/>
                <w:szCs w:val="21"/>
                <w:u w:val="single"/>
              </w:rPr>
              <w:t>喷</w:t>
            </w:r>
          </w:p>
          <w:p>
            <w:pPr>
              <w:tabs>
                <w:tab w:val="right" w:leader="dot" w:pos="8647"/>
              </w:tabs>
              <w:topLinePunct/>
              <w:jc w:val="center"/>
              <w:rPr>
                <w:b/>
                <w:bCs w:val="0"/>
                <w:color w:val="000000"/>
                <w:szCs w:val="21"/>
                <w:u w:val="single"/>
              </w:rPr>
            </w:pPr>
            <w:r>
              <w:rPr>
                <w:b/>
                <w:bCs w:val="0"/>
                <w:color w:val="000000"/>
                <w:szCs w:val="21"/>
                <w:u w:val="single"/>
              </w:rPr>
              <w:t>雾</w:t>
            </w:r>
          </w:p>
          <w:p>
            <w:pPr>
              <w:tabs>
                <w:tab w:val="right" w:leader="dot" w:pos="8647"/>
              </w:tabs>
              <w:topLinePunct/>
              <w:jc w:val="center"/>
              <w:rPr>
                <w:b/>
                <w:bCs w:val="0"/>
                <w:color w:val="000000"/>
                <w:szCs w:val="21"/>
                <w:u w:val="single"/>
              </w:rPr>
            </w:pPr>
            <w:r>
              <w:rPr>
                <w:b/>
                <w:bCs w:val="0"/>
                <w:color w:val="000000"/>
                <w:szCs w:val="21"/>
                <w:u w:val="single"/>
              </w:rPr>
              <w:t>器</w:t>
            </w:r>
          </w:p>
          <w:p>
            <w:pPr>
              <w:tabs>
                <w:tab w:val="right" w:leader="dot" w:pos="8647"/>
              </w:tabs>
              <w:topLinePunct/>
              <w:jc w:val="center"/>
              <w:rPr>
                <w:b/>
                <w:bCs w:val="0"/>
                <w:color w:val="000000"/>
                <w:szCs w:val="21"/>
                <w:u w:val="single"/>
              </w:rPr>
            </w:pPr>
            <w:r>
              <w:rPr>
                <w:b/>
                <w:bCs w:val="0"/>
                <w:color w:val="000000"/>
                <w:szCs w:val="21"/>
                <w:u w:val="single"/>
              </w:rPr>
              <w:t>4</w:t>
            </w:r>
          </w:p>
          <w:p>
            <w:pPr>
              <w:tabs>
                <w:tab w:val="right" w:leader="dot" w:pos="8647"/>
              </w:tabs>
              <w:topLinePunct/>
              <w:jc w:val="center"/>
              <w:rPr>
                <w:b/>
                <w:bCs w:val="0"/>
                <w:color w:val="000000"/>
                <w:szCs w:val="21"/>
                <w:u w:val="single"/>
              </w:rPr>
            </w:pPr>
            <w:r>
              <w:rPr>
                <w:b/>
                <w:bCs w:val="0"/>
                <w:color w:val="000000"/>
                <w:szCs w:val="21"/>
                <w:u w:val="single"/>
              </w:rPr>
              <w:t>个</w:t>
            </w:r>
          </w:p>
        </w:tc>
        <w:tc>
          <w:tcPr>
            <w:tcW w:w="1653" w:type="dxa"/>
            <w:vMerge w:val="restart"/>
            <w:vAlign w:val="center"/>
          </w:tcPr>
          <w:p>
            <w:pPr>
              <w:tabs>
                <w:tab w:val="right" w:leader="dot" w:pos="8647"/>
              </w:tabs>
              <w:topLinePunct/>
              <w:jc w:val="center"/>
              <w:rPr>
                <w:b/>
                <w:bCs w:val="0"/>
                <w:color w:val="000000"/>
                <w:szCs w:val="21"/>
                <w:u w:val="single"/>
              </w:rPr>
            </w:pPr>
            <w:r>
              <w:rPr>
                <w:b/>
                <w:bCs w:val="0"/>
                <w:color w:val="000000"/>
                <w:szCs w:val="21"/>
                <w:u w:val="single"/>
              </w:rPr>
              <w:t>除臭剂由人工喷洒，除臭剂的喷洒频率为：前期连续喷洒3天，以后每隔5天喷洒一次</w:t>
            </w:r>
          </w:p>
        </w:tc>
        <w:tc>
          <w:tcPr>
            <w:tcW w:w="3196" w:type="dxa"/>
            <w:vMerge w:val="restart"/>
            <w:vAlign w:val="center"/>
          </w:tcPr>
          <w:p>
            <w:pPr>
              <w:topLinePunct/>
              <w:jc w:val="center"/>
              <w:rPr>
                <w:b/>
                <w:bCs w:val="0"/>
                <w:color w:val="000000"/>
                <w:szCs w:val="21"/>
                <w:u w:val="single"/>
              </w:rPr>
            </w:pPr>
            <w:r>
              <w:rPr>
                <w:b/>
                <w:bCs w:val="0"/>
                <w:color w:val="000000"/>
                <w:szCs w:val="21"/>
                <w:u w:val="single"/>
              </w:rPr>
              <w:t>《恶臭污染物排放标准》（GB14554-93）表1厂界标准值中二级标准要求（无组织）：NH</w:t>
            </w:r>
            <w:r>
              <w:rPr>
                <w:b/>
                <w:bCs w:val="0"/>
                <w:color w:val="000000"/>
                <w:szCs w:val="21"/>
                <w:u w:val="single"/>
                <w:vertAlign w:val="subscript"/>
              </w:rPr>
              <w:t>3</w:t>
            </w:r>
            <w:r>
              <w:rPr>
                <w:b/>
                <w:bCs w:val="0"/>
                <w:color w:val="000000"/>
                <w:szCs w:val="21"/>
                <w:u w:val="single"/>
              </w:rPr>
              <w:t>≤1.5 mg/m</w:t>
            </w:r>
            <w:r>
              <w:rPr>
                <w:b/>
                <w:bCs w:val="0"/>
                <w:color w:val="000000"/>
                <w:szCs w:val="21"/>
                <w:u w:val="single"/>
                <w:vertAlign w:val="superscript"/>
              </w:rPr>
              <w:t>3</w:t>
            </w:r>
            <w:r>
              <w:rPr>
                <w:b/>
                <w:bCs w:val="0"/>
                <w:color w:val="000000"/>
                <w:szCs w:val="21"/>
                <w:u w:val="single"/>
              </w:rPr>
              <w:t>、</w:t>
            </w:r>
          </w:p>
          <w:p>
            <w:pPr>
              <w:topLinePunct/>
              <w:jc w:val="center"/>
              <w:rPr>
                <w:b/>
                <w:bCs w:val="0"/>
                <w:color w:val="000000"/>
                <w:szCs w:val="21"/>
                <w:u w:val="single"/>
              </w:rPr>
            </w:pPr>
            <w:r>
              <w:rPr>
                <w:b/>
                <w:bCs w:val="0"/>
                <w:color w:val="000000"/>
                <w:szCs w:val="21"/>
                <w:u w:val="single"/>
              </w:rPr>
              <w:t>H</w:t>
            </w:r>
            <w:r>
              <w:rPr>
                <w:b/>
                <w:bCs w:val="0"/>
                <w:color w:val="000000"/>
                <w:szCs w:val="21"/>
                <w:u w:val="single"/>
                <w:vertAlign w:val="subscript"/>
              </w:rPr>
              <w:t>2</w:t>
            </w:r>
            <w:r>
              <w:rPr>
                <w:b/>
                <w:bCs w:val="0"/>
                <w:color w:val="000000"/>
                <w:szCs w:val="21"/>
                <w:u w:val="single"/>
              </w:rPr>
              <w:t>S≤0.06 mg/m</w:t>
            </w:r>
            <w:r>
              <w:rPr>
                <w:b/>
                <w:bCs w:val="0"/>
                <w:color w:val="000000"/>
                <w:szCs w:val="21"/>
                <w:u w:val="single"/>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bCs w:val="0"/>
                <w:color w:val="000000"/>
                <w:szCs w:val="21"/>
                <w:u w:val="single"/>
              </w:rPr>
            </w:pPr>
          </w:p>
        </w:tc>
        <w:tc>
          <w:tcPr>
            <w:tcW w:w="958" w:type="dxa"/>
            <w:gridSpan w:val="2"/>
            <w:vAlign w:val="center"/>
          </w:tcPr>
          <w:p>
            <w:pPr>
              <w:topLinePunct/>
              <w:jc w:val="center"/>
              <w:rPr>
                <w:b/>
                <w:bCs w:val="0"/>
                <w:color w:val="000000"/>
                <w:szCs w:val="21"/>
                <w:u w:val="single"/>
              </w:rPr>
            </w:pPr>
            <w:r>
              <w:rPr>
                <w:b/>
                <w:bCs w:val="0"/>
                <w:color w:val="000000"/>
                <w:szCs w:val="21"/>
                <w:u w:val="single"/>
              </w:rPr>
              <w:t>污水处理系统</w:t>
            </w:r>
          </w:p>
        </w:tc>
        <w:tc>
          <w:tcPr>
            <w:tcW w:w="2268" w:type="dxa"/>
            <w:gridSpan w:val="3"/>
            <w:vMerge w:val="continue"/>
            <w:vAlign w:val="center"/>
          </w:tcPr>
          <w:p>
            <w:pPr>
              <w:topLinePunct/>
              <w:jc w:val="center"/>
              <w:rPr>
                <w:b/>
                <w:bCs w:val="0"/>
                <w:color w:val="000000"/>
                <w:szCs w:val="21"/>
                <w:u w:val="single"/>
              </w:rPr>
            </w:pPr>
          </w:p>
        </w:tc>
        <w:tc>
          <w:tcPr>
            <w:tcW w:w="1701" w:type="dxa"/>
            <w:vAlign w:val="center"/>
          </w:tcPr>
          <w:p>
            <w:pPr>
              <w:topLinePunct/>
              <w:jc w:val="center"/>
              <w:rPr>
                <w:b/>
                <w:bCs w:val="0"/>
                <w:color w:val="000000"/>
                <w:szCs w:val="21"/>
                <w:u w:val="single"/>
              </w:rPr>
            </w:pPr>
            <w:r>
              <w:rPr>
                <w:b/>
                <w:bCs w:val="0"/>
                <w:color w:val="000000"/>
                <w:szCs w:val="21"/>
                <w:u w:val="single"/>
              </w:rPr>
              <w:t>喷洒除臭剂</w:t>
            </w:r>
          </w:p>
        </w:tc>
        <w:tc>
          <w:tcPr>
            <w:tcW w:w="1418" w:type="dxa"/>
            <w:vMerge w:val="continue"/>
            <w:vAlign w:val="center"/>
          </w:tcPr>
          <w:p>
            <w:pPr>
              <w:topLinePunct/>
              <w:jc w:val="center"/>
              <w:rPr>
                <w:b/>
                <w:bCs w:val="0"/>
                <w:color w:val="000000"/>
                <w:szCs w:val="21"/>
                <w:u w:val="single"/>
              </w:rPr>
            </w:pPr>
          </w:p>
        </w:tc>
        <w:tc>
          <w:tcPr>
            <w:tcW w:w="1270" w:type="dxa"/>
            <w:vAlign w:val="center"/>
          </w:tcPr>
          <w:p>
            <w:pPr>
              <w:tabs>
                <w:tab w:val="right" w:leader="dot" w:pos="8647"/>
              </w:tabs>
              <w:topLinePunct/>
              <w:adjustRightInd w:val="0"/>
              <w:snapToGrid w:val="0"/>
              <w:ind w:firstLine="105" w:firstLineChars="50"/>
              <w:jc w:val="center"/>
              <w:rPr>
                <w:b/>
                <w:bCs w:val="0"/>
                <w:color w:val="000000"/>
                <w:szCs w:val="21"/>
                <w:u w:val="single"/>
              </w:rPr>
            </w:pPr>
            <w:r>
              <w:rPr>
                <w:b/>
                <w:bCs w:val="0"/>
                <w:color w:val="000000"/>
                <w:szCs w:val="21"/>
                <w:u w:val="single"/>
              </w:rPr>
              <w:t>喷洒除臭剂，除臭效率70%</w:t>
            </w:r>
          </w:p>
        </w:tc>
        <w:tc>
          <w:tcPr>
            <w:tcW w:w="479" w:type="dxa"/>
            <w:vMerge w:val="continue"/>
            <w:vAlign w:val="center"/>
          </w:tcPr>
          <w:p>
            <w:pPr>
              <w:tabs>
                <w:tab w:val="right" w:leader="dot" w:pos="8647"/>
              </w:tabs>
              <w:topLinePunct/>
              <w:adjustRightInd w:val="0"/>
              <w:snapToGrid w:val="0"/>
              <w:ind w:firstLine="105" w:firstLineChars="50"/>
              <w:jc w:val="center"/>
              <w:rPr>
                <w:b/>
                <w:bCs w:val="0"/>
                <w:color w:val="000000"/>
                <w:szCs w:val="21"/>
                <w:u w:val="single"/>
              </w:rPr>
            </w:pPr>
          </w:p>
        </w:tc>
        <w:tc>
          <w:tcPr>
            <w:tcW w:w="1653" w:type="dxa"/>
            <w:vMerge w:val="continue"/>
            <w:vAlign w:val="center"/>
          </w:tcPr>
          <w:p>
            <w:pPr>
              <w:tabs>
                <w:tab w:val="right" w:leader="dot" w:pos="8647"/>
              </w:tabs>
              <w:topLinePunct/>
              <w:adjustRightInd w:val="0"/>
              <w:snapToGrid w:val="0"/>
              <w:ind w:firstLine="105" w:firstLineChars="50"/>
              <w:jc w:val="center"/>
              <w:rPr>
                <w:b/>
                <w:bCs w:val="0"/>
                <w:color w:val="000000"/>
                <w:szCs w:val="21"/>
                <w:u w:val="single"/>
              </w:rPr>
            </w:pPr>
          </w:p>
        </w:tc>
        <w:tc>
          <w:tcPr>
            <w:tcW w:w="3196" w:type="dxa"/>
            <w:vMerge w:val="continue"/>
            <w:vAlign w:val="center"/>
          </w:tcPr>
          <w:p>
            <w:pPr>
              <w:topLinePunct/>
              <w:jc w:val="center"/>
              <w:rPr>
                <w:b/>
                <w:bCs w:val="0"/>
                <w:color w:val="000000"/>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bCs w:val="0"/>
                <w:color w:val="000000"/>
                <w:szCs w:val="21"/>
                <w:u w:val="single"/>
              </w:rPr>
            </w:pPr>
          </w:p>
        </w:tc>
        <w:tc>
          <w:tcPr>
            <w:tcW w:w="958" w:type="dxa"/>
            <w:gridSpan w:val="2"/>
            <w:vAlign w:val="center"/>
          </w:tcPr>
          <w:p>
            <w:pPr>
              <w:topLinePunct/>
              <w:jc w:val="center"/>
              <w:rPr>
                <w:b/>
                <w:bCs w:val="0"/>
                <w:color w:val="000000"/>
                <w:szCs w:val="21"/>
                <w:u w:val="single"/>
              </w:rPr>
            </w:pPr>
            <w:r>
              <w:rPr>
                <w:b/>
                <w:bCs w:val="0"/>
                <w:color w:val="000000"/>
                <w:szCs w:val="21"/>
                <w:u w:val="single"/>
              </w:rPr>
              <w:t>固粪处置区</w:t>
            </w:r>
          </w:p>
        </w:tc>
        <w:tc>
          <w:tcPr>
            <w:tcW w:w="2268" w:type="dxa"/>
            <w:gridSpan w:val="3"/>
            <w:vMerge w:val="continue"/>
            <w:vAlign w:val="center"/>
          </w:tcPr>
          <w:p>
            <w:pPr>
              <w:topLinePunct/>
              <w:jc w:val="center"/>
              <w:rPr>
                <w:b/>
                <w:bCs w:val="0"/>
                <w:color w:val="000000"/>
                <w:szCs w:val="21"/>
                <w:u w:val="single"/>
              </w:rPr>
            </w:pPr>
          </w:p>
        </w:tc>
        <w:tc>
          <w:tcPr>
            <w:tcW w:w="1701" w:type="dxa"/>
            <w:vAlign w:val="center"/>
          </w:tcPr>
          <w:p>
            <w:pPr>
              <w:topLinePunct/>
              <w:jc w:val="center"/>
              <w:rPr>
                <w:b/>
                <w:bCs w:val="0"/>
                <w:color w:val="000000"/>
                <w:szCs w:val="21"/>
                <w:u w:val="single"/>
              </w:rPr>
            </w:pPr>
            <w:r>
              <w:rPr>
                <w:b/>
                <w:bCs w:val="0"/>
                <w:color w:val="000000"/>
                <w:szCs w:val="21"/>
                <w:u w:val="single"/>
              </w:rPr>
              <w:t>设置顶棚，三周设置围挡，铲车翻堆机1台，喷洒除臭剂</w:t>
            </w:r>
          </w:p>
        </w:tc>
        <w:tc>
          <w:tcPr>
            <w:tcW w:w="1418" w:type="dxa"/>
            <w:vMerge w:val="continue"/>
            <w:vAlign w:val="center"/>
          </w:tcPr>
          <w:p>
            <w:pPr>
              <w:topLinePunct/>
              <w:jc w:val="center"/>
              <w:rPr>
                <w:b/>
                <w:bCs w:val="0"/>
                <w:color w:val="000000"/>
                <w:szCs w:val="21"/>
                <w:u w:val="single"/>
              </w:rPr>
            </w:pPr>
          </w:p>
        </w:tc>
        <w:tc>
          <w:tcPr>
            <w:tcW w:w="1270" w:type="dxa"/>
            <w:vAlign w:val="center"/>
          </w:tcPr>
          <w:p>
            <w:pPr>
              <w:tabs>
                <w:tab w:val="right" w:leader="dot" w:pos="8647"/>
              </w:tabs>
              <w:topLinePunct/>
              <w:adjustRightInd w:val="0"/>
              <w:snapToGrid w:val="0"/>
              <w:ind w:firstLine="105" w:firstLineChars="50"/>
              <w:jc w:val="center"/>
              <w:rPr>
                <w:b/>
                <w:bCs w:val="0"/>
                <w:color w:val="000000"/>
                <w:szCs w:val="21"/>
                <w:u w:val="single"/>
              </w:rPr>
            </w:pPr>
            <w:r>
              <w:rPr>
                <w:b/>
                <w:bCs w:val="0"/>
                <w:color w:val="000000"/>
                <w:szCs w:val="21"/>
                <w:u w:val="single"/>
              </w:rPr>
              <w:t>设置顶棚，三周设置围挡，，铲车翻堆机1台，喷洒除臭剂，除臭效率70%</w:t>
            </w:r>
          </w:p>
        </w:tc>
        <w:tc>
          <w:tcPr>
            <w:tcW w:w="479" w:type="dxa"/>
            <w:vMerge w:val="continue"/>
            <w:vAlign w:val="center"/>
          </w:tcPr>
          <w:p>
            <w:pPr>
              <w:tabs>
                <w:tab w:val="right" w:leader="dot" w:pos="8647"/>
              </w:tabs>
              <w:topLinePunct/>
              <w:adjustRightInd w:val="0"/>
              <w:snapToGrid w:val="0"/>
              <w:ind w:firstLine="105" w:firstLineChars="50"/>
              <w:jc w:val="center"/>
              <w:rPr>
                <w:b/>
                <w:bCs w:val="0"/>
                <w:color w:val="000000"/>
                <w:szCs w:val="21"/>
                <w:u w:val="single"/>
              </w:rPr>
            </w:pPr>
          </w:p>
        </w:tc>
        <w:tc>
          <w:tcPr>
            <w:tcW w:w="1653" w:type="dxa"/>
            <w:vAlign w:val="center"/>
          </w:tcPr>
          <w:p>
            <w:pPr>
              <w:tabs>
                <w:tab w:val="right" w:leader="dot" w:pos="8647"/>
              </w:tabs>
              <w:topLinePunct/>
              <w:adjustRightInd w:val="0"/>
              <w:snapToGrid w:val="0"/>
              <w:ind w:firstLine="105" w:firstLineChars="50"/>
              <w:jc w:val="center"/>
              <w:rPr>
                <w:b/>
                <w:bCs w:val="0"/>
                <w:color w:val="000000"/>
                <w:szCs w:val="21"/>
                <w:u w:val="single"/>
              </w:rPr>
            </w:pPr>
            <w:r>
              <w:rPr>
                <w:b/>
                <w:bCs w:val="0"/>
                <w:color w:val="000000"/>
                <w:szCs w:val="21"/>
                <w:u w:val="single"/>
              </w:rPr>
              <w:t>除臭剂的喷洒频率为：每次翻堆时喷洒</w:t>
            </w:r>
          </w:p>
        </w:tc>
        <w:tc>
          <w:tcPr>
            <w:tcW w:w="3196" w:type="dxa"/>
            <w:vMerge w:val="continue"/>
            <w:vAlign w:val="center"/>
          </w:tcPr>
          <w:p>
            <w:pPr>
              <w:topLinePunct/>
              <w:jc w:val="center"/>
              <w:rPr>
                <w:b/>
                <w:bCs w:val="0"/>
                <w:color w:val="000000"/>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bCs w:val="0"/>
                <w:color w:val="000000"/>
                <w:szCs w:val="21"/>
                <w:u w:val="single"/>
              </w:rPr>
            </w:pPr>
          </w:p>
        </w:tc>
        <w:tc>
          <w:tcPr>
            <w:tcW w:w="958" w:type="dxa"/>
            <w:gridSpan w:val="2"/>
            <w:vAlign w:val="center"/>
          </w:tcPr>
          <w:p>
            <w:pPr>
              <w:topLinePunct/>
              <w:jc w:val="center"/>
              <w:rPr>
                <w:b/>
                <w:bCs w:val="0"/>
                <w:color w:val="000000"/>
                <w:szCs w:val="21"/>
                <w:u w:val="single"/>
              </w:rPr>
            </w:pPr>
            <w:r>
              <w:rPr>
                <w:b/>
                <w:bCs w:val="0"/>
                <w:color w:val="000000"/>
                <w:szCs w:val="21"/>
                <w:u w:val="single"/>
              </w:rPr>
              <w:t>沼液储存池</w:t>
            </w:r>
          </w:p>
        </w:tc>
        <w:tc>
          <w:tcPr>
            <w:tcW w:w="2268" w:type="dxa"/>
            <w:gridSpan w:val="3"/>
            <w:vMerge w:val="continue"/>
            <w:vAlign w:val="center"/>
          </w:tcPr>
          <w:p>
            <w:pPr>
              <w:topLinePunct/>
              <w:jc w:val="center"/>
              <w:rPr>
                <w:b/>
                <w:bCs w:val="0"/>
                <w:color w:val="000000"/>
                <w:szCs w:val="21"/>
                <w:u w:val="single"/>
              </w:rPr>
            </w:pPr>
          </w:p>
        </w:tc>
        <w:tc>
          <w:tcPr>
            <w:tcW w:w="1701" w:type="dxa"/>
            <w:vAlign w:val="center"/>
          </w:tcPr>
          <w:p>
            <w:pPr>
              <w:topLinePunct/>
              <w:jc w:val="center"/>
              <w:rPr>
                <w:b/>
                <w:bCs w:val="0"/>
                <w:color w:val="000000"/>
                <w:szCs w:val="21"/>
                <w:u w:val="single"/>
              </w:rPr>
            </w:pPr>
            <w:r>
              <w:rPr>
                <w:b/>
                <w:bCs w:val="0"/>
                <w:color w:val="000000"/>
                <w:szCs w:val="21"/>
                <w:u w:val="single"/>
              </w:rPr>
              <w:t>周边绿化</w:t>
            </w:r>
          </w:p>
        </w:tc>
        <w:tc>
          <w:tcPr>
            <w:tcW w:w="1418" w:type="dxa"/>
            <w:vMerge w:val="continue"/>
            <w:vAlign w:val="center"/>
          </w:tcPr>
          <w:p>
            <w:pPr>
              <w:topLinePunct/>
              <w:jc w:val="center"/>
              <w:rPr>
                <w:b/>
                <w:bCs w:val="0"/>
                <w:color w:val="000000"/>
                <w:szCs w:val="21"/>
                <w:u w:val="single"/>
              </w:rPr>
            </w:pPr>
          </w:p>
        </w:tc>
        <w:tc>
          <w:tcPr>
            <w:tcW w:w="3402" w:type="dxa"/>
            <w:gridSpan w:val="3"/>
            <w:vAlign w:val="center"/>
          </w:tcPr>
          <w:p>
            <w:pPr>
              <w:tabs>
                <w:tab w:val="right" w:leader="dot" w:pos="8647"/>
              </w:tabs>
              <w:topLinePunct/>
              <w:adjustRightInd w:val="0"/>
              <w:snapToGrid w:val="0"/>
              <w:spacing w:line="300" w:lineRule="exact"/>
              <w:jc w:val="center"/>
              <w:rPr>
                <w:b/>
                <w:bCs w:val="0"/>
                <w:color w:val="000000"/>
                <w:szCs w:val="21"/>
                <w:u w:val="single"/>
              </w:rPr>
            </w:pPr>
            <w:r>
              <w:rPr>
                <w:b/>
                <w:bCs w:val="0"/>
                <w:color w:val="000000"/>
                <w:szCs w:val="21"/>
                <w:u w:val="single"/>
              </w:rPr>
              <w:t>草地、灌木、乔木等间隔立体绿化</w:t>
            </w:r>
          </w:p>
        </w:tc>
        <w:tc>
          <w:tcPr>
            <w:tcW w:w="3196" w:type="dxa"/>
            <w:vMerge w:val="continue"/>
            <w:vAlign w:val="center"/>
          </w:tcPr>
          <w:p>
            <w:pPr>
              <w:topLinePunct/>
              <w:jc w:val="center"/>
              <w:rPr>
                <w:b/>
                <w:bCs w:val="0"/>
                <w:color w:val="000000"/>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bCs w:val="0"/>
                <w:color w:val="000000"/>
                <w:szCs w:val="21"/>
                <w:u w:val="single"/>
              </w:rPr>
            </w:pPr>
          </w:p>
        </w:tc>
        <w:tc>
          <w:tcPr>
            <w:tcW w:w="958" w:type="dxa"/>
            <w:gridSpan w:val="2"/>
            <w:vAlign w:val="center"/>
          </w:tcPr>
          <w:p>
            <w:pPr>
              <w:topLinePunct/>
              <w:jc w:val="center"/>
              <w:rPr>
                <w:b/>
                <w:bCs w:val="0"/>
                <w:color w:val="000000"/>
                <w:szCs w:val="21"/>
                <w:u w:val="single"/>
              </w:rPr>
            </w:pPr>
            <w:r>
              <w:rPr>
                <w:b/>
                <w:bCs w:val="0"/>
                <w:color w:val="000000"/>
                <w:szCs w:val="21"/>
                <w:u w:val="single"/>
              </w:rPr>
              <w:t>沼气锅炉</w:t>
            </w:r>
          </w:p>
        </w:tc>
        <w:tc>
          <w:tcPr>
            <w:tcW w:w="1410" w:type="dxa"/>
            <w:gridSpan w:val="2"/>
            <w:vAlign w:val="center"/>
          </w:tcPr>
          <w:p>
            <w:pPr>
              <w:topLinePunct/>
              <w:jc w:val="center"/>
              <w:rPr>
                <w:b/>
                <w:bCs w:val="0"/>
                <w:color w:val="000000"/>
                <w:szCs w:val="21"/>
                <w:u w:val="single"/>
              </w:rPr>
            </w:pPr>
            <w:r>
              <w:rPr>
                <w:b/>
                <w:bCs w:val="0"/>
                <w:color w:val="000000"/>
                <w:szCs w:val="21"/>
                <w:u w:val="single"/>
              </w:rPr>
              <w:t>SO</w:t>
            </w:r>
            <w:r>
              <w:rPr>
                <w:b/>
                <w:bCs w:val="0"/>
                <w:color w:val="000000"/>
                <w:szCs w:val="21"/>
                <w:u w:val="single"/>
                <w:vertAlign w:val="subscript"/>
              </w:rPr>
              <w:t>2</w:t>
            </w:r>
            <w:r>
              <w:rPr>
                <w:b/>
                <w:bCs w:val="0"/>
                <w:color w:val="000000"/>
                <w:szCs w:val="21"/>
                <w:u w:val="single"/>
              </w:rPr>
              <w:t xml:space="preserve"> :</w:t>
            </w:r>
          </w:p>
          <w:p>
            <w:pPr>
              <w:topLinePunct/>
              <w:jc w:val="center"/>
              <w:rPr>
                <w:b/>
                <w:bCs w:val="0"/>
                <w:color w:val="000000"/>
                <w:szCs w:val="21"/>
                <w:u w:val="single"/>
              </w:rPr>
            </w:pPr>
            <w:r>
              <w:rPr>
                <w:b/>
                <w:bCs w:val="0"/>
                <w:color w:val="000000"/>
                <w:szCs w:val="21"/>
                <w:u w:val="single"/>
              </w:rPr>
              <w:t>0.0018t/a</w:t>
            </w:r>
          </w:p>
          <w:p>
            <w:pPr>
              <w:topLinePunct/>
              <w:jc w:val="center"/>
              <w:rPr>
                <w:b/>
                <w:bCs w:val="0"/>
                <w:color w:val="000000"/>
                <w:szCs w:val="21"/>
                <w:u w:val="single"/>
              </w:rPr>
            </w:pPr>
            <w:r>
              <w:rPr>
                <w:b/>
                <w:bCs w:val="0"/>
                <w:color w:val="000000"/>
                <w:szCs w:val="21"/>
                <w:u w:val="single"/>
              </w:rPr>
              <w:t>NO</w:t>
            </w:r>
            <w:r>
              <w:rPr>
                <w:b/>
                <w:bCs w:val="0"/>
                <w:color w:val="000000"/>
                <w:szCs w:val="21"/>
                <w:u w:val="single"/>
                <w:vertAlign w:val="subscript"/>
              </w:rPr>
              <w:t>X</w:t>
            </w:r>
            <w:r>
              <w:rPr>
                <w:b/>
                <w:bCs w:val="0"/>
                <w:color w:val="000000"/>
                <w:szCs w:val="21"/>
                <w:u w:val="single"/>
              </w:rPr>
              <w:t>：</w:t>
            </w:r>
          </w:p>
          <w:p>
            <w:pPr>
              <w:topLinePunct/>
              <w:jc w:val="center"/>
              <w:rPr>
                <w:b/>
                <w:bCs w:val="0"/>
                <w:color w:val="000000"/>
                <w:szCs w:val="21"/>
                <w:u w:val="single"/>
              </w:rPr>
            </w:pPr>
            <w:r>
              <w:rPr>
                <w:b/>
                <w:bCs w:val="0"/>
                <w:color w:val="000000"/>
                <w:szCs w:val="21"/>
                <w:u w:val="single"/>
              </w:rPr>
              <w:t>0.067 t/a</w:t>
            </w:r>
          </w:p>
        </w:tc>
        <w:tc>
          <w:tcPr>
            <w:tcW w:w="858" w:type="dxa"/>
            <w:vAlign w:val="center"/>
          </w:tcPr>
          <w:p>
            <w:pPr>
              <w:topLinePunct/>
              <w:jc w:val="center"/>
              <w:rPr>
                <w:b/>
                <w:bCs w:val="0"/>
                <w:color w:val="000000"/>
                <w:szCs w:val="21"/>
                <w:u w:val="single"/>
              </w:rPr>
            </w:pPr>
            <w:r>
              <w:rPr>
                <w:b/>
                <w:bCs w:val="0"/>
                <w:color w:val="000000"/>
                <w:szCs w:val="21"/>
                <w:u w:val="single"/>
              </w:rPr>
              <w:t>SO</w:t>
            </w:r>
            <w:r>
              <w:rPr>
                <w:b/>
                <w:bCs w:val="0"/>
                <w:color w:val="000000"/>
                <w:szCs w:val="21"/>
                <w:u w:val="single"/>
                <w:vertAlign w:val="subscript"/>
              </w:rPr>
              <w:t>2</w:t>
            </w:r>
            <w:r>
              <w:rPr>
                <w:b/>
                <w:bCs w:val="0"/>
                <w:color w:val="000000"/>
                <w:szCs w:val="21"/>
                <w:u w:val="single"/>
              </w:rPr>
              <w:t xml:space="preserve"> :</w:t>
            </w:r>
          </w:p>
          <w:p>
            <w:pPr>
              <w:topLinePunct/>
              <w:jc w:val="center"/>
              <w:rPr>
                <w:b/>
                <w:bCs w:val="0"/>
                <w:color w:val="000000"/>
                <w:szCs w:val="21"/>
                <w:u w:val="single"/>
              </w:rPr>
            </w:pPr>
            <w:r>
              <w:rPr>
                <w:b/>
                <w:bCs w:val="0"/>
                <w:color w:val="000000"/>
                <w:szCs w:val="21"/>
                <w:u w:val="single"/>
              </w:rPr>
              <w:t>2.21mg/m</w:t>
            </w:r>
            <w:r>
              <w:rPr>
                <w:b/>
                <w:bCs w:val="0"/>
                <w:color w:val="000000"/>
                <w:szCs w:val="21"/>
                <w:u w:val="single"/>
                <w:vertAlign w:val="superscript"/>
              </w:rPr>
              <w:t>3</w:t>
            </w:r>
          </w:p>
          <w:p>
            <w:pPr>
              <w:topLinePunct/>
              <w:jc w:val="center"/>
              <w:rPr>
                <w:b/>
                <w:bCs w:val="0"/>
                <w:color w:val="000000"/>
                <w:szCs w:val="21"/>
                <w:u w:val="single"/>
              </w:rPr>
            </w:pPr>
            <w:r>
              <w:rPr>
                <w:b/>
                <w:bCs w:val="0"/>
                <w:color w:val="000000"/>
                <w:szCs w:val="21"/>
                <w:u w:val="single"/>
              </w:rPr>
              <w:t>NO</w:t>
            </w:r>
            <w:r>
              <w:rPr>
                <w:b/>
                <w:bCs w:val="0"/>
                <w:color w:val="000000"/>
                <w:szCs w:val="21"/>
                <w:u w:val="single"/>
                <w:vertAlign w:val="subscript"/>
              </w:rPr>
              <w:t>X</w:t>
            </w:r>
            <w:r>
              <w:rPr>
                <w:b/>
                <w:bCs w:val="0"/>
                <w:color w:val="000000"/>
                <w:szCs w:val="21"/>
                <w:u w:val="single"/>
              </w:rPr>
              <w:t>：15.78mg/m</w:t>
            </w:r>
            <w:r>
              <w:rPr>
                <w:b/>
                <w:bCs w:val="0"/>
                <w:color w:val="000000"/>
                <w:szCs w:val="21"/>
                <w:u w:val="single"/>
                <w:vertAlign w:val="superscript"/>
              </w:rPr>
              <w:t>3</w:t>
            </w:r>
          </w:p>
        </w:tc>
        <w:tc>
          <w:tcPr>
            <w:tcW w:w="1701" w:type="dxa"/>
            <w:vAlign w:val="center"/>
          </w:tcPr>
          <w:p>
            <w:pPr>
              <w:topLinePunct/>
              <w:jc w:val="center"/>
              <w:rPr>
                <w:b/>
                <w:bCs w:val="0"/>
                <w:color w:val="000000"/>
                <w:szCs w:val="21"/>
                <w:u w:val="single"/>
              </w:rPr>
            </w:pPr>
            <w:r>
              <w:rPr>
                <w:b/>
                <w:bCs w:val="0"/>
                <w:color w:val="000000"/>
                <w:sz w:val="24"/>
                <w:u w:val="single"/>
              </w:rPr>
              <w:t>高效低氮燃烧器+烟气二次燃烧技术</w:t>
            </w:r>
            <w:r>
              <w:rPr>
                <w:b/>
                <w:bCs w:val="0"/>
                <w:color w:val="000000"/>
                <w:szCs w:val="21"/>
                <w:u w:val="single"/>
              </w:rPr>
              <w:t>+8m高排气筒排放</w:t>
            </w:r>
          </w:p>
        </w:tc>
        <w:tc>
          <w:tcPr>
            <w:tcW w:w="1418" w:type="dxa"/>
            <w:vAlign w:val="center"/>
          </w:tcPr>
          <w:p>
            <w:pPr>
              <w:topLinePunct/>
              <w:jc w:val="center"/>
              <w:rPr>
                <w:b/>
                <w:bCs w:val="0"/>
                <w:color w:val="000000"/>
                <w:szCs w:val="21"/>
                <w:u w:val="single"/>
              </w:rPr>
            </w:pPr>
            <w:r>
              <w:rPr>
                <w:b/>
                <w:bCs w:val="0"/>
                <w:color w:val="000000"/>
                <w:szCs w:val="21"/>
                <w:u w:val="single"/>
              </w:rPr>
              <w:t>SO</w:t>
            </w:r>
            <w:r>
              <w:rPr>
                <w:b/>
                <w:bCs w:val="0"/>
                <w:color w:val="000000"/>
                <w:szCs w:val="21"/>
                <w:u w:val="single"/>
                <w:vertAlign w:val="subscript"/>
              </w:rPr>
              <w:t>2</w:t>
            </w:r>
            <w:r>
              <w:rPr>
                <w:b/>
                <w:bCs w:val="0"/>
                <w:color w:val="000000"/>
                <w:szCs w:val="21"/>
                <w:u w:val="single"/>
              </w:rPr>
              <w:t xml:space="preserve"> :</w:t>
            </w:r>
          </w:p>
          <w:p>
            <w:pPr>
              <w:topLinePunct/>
              <w:jc w:val="center"/>
              <w:rPr>
                <w:b/>
                <w:bCs w:val="0"/>
                <w:color w:val="000000"/>
                <w:szCs w:val="21"/>
                <w:u w:val="single"/>
              </w:rPr>
            </w:pPr>
            <w:r>
              <w:rPr>
                <w:b/>
                <w:bCs w:val="0"/>
                <w:color w:val="000000"/>
                <w:szCs w:val="21"/>
                <w:u w:val="single"/>
              </w:rPr>
              <w:t>2.21mg/m</w:t>
            </w:r>
            <w:r>
              <w:rPr>
                <w:b/>
                <w:bCs w:val="0"/>
                <w:color w:val="000000"/>
                <w:szCs w:val="21"/>
                <w:u w:val="single"/>
                <w:vertAlign w:val="superscript"/>
              </w:rPr>
              <w:t>3</w:t>
            </w:r>
          </w:p>
          <w:p>
            <w:pPr>
              <w:topLinePunct/>
              <w:jc w:val="center"/>
              <w:rPr>
                <w:b/>
                <w:bCs w:val="0"/>
                <w:color w:val="000000"/>
                <w:szCs w:val="21"/>
                <w:u w:val="single"/>
              </w:rPr>
            </w:pPr>
            <w:r>
              <w:rPr>
                <w:b/>
                <w:bCs w:val="0"/>
                <w:color w:val="000000"/>
                <w:szCs w:val="21"/>
                <w:u w:val="single"/>
              </w:rPr>
              <w:t>SO</w:t>
            </w:r>
            <w:r>
              <w:rPr>
                <w:b/>
                <w:bCs w:val="0"/>
                <w:color w:val="000000"/>
                <w:szCs w:val="21"/>
                <w:u w:val="single"/>
                <w:vertAlign w:val="subscript"/>
              </w:rPr>
              <w:t>2</w:t>
            </w:r>
            <w:r>
              <w:rPr>
                <w:b/>
                <w:bCs w:val="0"/>
                <w:color w:val="000000"/>
                <w:szCs w:val="21"/>
                <w:u w:val="single"/>
              </w:rPr>
              <w:t xml:space="preserve"> :0.0018t/a</w:t>
            </w:r>
          </w:p>
          <w:p>
            <w:pPr>
              <w:topLinePunct/>
              <w:jc w:val="center"/>
              <w:rPr>
                <w:b/>
                <w:bCs w:val="0"/>
                <w:color w:val="000000"/>
                <w:szCs w:val="21"/>
                <w:u w:val="single"/>
              </w:rPr>
            </w:pPr>
            <w:r>
              <w:rPr>
                <w:b/>
                <w:bCs w:val="0"/>
                <w:color w:val="000000"/>
                <w:szCs w:val="21"/>
                <w:u w:val="single"/>
              </w:rPr>
              <w:t xml:space="preserve"> NO</w:t>
            </w:r>
            <w:r>
              <w:rPr>
                <w:b/>
                <w:bCs w:val="0"/>
                <w:color w:val="000000"/>
                <w:szCs w:val="21"/>
                <w:u w:val="single"/>
                <w:vertAlign w:val="subscript"/>
              </w:rPr>
              <w:t>X</w:t>
            </w:r>
            <w:r>
              <w:rPr>
                <w:b/>
                <w:bCs w:val="0"/>
                <w:color w:val="000000"/>
                <w:szCs w:val="21"/>
                <w:u w:val="single"/>
              </w:rPr>
              <w:t>：15.78mg/m</w:t>
            </w:r>
            <w:r>
              <w:rPr>
                <w:b/>
                <w:bCs w:val="0"/>
                <w:color w:val="000000"/>
                <w:szCs w:val="21"/>
                <w:u w:val="single"/>
                <w:vertAlign w:val="superscript"/>
              </w:rPr>
              <w:t>3</w:t>
            </w:r>
          </w:p>
          <w:p>
            <w:pPr>
              <w:topLinePunct/>
              <w:jc w:val="center"/>
              <w:rPr>
                <w:b/>
                <w:bCs w:val="0"/>
                <w:color w:val="000000"/>
                <w:szCs w:val="21"/>
                <w:u w:val="single"/>
              </w:rPr>
            </w:pPr>
            <w:r>
              <w:rPr>
                <w:b/>
                <w:bCs w:val="0"/>
                <w:color w:val="000000"/>
                <w:szCs w:val="21"/>
                <w:u w:val="single"/>
              </w:rPr>
              <w:t>NO</w:t>
            </w:r>
            <w:r>
              <w:rPr>
                <w:b/>
                <w:bCs w:val="0"/>
                <w:color w:val="000000"/>
                <w:szCs w:val="21"/>
                <w:u w:val="single"/>
                <w:vertAlign w:val="subscript"/>
              </w:rPr>
              <w:t>X</w:t>
            </w:r>
            <w:r>
              <w:rPr>
                <w:b/>
                <w:bCs w:val="0"/>
                <w:color w:val="000000"/>
                <w:szCs w:val="21"/>
                <w:u w:val="single"/>
              </w:rPr>
              <w:t>：0.013 t/a</w:t>
            </w:r>
          </w:p>
        </w:tc>
        <w:tc>
          <w:tcPr>
            <w:tcW w:w="3402" w:type="dxa"/>
            <w:gridSpan w:val="3"/>
            <w:vAlign w:val="center"/>
          </w:tcPr>
          <w:p>
            <w:pPr>
              <w:topLinePunct/>
              <w:jc w:val="center"/>
              <w:rPr>
                <w:b/>
                <w:bCs w:val="0"/>
                <w:color w:val="000000"/>
                <w:szCs w:val="21"/>
                <w:u w:val="single"/>
              </w:rPr>
            </w:pPr>
            <w:r>
              <w:rPr>
                <w:b/>
                <w:bCs w:val="0"/>
                <w:color w:val="000000"/>
                <w:szCs w:val="21"/>
                <w:u w:val="single"/>
              </w:rPr>
              <w:t>1根8m高排气筒排放，排放口规范化，设置排放口标志</w:t>
            </w:r>
          </w:p>
        </w:tc>
        <w:tc>
          <w:tcPr>
            <w:tcW w:w="3196" w:type="dxa"/>
            <w:vAlign w:val="center"/>
          </w:tcPr>
          <w:p>
            <w:pPr>
              <w:topLinePunct/>
              <w:jc w:val="center"/>
              <w:rPr>
                <w:b/>
                <w:bCs w:val="0"/>
                <w:color w:val="000000"/>
                <w:szCs w:val="21"/>
                <w:u w:val="single"/>
              </w:rPr>
            </w:pPr>
            <w:r>
              <w:rPr>
                <w:b/>
                <w:bCs w:val="0"/>
                <w:color w:val="000000"/>
                <w:szCs w:val="21"/>
                <w:u w:val="single"/>
              </w:rPr>
              <w:t>《河南省2019年度锅炉综合整治方案》相关污染物排放限值要求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bCs w:val="0"/>
                <w:color w:val="000000"/>
                <w:szCs w:val="21"/>
                <w:u w:val="single"/>
              </w:rPr>
            </w:pPr>
          </w:p>
        </w:tc>
        <w:tc>
          <w:tcPr>
            <w:tcW w:w="958" w:type="dxa"/>
            <w:gridSpan w:val="2"/>
            <w:vAlign w:val="center"/>
          </w:tcPr>
          <w:p>
            <w:pPr>
              <w:topLinePunct/>
              <w:jc w:val="center"/>
              <w:rPr>
                <w:b/>
                <w:bCs w:val="0"/>
                <w:color w:val="000000"/>
                <w:szCs w:val="21"/>
                <w:u w:val="single"/>
              </w:rPr>
            </w:pPr>
            <w:r>
              <w:rPr>
                <w:b/>
                <w:bCs w:val="0"/>
                <w:color w:val="000000"/>
                <w:szCs w:val="21"/>
                <w:u w:val="single"/>
              </w:rPr>
              <w:t>食堂油烟</w:t>
            </w:r>
          </w:p>
        </w:tc>
        <w:tc>
          <w:tcPr>
            <w:tcW w:w="1410" w:type="dxa"/>
            <w:gridSpan w:val="2"/>
            <w:vAlign w:val="center"/>
          </w:tcPr>
          <w:p>
            <w:pPr>
              <w:topLinePunct/>
              <w:jc w:val="center"/>
              <w:rPr>
                <w:b/>
                <w:bCs w:val="0"/>
                <w:color w:val="000000"/>
                <w:szCs w:val="21"/>
                <w:u w:val="single"/>
              </w:rPr>
            </w:pPr>
            <w:r>
              <w:rPr>
                <w:b/>
                <w:bCs w:val="0"/>
                <w:color w:val="000000"/>
                <w:szCs w:val="21"/>
                <w:u w:val="single"/>
              </w:rPr>
              <w:t>0.01</w:t>
            </w:r>
            <w:r>
              <w:rPr>
                <w:rFonts w:hint="eastAsia"/>
                <w:b/>
                <w:bCs w:val="0"/>
                <w:color w:val="000000"/>
                <w:szCs w:val="21"/>
                <w:u w:val="single"/>
              </w:rPr>
              <w:t>3</w:t>
            </w:r>
            <w:r>
              <w:rPr>
                <w:b/>
                <w:bCs w:val="0"/>
                <w:color w:val="000000"/>
                <w:szCs w:val="21"/>
                <w:u w:val="single"/>
              </w:rPr>
              <w:t>t/a</w:t>
            </w:r>
          </w:p>
        </w:tc>
        <w:tc>
          <w:tcPr>
            <w:tcW w:w="858" w:type="dxa"/>
            <w:vAlign w:val="center"/>
          </w:tcPr>
          <w:p>
            <w:pPr>
              <w:topLinePunct/>
              <w:jc w:val="center"/>
              <w:rPr>
                <w:b/>
                <w:bCs w:val="0"/>
                <w:color w:val="000000"/>
                <w:szCs w:val="21"/>
                <w:u w:val="single"/>
              </w:rPr>
            </w:pPr>
            <w:r>
              <w:rPr>
                <w:rFonts w:hint="eastAsia"/>
                <w:b/>
                <w:bCs w:val="0"/>
                <w:color w:val="000000"/>
                <w:szCs w:val="21"/>
                <w:u w:val="single"/>
              </w:rPr>
              <w:t>2.0</w:t>
            </w:r>
            <w:r>
              <w:rPr>
                <w:b/>
                <w:bCs w:val="0"/>
                <w:color w:val="000000"/>
                <w:szCs w:val="21"/>
                <w:u w:val="single"/>
              </w:rPr>
              <w:t>mg/m</w:t>
            </w:r>
            <w:r>
              <w:rPr>
                <w:b/>
                <w:bCs w:val="0"/>
                <w:color w:val="000000"/>
                <w:szCs w:val="21"/>
                <w:u w:val="single"/>
                <w:vertAlign w:val="superscript"/>
              </w:rPr>
              <w:t>3</w:t>
            </w:r>
          </w:p>
        </w:tc>
        <w:tc>
          <w:tcPr>
            <w:tcW w:w="1701" w:type="dxa"/>
            <w:vAlign w:val="center"/>
          </w:tcPr>
          <w:p>
            <w:pPr>
              <w:topLinePunct/>
              <w:jc w:val="center"/>
              <w:rPr>
                <w:b/>
                <w:bCs w:val="0"/>
                <w:color w:val="000000"/>
                <w:szCs w:val="21"/>
                <w:u w:val="single"/>
              </w:rPr>
            </w:pPr>
            <w:r>
              <w:rPr>
                <w:b/>
                <w:bCs w:val="0"/>
                <w:color w:val="000000"/>
                <w:szCs w:val="21"/>
                <w:u w:val="single"/>
              </w:rPr>
              <w:t>烟气经过处理效率为</w:t>
            </w:r>
            <w:r>
              <w:rPr>
                <w:rFonts w:hint="eastAsia"/>
                <w:b/>
                <w:bCs w:val="0"/>
                <w:color w:val="000000"/>
                <w:szCs w:val="21"/>
                <w:u w:val="single"/>
              </w:rPr>
              <w:t>90</w:t>
            </w:r>
            <w:r>
              <w:rPr>
                <w:b/>
                <w:bCs w:val="0"/>
                <w:color w:val="000000"/>
                <w:szCs w:val="21"/>
                <w:u w:val="single"/>
              </w:rPr>
              <w:t>%的油烟净化装置</w:t>
            </w:r>
          </w:p>
        </w:tc>
        <w:tc>
          <w:tcPr>
            <w:tcW w:w="1418" w:type="dxa"/>
            <w:vAlign w:val="center"/>
          </w:tcPr>
          <w:p>
            <w:pPr>
              <w:tabs>
                <w:tab w:val="right" w:leader="dot" w:pos="8647"/>
              </w:tabs>
              <w:topLinePunct/>
              <w:spacing w:line="320" w:lineRule="exact"/>
              <w:jc w:val="center"/>
              <w:rPr>
                <w:b/>
                <w:bCs w:val="0"/>
                <w:color w:val="000000"/>
                <w:szCs w:val="21"/>
                <w:u w:val="single"/>
              </w:rPr>
            </w:pPr>
            <w:r>
              <w:rPr>
                <w:b/>
                <w:bCs w:val="0"/>
                <w:color w:val="000000"/>
                <w:szCs w:val="21"/>
                <w:u w:val="single"/>
              </w:rPr>
              <w:t>0.001</w:t>
            </w:r>
            <w:r>
              <w:rPr>
                <w:rFonts w:hint="eastAsia"/>
                <w:b/>
                <w:bCs w:val="0"/>
                <w:color w:val="000000"/>
                <w:szCs w:val="21"/>
                <w:u w:val="single"/>
              </w:rPr>
              <w:t>3</w:t>
            </w:r>
            <w:r>
              <w:rPr>
                <w:b/>
                <w:bCs w:val="0"/>
                <w:color w:val="000000"/>
                <w:szCs w:val="21"/>
                <w:u w:val="single"/>
              </w:rPr>
              <w:t>t/a</w:t>
            </w:r>
          </w:p>
        </w:tc>
        <w:tc>
          <w:tcPr>
            <w:tcW w:w="3402" w:type="dxa"/>
            <w:gridSpan w:val="3"/>
            <w:vAlign w:val="center"/>
          </w:tcPr>
          <w:p>
            <w:pPr>
              <w:topLinePunct/>
              <w:jc w:val="center"/>
              <w:rPr>
                <w:b/>
                <w:bCs w:val="0"/>
                <w:color w:val="000000"/>
                <w:szCs w:val="21"/>
                <w:u w:val="single"/>
              </w:rPr>
            </w:pPr>
            <w:r>
              <w:rPr>
                <w:b/>
                <w:bCs w:val="0"/>
                <w:color w:val="000000"/>
                <w:szCs w:val="21"/>
                <w:u w:val="single"/>
              </w:rPr>
              <w:t>1套处理效率为90%的油烟净化装置</w:t>
            </w:r>
          </w:p>
        </w:tc>
        <w:tc>
          <w:tcPr>
            <w:tcW w:w="3196" w:type="dxa"/>
            <w:vAlign w:val="center"/>
          </w:tcPr>
          <w:p>
            <w:pPr>
              <w:topLinePunct/>
              <w:jc w:val="center"/>
              <w:rPr>
                <w:b/>
                <w:bCs w:val="0"/>
                <w:color w:val="000000"/>
                <w:szCs w:val="21"/>
                <w:u w:val="single"/>
              </w:rPr>
            </w:pPr>
            <w:r>
              <w:rPr>
                <w:b/>
                <w:bCs w:val="0"/>
                <w:color w:val="000000"/>
                <w:sz w:val="24"/>
                <w:u w:val="single"/>
              </w:rPr>
              <w:t>《餐饮业油烟污染物排放标准》(DB41/1604—2018)规定限值油烟1.5 mg/m</w:t>
            </w:r>
            <w:r>
              <w:rPr>
                <w:b/>
                <w:bCs w:val="0"/>
                <w:color w:val="000000"/>
                <w:sz w:val="24"/>
                <w:u w:val="single"/>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restart"/>
            <w:vAlign w:val="center"/>
          </w:tcPr>
          <w:p>
            <w:pPr>
              <w:topLinePunct/>
              <w:jc w:val="center"/>
              <w:rPr>
                <w:b/>
                <w:bCs w:val="0"/>
                <w:color w:val="000000"/>
                <w:szCs w:val="21"/>
                <w:u w:val="single"/>
              </w:rPr>
            </w:pPr>
            <w:r>
              <w:rPr>
                <w:b/>
                <w:bCs w:val="0"/>
                <w:color w:val="000000"/>
                <w:szCs w:val="21"/>
                <w:u w:val="single"/>
              </w:rPr>
              <w:t>固废</w:t>
            </w:r>
          </w:p>
        </w:tc>
        <w:tc>
          <w:tcPr>
            <w:tcW w:w="958" w:type="dxa"/>
            <w:gridSpan w:val="2"/>
            <w:vAlign w:val="center"/>
          </w:tcPr>
          <w:p>
            <w:pPr>
              <w:topLinePunct/>
              <w:jc w:val="center"/>
              <w:rPr>
                <w:b/>
                <w:bCs w:val="0"/>
                <w:color w:val="000000"/>
                <w:szCs w:val="21"/>
                <w:u w:val="single"/>
              </w:rPr>
            </w:pPr>
            <w:r>
              <w:rPr>
                <w:b/>
                <w:bCs w:val="0"/>
                <w:color w:val="000000"/>
                <w:szCs w:val="21"/>
                <w:u w:val="single"/>
              </w:rPr>
              <w:t>猪粪</w:t>
            </w:r>
          </w:p>
        </w:tc>
        <w:tc>
          <w:tcPr>
            <w:tcW w:w="2268" w:type="dxa"/>
            <w:gridSpan w:val="3"/>
            <w:vAlign w:val="center"/>
          </w:tcPr>
          <w:p>
            <w:pPr>
              <w:jc w:val="center"/>
              <w:rPr>
                <w:b/>
                <w:bCs w:val="0"/>
                <w:szCs w:val="21"/>
                <w:u w:val="single"/>
              </w:rPr>
            </w:pPr>
            <w:r>
              <w:rPr>
                <w:b/>
                <w:bCs w:val="0"/>
                <w:color w:val="000000"/>
                <w:szCs w:val="21"/>
                <w:u w:val="single"/>
              </w:rPr>
              <w:t>4163.09 t/a</w:t>
            </w:r>
          </w:p>
        </w:tc>
        <w:tc>
          <w:tcPr>
            <w:tcW w:w="1701" w:type="dxa"/>
            <w:vAlign w:val="center"/>
          </w:tcPr>
          <w:p>
            <w:pPr>
              <w:topLinePunct/>
              <w:jc w:val="center"/>
              <w:rPr>
                <w:b/>
                <w:bCs w:val="0"/>
                <w:color w:val="000000"/>
                <w:szCs w:val="21"/>
                <w:u w:val="single"/>
              </w:rPr>
            </w:pPr>
            <w:r>
              <w:rPr>
                <w:b/>
                <w:bCs w:val="0"/>
                <w:color w:val="000000"/>
                <w:kern w:val="0"/>
                <w:szCs w:val="21"/>
                <w:u w:val="single"/>
              </w:rPr>
              <w:t>粪便送至固粪处置区处理</w:t>
            </w:r>
          </w:p>
        </w:tc>
        <w:tc>
          <w:tcPr>
            <w:tcW w:w="1418" w:type="dxa"/>
            <w:vAlign w:val="center"/>
          </w:tcPr>
          <w:p>
            <w:pPr>
              <w:topLinePunct/>
              <w:jc w:val="center"/>
              <w:rPr>
                <w:b/>
                <w:bCs w:val="0"/>
                <w:color w:val="000000"/>
                <w:szCs w:val="21"/>
                <w:u w:val="single"/>
              </w:rPr>
            </w:pPr>
            <w:r>
              <w:rPr>
                <w:b/>
                <w:bCs w:val="0"/>
                <w:color w:val="000000"/>
                <w:szCs w:val="21"/>
                <w:u w:val="single"/>
              </w:rPr>
              <w:t>/</w:t>
            </w:r>
          </w:p>
        </w:tc>
        <w:tc>
          <w:tcPr>
            <w:tcW w:w="3402" w:type="dxa"/>
            <w:gridSpan w:val="3"/>
            <w:vMerge w:val="restart"/>
            <w:vAlign w:val="center"/>
          </w:tcPr>
          <w:p>
            <w:pPr>
              <w:topLinePunct/>
              <w:jc w:val="center"/>
              <w:rPr>
                <w:b/>
                <w:bCs w:val="0"/>
                <w:color w:val="000000"/>
                <w:szCs w:val="21"/>
                <w:u w:val="single"/>
              </w:rPr>
            </w:pPr>
            <w:r>
              <w:rPr>
                <w:b/>
                <w:bCs w:val="0"/>
                <w:color w:val="000000"/>
                <w:szCs w:val="21"/>
                <w:u w:val="single"/>
              </w:rPr>
              <w:t>新建固粪处理区（</w:t>
            </w:r>
            <w:r>
              <w:rPr>
                <w:rFonts w:hint="eastAsia"/>
                <w:b/>
                <w:bCs w:val="0"/>
                <w:szCs w:val="21"/>
                <w:u w:val="single"/>
              </w:rPr>
              <w:t>728</w:t>
            </w:r>
            <w:r>
              <w:rPr>
                <w:b/>
                <w:bCs w:val="0"/>
                <w:szCs w:val="21"/>
                <w:u w:val="single"/>
              </w:rPr>
              <w:t>m</w:t>
            </w:r>
            <w:r>
              <w:rPr>
                <w:b/>
                <w:bCs w:val="0"/>
                <w:szCs w:val="21"/>
                <w:u w:val="single"/>
                <w:vertAlign w:val="superscript"/>
              </w:rPr>
              <w:t>2</w:t>
            </w:r>
            <w:r>
              <w:rPr>
                <w:b/>
                <w:bCs w:val="0"/>
                <w:color w:val="000000"/>
                <w:szCs w:val="21"/>
                <w:u w:val="single"/>
              </w:rPr>
              <w:t>）</w:t>
            </w:r>
          </w:p>
        </w:tc>
        <w:tc>
          <w:tcPr>
            <w:tcW w:w="3196" w:type="dxa"/>
            <w:vMerge w:val="restart"/>
            <w:vAlign w:val="center"/>
          </w:tcPr>
          <w:p>
            <w:pPr>
              <w:topLinePunct/>
              <w:jc w:val="center"/>
              <w:rPr>
                <w:b/>
                <w:bCs w:val="0"/>
                <w:color w:val="000000"/>
                <w:szCs w:val="21"/>
                <w:u w:val="single"/>
              </w:rPr>
            </w:pPr>
            <w:r>
              <w:rPr>
                <w:b/>
                <w:bCs w:val="0"/>
                <w:color w:val="000000"/>
                <w:szCs w:val="21"/>
                <w:u w:val="single"/>
              </w:rPr>
              <w:t>综合利用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bCs w:val="0"/>
                <w:color w:val="000000"/>
                <w:szCs w:val="21"/>
                <w:u w:val="single"/>
              </w:rPr>
            </w:pPr>
          </w:p>
        </w:tc>
        <w:tc>
          <w:tcPr>
            <w:tcW w:w="958" w:type="dxa"/>
            <w:gridSpan w:val="2"/>
            <w:vAlign w:val="center"/>
          </w:tcPr>
          <w:p>
            <w:pPr>
              <w:topLinePunct/>
              <w:jc w:val="center"/>
              <w:rPr>
                <w:b/>
                <w:bCs w:val="0"/>
                <w:color w:val="000000"/>
                <w:szCs w:val="21"/>
                <w:u w:val="single"/>
              </w:rPr>
            </w:pPr>
            <w:r>
              <w:rPr>
                <w:b/>
                <w:bCs w:val="0"/>
                <w:color w:val="000000"/>
                <w:szCs w:val="21"/>
                <w:u w:val="single"/>
              </w:rPr>
              <w:t>沼渣</w:t>
            </w:r>
          </w:p>
        </w:tc>
        <w:tc>
          <w:tcPr>
            <w:tcW w:w="2268" w:type="dxa"/>
            <w:gridSpan w:val="3"/>
            <w:vAlign w:val="center"/>
          </w:tcPr>
          <w:p>
            <w:pPr>
              <w:jc w:val="center"/>
              <w:rPr>
                <w:b/>
                <w:bCs w:val="0"/>
                <w:szCs w:val="21"/>
                <w:u w:val="single"/>
              </w:rPr>
            </w:pPr>
            <w:r>
              <w:rPr>
                <w:b/>
                <w:bCs w:val="0"/>
                <w:szCs w:val="21"/>
                <w:u w:val="single"/>
              </w:rPr>
              <w:t>1095</w:t>
            </w:r>
            <w:r>
              <w:rPr>
                <w:b/>
                <w:bCs w:val="0"/>
                <w:color w:val="000000"/>
                <w:szCs w:val="21"/>
                <w:u w:val="single"/>
              </w:rPr>
              <w:t xml:space="preserve"> t/a</w:t>
            </w:r>
          </w:p>
        </w:tc>
        <w:tc>
          <w:tcPr>
            <w:tcW w:w="1701" w:type="dxa"/>
            <w:vAlign w:val="center"/>
          </w:tcPr>
          <w:p>
            <w:pPr>
              <w:topLinePunct/>
              <w:jc w:val="center"/>
              <w:rPr>
                <w:b/>
                <w:bCs w:val="0"/>
                <w:color w:val="000000"/>
                <w:kern w:val="0"/>
                <w:szCs w:val="21"/>
                <w:u w:val="single"/>
              </w:rPr>
            </w:pPr>
            <w:r>
              <w:rPr>
                <w:b/>
                <w:bCs w:val="0"/>
                <w:color w:val="000000"/>
                <w:szCs w:val="21"/>
                <w:u w:val="single"/>
              </w:rPr>
              <w:t>晾晒后作为基肥外售</w:t>
            </w:r>
          </w:p>
        </w:tc>
        <w:tc>
          <w:tcPr>
            <w:tcW w:w="1418" w:type="dxa"/>
            <w:vAlign w:val="center"/>
          </w:tcPr>
          <w:p>
            <w:pPr>
              <w:topLinePunct/>
              <w:jc w:val="center"/>
              <w:rPr>
                <w:b/>
                <w:bCs w:val="0"/>
                <w:color w:val="000000"/>
                <w:szCs w:val="21"/>
                <w:u w:val="single"/>
              </w:rPr>
            </w:pPr>
            <w:r>
              <w:rPr>
                <w:b/>
                <w:bCs w:val="0"/>
                <w:color w:val="000000"/>
                <w:szCs w:val="21"/>
                <w:u w:val="single"/>
              </w:rPr>
              <w:t>/</w:t>
            </w:r>
          </w:p>
        </w:tc>
        <w:tc>
          <w:tcPr>
            <w:tcW w:w="3402" w:type="dxa"/>
            <w:gridSpan w:val="3"/>
            <w:vMerge w:val="continue"/>
            <w:vAlign w:val="center"/>
          </w:tcPr>
          <w:p>
            <w:pPr>
              <w:topLinePunct/>
              <w:jc w:val="center"/>
              <w:rPr>
                <w:b/>
                <w:bCs w:val="0"/>
                <w:color w:val="000000"/>
                <w:szCs w:val="21"/>
                <w:u w:val="single"/>
              </w:rPr>
            </w:pPr>
          </w:p>
        </w:tc>
        <w:tc>
          <w:tcPr>
            <w:tcW w:w="3196" w:type="dxa"/>
            <w:vMerge w:val="continue"/>
            <w:vAlign w:val="center"/>
          </w:tcPr>
          <w:p>
            <w:pPr>
              <w:topLinePunct/>
              <w:jc w:val="center"/>
              <w:rPr>
                <w:b/>
                <w:bCs w:val="0"/>
                <w:color w:val="000000"/>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bCs w:val="0"/>
                <w:color w:val="000000"/>
                <w:szCs w:val="21"/>
                <w:u w:val="single"/>
              </w:rPr>
            </w:pPr>
          </w:p>
        </w:tc>
        <w:tc>
          <w:tcPr>
            <w:tcW w:w="958" w:type="dxa"/>
            <w:gridSpan w:val="2"/>
            <w:vAlign w:val="center"/>
          </w:tcPr>
          <w:p>
            <w:pPr>
              <w:topLinePunct/>
              <w:jc w:val="center"/>
              <w:rPr>
                <w:b/>
                <w:bCs w:val="0"/>
                <w:color w:val="000000"/>
                <w:szCs w:val="21"/>
                <w:u w:val="single"/>
              </w:rPr>
            </w:pPr>
            <w:r>
              <w:rPr>
                <w:b/>
                <w:bCs w:val="0"/>
                <w:color w:val="000000"/>
                <w:szCs w:val="21"/>
                <w:u w:val="single"/>
              </w:rPr>
              <w:t>废脱硫剂</w:t>
            </w:r>
          </w:p>
        </w:tc>
        <w:tc>
          <w:tcPr>
            <w:tcW w:w="2268" w:type="dxa"/>
            <w:gridSpan w:val="3"/>
            <w:vAlign w:val="center"/>
          </w:tcPr>
          <w:p>
            <w:pPr>
              <w:jc w:val="center"/>
              <w:rPr>
                <w:b/>
                <w:bCs w:val="0"/>
                <w:szCs w:val="21"/>
                <w:u w:val="single"/>
              </w:rPr>
            </w:pPr>
            <w:r>
              <w:rPr>
                <w:b/>
                <w:bCs w:val="0"/>
                <w:szCs w:val="21"/>
                <w:u w:val="single"/>
              </w:rPr>
              <w:t>0.5</w:t>
            </w:r>
            <w:r>
              <w:rPr>
                <w:b/>
                <w:bCs w:val="0"/>
                <w:color w:val="000000"/>
                <w:szCs w:val="21"/>
                <w:u w:val="single"/>
              </w:rPr>
              <w:t xml:space="preserve"> t/a</w:t>
            </w:r>
          </w:p>
        </w:tc>
        <w:tc>
          <w:tcPr>
            <w:tcW w:w="1701" w:type="dxa"/>
            <w:vAlign w:val="center"/>
          </w:tcPr>
          <w:p>
            <w:pPr>
              <w:topLinePunct/>
              <w:jc w:val="center"/>
              <w:rPr>
                <w:b/>
                <w:bCs w:val="0"/>
                <w:color w:val="000000"/>
                <w:szCs w:val="21"/>
                <w:u w:val="single"/>
              </w:rPr>
            </w:pPr>
            <w:r>
              <w:rPr>
                <w:b/>
                <w:bCs w:val="0"/>
                <w:color w:val="000000"/>
                <w:szCs w:val="21"/>
                <w:u w:val="single"/>
              </w:rPr>
              <w:t>在场区暂存后定期交由厂家回收</w:t>
            </w:r>
          </w:p>
        </w:tc>
        <w:tc>
          <w:tcPr>
            <w:tcW w:w="1418" w:type="dxa"/>
            <w:vAlign w:val="center"/>
          </w:tcPr>
          <w:p>
            <w:pPr>
              <w:topLinePunct/>
              <w:jc w:val="center"/>
              <w:rPr>
                <w:b/>
                <w:bCs w:val="0"/>
                <w:color w:val="000000"/>
                <w:szCs w:val="21"/>
                <w:u w:val="single"/>
              </w:rPr>
            </w:pPr>
            <w:r>
              <w:rPr>
                <w:b/>
                <w:bCs w:val="0"/>
                <w:color w:val="000000"/>
                <w:szCs w:val="21"/>
                <w:u w:val="single"/>
              </w:rPr>
              <w:t>/</w:t>
            </w:r>
          </w:p>
        </w:tc>
        <w:tc>
          <w:tcPr>
            <w:tcW w:w="3402" w:type="dxa"/>
            <w:gridSpan w:val="3"/>
            <w:vAlign w:val="center"/>
          </w:tcPr>
          <w:p>
            <w:pPr>
              <w:topLinePunct/>
              <w:jc w:val="center"/>
              <w:rPr>
                <w:b/>
                <w:bCs w:val="0"/>
                <w:color w:val="000000"/>
                <w:szCs w:val="21"/>
                <w:u w:val="single"/>
              </w:rPr>
            </w:pPr>
            <w:r>
              <w:rPr>
                <w:b/>
                <w:bCs w:val="0"/>
                <w:color w:val="000000"/>
                <w:szCs w:val="21"/>
                <w:u w:val="single"/>
              </w:rPr>
              <w:t>废脱硫剂暂存后定期交由厂家回收</w:t>
            </w:r>
          </w:p>
        </w:tc>
        <w:tc>
          <w:tcPr>
            <w:tcW w:w="3196" w:type="dxa"/>
            <w:vMerge w:val="restart"/>
            <w:vAlign w:val="center"/>
          </w:tcPr>
          <w:p>
            <w:pPr>
              <w:topLinePunct/>
              <w:jc w:val="center"/>
              <w:rPr>
                <w:b/>
                <w:bCs w:val="0"/>
                <w:color w:val="000000"/>
                <w:szCs w:val="21"/>
                <w:u w:val="single"/>
              </w:rPr>
            </w:pPr>
            <w:r>
              <w:rPr>
                <w:b/>
                <w:bCs w:val="0"/>
                <w:color w:val="000000"/>
                <w:szCs w:val="21"/>
                <w:u w:val="single"/>
              </w:rPr>
              <w:t>《一般工业固体废物贮存、污染控制标准》（GB18599-2001)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bCs w:val="0"/>
                <w:color w:val="000000"/>
                <w:szCs w:val="21"/>
                <w:u w:val="single"/>
              </w:rPr>
            </w:pPr>
          </w:p>
        </w:tc>
        <w:tc>
          <w:tcPr>
            <w:tcW w:w="958" w:type="dxa"/>
            <w:gridSpan w:val="2"/>
            <w:vAlign w:val="center"/>
          </w:tcPr>
          <w:p>
            <w:pPr>
              <w:topLinePunct/>
              <w:jc w:val="center"/>
              <w:rPr>
                <w:b/>
                <w:bCs w:val="0"/>
                <w:color w:val="000000"/>
                <w:szCs w:val="21"/>
                <w:u w:val="single"/>
              </w:rPr>
            </w:pPr>
            <w:r>
              <w:rPr>
                <w:b/>
                <w:bCs w:val="0"/>
                <w:color w:val="000000"/>
                <w:szCs w:val="21"/>
                <w:u w:val="single"/>
              </w:rPr>
              <w:t>生活垃圾</w:t>
            </w:r>
          </w:p>
        </w:tc>
        <w:tc>
          <w:tcPr>
            <w:tcW w:w="2268" w:type="dxa"/>
            <w:gridSpan w:val="3"/>
            <w:vAlign w:val="center"/>
          </w:tcPr>
          <w:p>
            <w:pPr>
              <w:jc w:val="center"/>
              <w:rPr>
                <w:b/>
                <w:bCs w:val="0"/>
                <w:szCs w:val="21"/>
                <w:u w:val="single"/>
              </w:rPr>
            </w:pPr>
            <w:r>
              <w:rPr>
                <w:rFonts w:hint="eastAsia"/>
                <w:b/>
                <w:bCs w:val="0"/>
                <w:szCs w:val="21"/>
                <w:u w:val="single"/>
              </w:rPr>
              <w:t>22.36</w:t>
            </w:r>
            <w:r>
              <w:rPr>
                <w:b/>
                <w:bCs w:val="0"/>
                <w:color w:val="000000"/>
                <w:szCs w:val="21"/>
                <w:u w:val="single"/>
              </w:rPr>
              <w:t>t/a</w:t>
            </w:r>
          </w:p>
        </w:tc>
        <w:tc>
          <w:tcPr>
            <w:tcW w:w="1701" w:type="dxa"/>
            <w:vAlign w:val="center"/>
          </w:tcPr>
          <w:p>
            <w:pPr>
              <w:topLinePunct/>
              <w:jc w:val="center"/>
              <w:rPr>
                <w:b/>
                <w:bCs w:val="0"/>
                <w:color w:val="000000"/>
                <w:szCs w:val="21"/>
                <w:u w:val="single"/>
              </w:rPr>
            </w:pPr>
            <w:r>
              <w:rPr>
                <w:b/>
                <w:bCs w:val="0"/>
                <w:color w:val="000000"/>
                <w:szCs w:val="21"/>
                <w:u w:val="single"/>
              </w:rPr>
              <w:t>生活区设置若干垃圾桶</w:t>
            </w:r>
          </w:p>
        </w:tc>
        <w:tc>
          <w:tcPr>
            <w:tcW w:w="1418" w:type="dxa"/>
            <w:vAlign w:val="center"/>
          </w:tcPr>
          <w:p>
            <w:pPr>
              <w:topLinePunct/>
              <w:jc w:val="center"/>
              <w:rPr>
                <w:b/>
                <w:bCs w:val="0"/>
                <w:color w:val="000000"/>
                <w:szCs w:val="21"/>
                <w:u w:val="single"/>
              </w:rPr>
            </w:pPr>
            <w:r>
              <w:rPr>
                <w:b/>
                <w:bCs w:val="0"/>
                <w:color w:val="000000"/>
                <w:szCs w:val="21"/>
                <w:u w:val="single"/>
              </w:rPr>
              <w:t>/</w:t>
            </w:r>
          </w:p>
        </w:tc>
        <w:tc>
          <w:tcPr>
            <w:tcW w:w="3402" w:type="dxa"/>
            <w:gridSpan w:val="3"/>
            <w:vAlign w:val="center"/>
          </w:tcPr>
          <w:p>
            <w:pPr>
              <w:topLinePunct/>
              <w:jc w:val="center"/>
              <w:rPr>
                <w:b/>
                <w:bCs w:val="0"/>
                <w:color w:val="000000"/>
                <w:szCs w:val="21"/>
                <w:u w:val="single"/>
              </w:rPr>
            </w:pPr>
            <w:r>
              <w:rPr>
                <w:b/>
                <w:bCs w:val="0"/>
                <w:color w:val="000000"/>
                <w:szCs w:val="21"/>
                <w:u w:val="single"/>
              </w:rPr>
              <w:t>在生活区设置若干垃圾桶，定期由</w:t>
            </w:r>
            <w:r>
              <w:rPr>
                <w:rFonts w:hint="eastAsia"/>
                <w:b/>
                <w:bCs w:val="0"/>
                <w:color w:val="000000"/>
                <w:szCs w:val="21"/>
                <w:u w:val="single"/>
              </w:rPr>
              <w:t>东和店镇</w:t>
            </w:r>
            <w:r>
              <w:rPr>
                <w:b/>
                <w:bCs w:val="0"/>
                <w:color w:val="000000"/>
                <w:szCs w:val="21"/>
                <w:u w:val="single"/>
              </w:rPr>
              <w:t>环卫部门收运</w:t>
            </w:r>
          </w:p>
        </w:tc>
        <w:tc>
          <w:tcPr>
            <w:tcW w:w="3196" w:type="dxa"/>
            <w:vMerge w:val="continue"/>
            <w:vAlign w:val="center"/>
          </w:tcPr>
          <w:p>
            <w:pPr>
              <w:topLinePunct/>
              <w:jc w:val="center"/>
              <w:rPr>
                <w:b/>
                <w:bCs w:val="0"/>
                <w:color w:val="000000"/>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bCs w:val="0"/>
                <w:color w:val="000000"/>
                <w:szCs w:val="21"/>
                <w:u w:val="single"/>
              </w:rPr>
            </w:pPr>
          </w:p>
        </w:tc>
        <w:tc>
          <w:tcPr>
            <w:tcW w:w="958" w:type="dxa"/>
            <w:gridSpan w:val="2"/>
            <w:vAlign w:val="center"/>
          </w:tcPr>
          <w:p>
            <w:pPr>
              <w:topLinePunct/>
              <w:jc w:val="center"/>
              <w:rPr>
                <w:b/>
                <w:bCs w:val="0"/>
                <w:color w:val="000000"/>
                <w:szCs w:val="21"/>
                <w:u w:val="single"/>
              </w:rPr>
            </w:pPr>
            <w:r>
              <w:rPr>
                <w:b/>
                <w:bCs w:val="0"/>
                <w:color w:val="000000"/>
                <w:szCs w:val="21"/>
                <w:u w:val="single"/>
              </w:rPr>
              <w:t>病死猪尸</w:t>
            </w:r>
          </w:p>
        </w:tc>
        <w:tc>
          <w:tcPr>
            <w:tcW w:w="2268" w:type="dxa"/>
            <w:gridSpan w:val="3"/>
            <w:vAlign w:val="center"/>
          </w:tcPr>
          <w:p>
            <w:pPr>
              <w:adjustRightInd w:val="0"/>
              <w:snapToGrid w:val="0"/>
              <w:spacing w:line="320" w:lineRule="exact"/>
              <w:jc w:val="center"/>
              <w:rPr>
                <w:b/>
                <w:bCs w:val="0"/>
                <w:szCs w:val="21"/>
                <w:u w:val="single"/>
              </w:rPr>
            </w:pPr>
            <w:r>
              <w:rPr>
                <w:rFonts w:hint="eastAsia"/>
                <w:b/>
                <w:bCs w:val="0"/>
                <w:szCs w:val="21"/>
                <w:u w:val="single"/>
              </w:rPr>
              <w:t>16.67</w:t>
            </w:r>
            <w:r>
              <w:rPr>
                <w:b/>
                <w:bCs w:val="0"/>
                <w:color w:val="000000"/>
                <w:szCs w:val="21"/>
                <w:u w:val="single"/>
              </w:rPr>
              <w:t xml:space="preserve"> t/a</w:t>
            </w:r>
          </w:p>
        </w:tc>
        <w:tc>
          <w:tcPr>
            <w:tcW w:w="1701" w:type="dxa"/>
            <w:vAlign w:val="center"/>
          </w:tcPr>
          <w:p>
            <w:pPr>
              <w:topLinePunct/>
              <w:jc w:val="center"/>
              <w:rPr>
                <w:b/>
                <w:bCs w:val="0"/>
                <w:color w:val="000000"/>
                <w:szCs w:val="21"/>
                <w:u w:val="single"/>
              </w:rPr>
            </w:pPr>
            <w:r>
              <w:rPr>
                <w:b/>
                <w:bCs w:val="0"/>
                <w:color w:val="000000"/>
                <w:szCs w:val="21"/>
                <w:u w:val="single"/>
              </w:rPr>
              <w:t>每天由密闭罐车运送至</w:t>
            </w:r>
            <w:r>
              <w:rPr>
                <w:b/>
                <w:bCs w:val="0"/>
                <w:szCs w:val="21"/>
                <w:u w:val="single"/>
              </w:rPr>
              <w:t>场区内自建无害化处理中心</w:t>
            </w:r>
            <w:r>
              <w:rPr>
                <w:b/>
                <w:bCs w:val="0"/>
                <w:color w:val="000000"/>
                <w:szCs w:val="21"/>
                <w:u w:val="single"/>
              </w:rPr>
              <w:t>处置。</w:t>
            </w:r>
          </w:p>
        </w:tc>
        <w:tc>
          <w:tcPr>
            <w:tcW w:w="1418" w:type="dxa"/>
            <w:vAlign w:val="center"/>
          </w:tcPr>
          <w:p>
            <w:pPr>
              <w:topLinePunct/>
              <w:jc w:val="center"/>
              <w:rPr>
                <w:b/>
                <w:bCs w:val="0"/>
                <w:color w:val="000000"/>
                <w:szCs w:val="21"/>
                <w:u w:val="single"/>
              </w:rPr>
            </w:pPr>
            <w:r>
              <w:rPr>
                <w:b/>
                <w:bCs w:val="0"/>
                <w:color w:val="000000"/>
                <w:szCs w:val="21"/>
                <w:u w:val="single"/>
              </w:rPr>
              <w:t>/</w:t>
            </w:r>
          </w:p>
        </w:tc>
        <w:tc>
          <w:tcPr>
            <w:tcW w:w="3402" w:type="dxa"/>
            <w:gridSpan w:val="3"/>
            <w:vAlign w:val="center"/>
          </w:tcPr>
          <w:p>
            <w:pPr>
              <w:topLinePunct/>
              <w:jc w:val="center"/>
              <w:rPr>
                <w:b/>
                <w:bCs w:val="0"/>
                <w:color w:val="000000"/>
                <w:szCs w:val="21"/>
                <w:u w:val="single"/>
              </w:rPr>
            </w:pPr>
            <w:r>
              <w:rPr>
                <w:b/>
                <w:bCs w:val="0"/>
                <w:color w:val="000000"/>
                <w:szCs w:val="21"/>
                <w:u w:val="single"/>
              </w:rPr>
              <w:t>1个暂存间，35.36m</w:t>
            </w:r>
            <w:r>
              <w:rPr>
                <w:b/>
                <w:bCs w:val="0"/>
                <w:color w:val="000000"/>
                <w:szCs w:val="21"/>
                <w:u w:val="single"/>
                <w:vertAlign w:val="superscript"/>
              </w:rPr>
              <w:t>2</w:t>
            </w:r>
            <w:r>
              <w:rPr>
                <w:b/>
                <w:bCs w:val="0"/>
                <w:color w:val="000000"/>
                <w:szCs w:val="21"/>
                <w:u w:val="single"/>
              </w:rPr>
              <w:t xml:space="preserve">，位于场区西侧，具备“防渗漏、防扬散、防流失”三防措施 </w:t>
            </w:r>
          </w:p>
        </w:tc>
        <w:tc>
          <w:tcPr>
            <w:tcW w:w="3196" w:type="dxa"/>
            <w:vMerge w:val="restart"/>
            <w:vAlign w:val="center"/>
          </w:tcPr>
          <w:p>
            <w:pPr>
              <w:topLinePunct/>
              <w:jc w:val="center"/>
              <w:rPr>
                <w:b/>
                <w:bCs w:val="0"/>
                <w:color w:val="000000"/>
                <w:szCs w:val="21"/>
                <w:u w:val="single"/>
              </w:rPr>
            </w:pPr>
            <w:r>
              <w:rPr>
                <w:b/>
                <w:bCs w:val="0"/>
                <w:color w:val="000000"/>
                <w:szCs w:val="21"/>
                <w:u w:val="single"/>
              </w:rPr>
              <w:t>《危险废物贮存污染控制标准》（GB18597-2001）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bCs w:val="0"/>
                <w:color w:val="000000"/>
                <w:szCs w:val="21"/>
                <w:u w:val="single"/>
              </w:rPr>
            </w:pPr>
          </w:p>
        </w:tc>
        <w:tc>
          <w:tcPr>
            <w:tcW w:w="958" w:type="dxa"/>
            <w:gridSpan w:val="2"/>
            <w:vAlign w:val="center"/>
          </w:tcPr>
          <w:p>
            <w:pPr>
              <w:topLinePunct/>
              <w:jc w:val="center"/>
              <w:rPr>
                <w:b/>
                <w:bCs w:val="0"/>
                <w:color w:val="000000"/>
                <w:szCs w:val="21"/>
                <w:u w:val="single"/>
              </w:rPr>
            </w:pPr>
            <w:r>
              <w:rPr>
                <w:b/>
                <w:bCs w:val="0"/>
                <w:color w:val="000000"/>
                <w:szCs w:val="21"/>
                <w:u w:val="single"/>
              </w:rPr>
              <w:t>医疗固废</w:t>
            </w:r>
          </w:p>
        </w:tc>
        <w:tc>
          <w:tcPr>
            <w:tcW w:w="2268" w:type="dxa"/>
            <w:gridSpan w:val="3"/>
            <w:vAlign w:val="center"/>
          </w:tcPr>
          <w:p>
            <w:pPr>
              <w:adjustRightInd w:val="0"/>
              <w:snapToGrid w:val="0"/>
              <w:spacing w:line="320" w:lineRule="exact"/>
              <w:jc w:val="center"/>
              <w:rPr>
                <w:b/>
                <w:bCs w:val="0"/>
                <w:szCs w:val="21"/>
                <w:u w:val="single"/>
              </w:rPr>
            </w:pPr>
            <w:r>
              <w:rPr>
                <w:b/>
                <w:bCs w:val="0"/>
                <w:szCs w:val="21"/>
                <w:u w:val="single"/>
              </w:rPr>
              <w:t>0.625</w:t>
            </w:r>
            <w:r>
              <w:rPr>
                <w:b/>
                <w:bCs w:val="0"/>
                <w:color w:val="000000"/>
                <w:szCs w:val="21"/>
                <w:u w:val="single"/>
              </w:rPr>
              <w:t xml:space="preserve"> t/a</w:t>
            </w:r>
          </w:p>
        </w:tc>
        <w:tc>
          <w:tcPr>
            <w:tcW w:w="1701" w:type="dxa"/>
            <w:vAlign w:val="center"/>
          </w:tcPr>
          <w:p>
            <w:pPr>
              <w:topLinePunct/>
              <w:jc w:val="center"/>
              <w:rPr>
                <w:b/>
                <w:bCs w:val="0"/>
                <w:color w:val="000000"/>
                <w:szCs w:val="21"/>
                <w:u w:val="single"/>
              </w:rPr>
            </w:pPr>
            <w:r>
              <w:rPr>
                <w:b/>
                <w:bCs w:val="0"/>
                <w:color w:val="000000"/>
                <w:szCs w:val="21"/>
                <w:u w:val="single"/>
              </w:rPr>
              <w:t>在危废暂存间暂存后，定期交由</w:t>
            </w:r>
            <w:r>
              <w:rPr>
                <w:b/>
                <w:bCs w:val="0"/>
                <w:color w:val="000000"/>
                <w:kern w:val="0"/>
                <w:szCs w:val="21"/>
                <w:u w:val="single"/>
              </w:rPr>
              <w:t>新蔡县中绿环保科技有限公司</w:t>
            </w:r>
            <w:r>
              <w:rPr>
                <w:b/>
                <w:bCs w:val="0"/>
                <w:color w:val="000000"/>
                <w:szCs w:val="21"/>
                <w:u w:val="single"/>
              </w:rPr>
              <w:t>处置</w:t>
            </w:r>
          </w:p>
        </w:tc>
        <w:tc>
          <w:tcPr>
            <w:tcW w:w="1418" w:type="dxa"/>
            <w:vAlign w:val="center"/>
          </w:tcPr>
          <w:p>
            <w:pPr>
              <w:topLinePunct/>
              <w:jc w:val="center"/>
              <w:rPr>
                <w:b/>
                <w:bCs w:val="0"/>
                <w:color w:val="000000"/>
                <w:szCs w:val="21"/>
                <w:u w:val="single"/>
              </w:rPr>
            </w:pPr>
            <w:r>
              <w:rPr>
                <w:b/>
                <w:bCs w:val="0"/>
                <w:color w:val="000000"/>
                <w:szCs w:val="21"/>
                <w:u w:val="single"/>
              </w:rPr>
              <w:t>/</w:t>
            </w:r>
          </w:p>
        </w:tc>
        <w:tc>
          <w:tcPr>
            <w:tcW w:w="3402" w:type="dxa"/>
            <w:gridSpan w:val="3"/>
            <w:vAlign w:val="center"/>
          </w:tcPr>
          <w:p>
            <w:pPr>
              <w:topLinePunct/>
              <w:jc w:val="center"/>
              <w:rPr>
                <w:b/>
                <w:bCs w:val="0"/>
                <w:color w:val="000000"/>
                <w:szCs w:val="21"/>
                <w:u w:val="single"/>
              </w:rPr>
            </w:pPr>
            <w:r>
              <w:rPr>
                <w:b/>
                <w:bCs w:val="0"/>
                <w:color w:val="000000"/>
                <w:szCs w:val="21"/>
                <w:u w:val="single"/>
              </w:rPr>
              <w:t>1个危废暂存间，6m</w:t>
            </w:r>
            <w:r>
              <w:rPr>
                <w:b/>
                <w:bCs w:val="0"/>
                <w:color w:val="000000"/>
                <w:szCs w:val="21"/>
                <w:u w:val="single"/>
                <w:vertAlign w:val="superscript"/>
              </w:rPr>
              <w:t>2</w:t>
            </w:r>
            <w:r>
              <w:rPr>
                <w:b/>
                <w:bCs w:val="0"/>
                <w:color w:val="000000"/>
                <w:szCs w:val="21"/>
                <w:u w:val="single"/>
              </w:rPr>
              <w:t>，位于场区西侧，具备“防渗漏、防扬散、防流失”三防措施，在明显处设置危险废物的警示标志</w:t>
            </w:r>
          </w:p>
        </w:tc>
        <w:tc>
          <w:tcPr>
            <w:tcW w:w="3196" w:type="dxa"/>
            <w:vMerge w:val="continue"/>
            <w:vAlign w:val="center"/>
          </w:tcPr>
          <w:p>
            <w:pPr>
              <w:topLinePunct/>
              <w:jc w:val="center"/>
              <w:rPr>
                <w:b/>
                <w:bCs w:val="0"/>
                <w:color w:val="000000"/>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restart"/>
            <w:vAlign w:val="center"/>
          </w:tcPr>
          <w:p>
            <w:pPr>
              <w:topLinePunct/>
              <w:jc w:val="center"/>
              <w:rPr>
                <w:b/>
                <w:bCs w:val="0"/>
                <w:color w:val="000000"/>
                <w:szCs w:val="21"/>
                <w:u w:val="single"/>
              </w:rPr>
            </w:pPr>
            <w:r>
              <w:rPr>
                <w:b/>
                <w:bCs w:val="0"/>
                <w:color w:val="000000"/>
                <w:szCs w:val="21"/>
                <w:u w:val="single"/>
              </w:rPr>
              <w:t>噪声</w:t>
            </w:r>
          </w:p>
        </w:tc>
        <w:tc>
          <w:tcPr>
            <w:tcW w:w="958" w:type="dxa"/>
            <w:gridSpan w:val="2"/>
            <w:vAlign w:val="center"/>
          </w:tcPr>
          <w:p>
            <w:pPr>
              <w:topLinePunct/>
              <w:jc w:val="center"/>
              <w:rPr>
                <w:b/>
                <w:bCs w:val="0"/>
                <w:color w:val="000000"/>
                <w:szCs w:val="21"/>
                <w:u w:val="single"/>
              </w:rPr>
            </w:pPr>
            <w:r>
              <w:rPr>
                <w:b/>
                <w:bCs w:val="0"/>
                <w:color w:val="000000"/>
                <w:szCs w:val="21"/>
                <w:u w:val="single"/>
              </w:rPr>
              <w:t>猪舍、风机</w:t>
            </w:r>
          </w:p>
        </w:tc>
        <w:tc>
          <w:tcPr>
            <w:tcW w:w="2268" w:type="dxa"/>
            <w:gridSpan w:val="3"/>
            <w:vAlign w:val="center"/>
          </w:tcPr>
          <w:p>
            <w:pPr>
              <w:topLinePunct/>
              <w:jc w:val="center"/>
              <w:rPr>
                <w:b/>
                <w:bCs w:val="0"/>
                <w:color w:val="000000"/>
                <w:szCs w:val="21"/>
                <w:u w:val="single"/>
              </w:rPr>
            </w:pPr>
            <w:r>
              <w:rPr>
                <w:b/>
                <w:bCs w:val="0"/>
                <w:color w:val="000000"/>
                <w:szCs w:val="21"/>
                <w:u w:val="single"/>
              </w:rPr>
              <w:t>70~85dB(A)</w:t>
            </w:r>
          </w:p>
        </w:tc>
        <w:tc>
          <w:tcPr>
            <w:tcW w:w="1701" w:type="dxa"/>
            <w:vAlign w:val="center"/>
          </w:tcPr>
          <w:p>
            <w:pPr>
              <w:topLinePunct/>
              <w:jc w:val="center"/>
              <w:rPr>
                <w:b/>
                <w:bCs w:val="0"/>
                <w:color w:val="000000"/>
                <w:szCs w:val="21"/>
                <w:u w:val="single"/>
              </w:rPr>
            </w:pPr>
            <w:r>
              <w:rPr>
                <w:b/>
                <w:bCs w:val="0"/>
                <w:color w:val="000000"/>
                <w:szCs w:val="21"/>
                <w:u w:val="single"/>
              </w:rPr>
              <w:t>隔声、消声</w:t>
            </w:r>
          </w:p>
        </w:tc>
        <w:tc>
          <w:tcPr>
            <w:tcW w:w="1418" w:type="dxa"/>
            <w:vAlign w:val="center"/>
          </w:tcPr>
          <w:p>
            <w:pPr>
              <w:topLinePunct/>
              <w:jc w:val="center"/>
              <w:rPr>
                <w:b/>
                <w:bCs w:val="0"/>
                <w:color w:val="000000"/>
                <w:szCs w:val="21"/>
                <w:u w:val="single"/>
              </w:rPr>
            </w:pPr>
            <w:r>
              <w:rPr>
                <w:b/>
                <w:bCs w:val="0"/>
                <w:color w:val="000000"/>
                <w:szCs w:val="21"/>
                <w:u w:val="single"/>
              </w:rPr>
              <w:t>55~70 dB(A)</w:t>
            </w:r>
          </w:p>
        </w:tc>
        <w:tc>
          <w:tcPr>
            <w:tcW w:w="3402" w:type="dxa"/>
            <w:gridSpan w:val="3"/>
            <w:vMerge w:val="restart"/>
            <w:vAlign w:val="center"/>
          </w:tcPr>
          <w:p>
            <w:pPr>
              <w:widowControl/>
              <w:tabs>
                <w:tab w:val="right" w:leader="dot" w:pos="8647"/>
              </w:tabs>
              <w:topLinePunct/>
              <w:jc w:val="center"/>
              <w:rPr>
                <w:b/>
                <w:bCs w:val="0"/>
                <w:color w:val="000000"/>
                <w:szCs w:val="21"/>
                <w:u w:val="single"/>
              </w:rPr>
            </w:pPr>
            <w:r>
              <w:rPr>
                <w:b/>
                <w:bCs w:val="0"/>
                <w:color w:val="000000"/>
                <w:kern w:val="0"/>
                <w:szCs w:val="21"/>
                <w:u w:val="single"/>
              </w:rPr>
              <w:t>设备基础</w:t>
            </w:r>
            <w:r>
              <w:rPr>
                <w:b/>
                <w:bCs w:val="0"/>
                <w:color w:val="000000"/>
                <w:szCs w:val="21"/>
                <w:u w:val="single"/>
              </w:rPr>
              <w:t>减振</w:t>
            </w:r>
            <w:r>
              <w:rPr>
                <w:b/>
                <w:bCs w:val="0"/>
                <w:color w:val="000000"/>
                <w:kern w:val="0"/>
                <w:szCs w:val="21"/>
                <w:u w:val="single"/>
              </w:rPr>
              <w:t>，隔声消声降噪，</w:t>
            </w:r>
            <w:r>
              <w:rPr>
                <w:b/>
                <w:bCs w:val="0"/>
                <w:color w:val="000000"/>
                <w:szCs w:val="21"/>
                <w:u w:val="single"/>
              </w:rPr>
              <w:t>草地、灌木、乔木等间隔立体绿化</w:t>
            </w:r>
          </w:p>
        </w:tc>
        <w:tc>
          <w:tcPr>
            <w:tcW w:w="3196" w:type="dxa"/>
            <w:vMerge w:val="restart"/>
            <w:vAlign w:val="center"/>
          </w:tcPr>
          <w:p>
            <w:pPr>
              <w:topLinePunct/>
              <w:jc w:val="center"/>
              <w:rPr>
                <w:b/>
                <w:bCs w:val="0"/>
                <w:color w:val="000000"/>
                <w:szCs w:val="21"/>
                <w:u w:val="single"/>
              </w:rPr>
            </w:pPr>
            <w:r>
              <w:rPr>
                <w:b/>
                <w:bCs w:val="0"/>
                <w:color w:val="000000"/>
                <w:szCs w:val="21"/>
                <w:u w:val="single"/>
              </w:rPr>
              <w:t>工业企业厂界环境噪声排放标准》（GB12348—2008）2类标准昼间≤60dB（A）、夜间≤50 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bCs w:val="0"/>
                <w:color w:val="000000"/>
                <w:szCs w:val="21"/>
                <w:u w:val="single"/>
              </w:rPr>
            </w:pPr>
          </w:p>
        </w:tc>
        <w:tc>
          <w:tcPr>
            <w:tcW w:w="958" w:type="dxa"/>
            <w:gridSpan w:val="2"/>
            <w:vAlign w:val="center"/>
          </w:tcPr>
          <w:p>
            <w:pPr>
              <w:topLinePunct/>
              <w:jc w:val="center"/>
              <w:rPr>
                <w:b/>
                <w:bCs w:val="0"/>
                <w:color w:val="000000"/>
                <w:szCs w:val="21"/>
                <w:u w:val="single"/>
              </w:rPr>
            </w:pPr>
            <w:r>
              <w:rPr>
                <w:b/>
                <w:bCs w:val="0"/>
                <w:color w:val="000000"/>
                <w:szCs w:val="21"/>
                <w:u w:val="single"/>
              </w:rPr>
              <w:t>粪污处理区</w:t>
            </w:r>
          </w:p>
        </w:tc>
        <w:tc>
          <w:tcPr>
            <w:tcW w:w="2268" w:type="dxa"/>
            <w:gridSpan w:val="3"/>
            <w:vAlign w:val="center"/>
          </w:tcPr>
          <w:p>
            <w:pPr>
              <w:topLinePunct/>
              <w:jc w:val="center"/>
              <w:rPr>
                <w:b/>
                <w:bCs w:val="0"/>
                <w:color w:val="000000"/>
                <w:szCs w:val="21"/>
                <w:u w:val="single"/>
              </w:rPr>
            </w:pPr>
            <w:r>
              <w:rPr>
                <w:b/>
                <w:bCs w:val="0"/>
                <w:color w:val="000000"/>
                <w:szCs w:val="21"/>
                <w:u w:val="single"/>
              </w:rPr>
              <w:t>85 dB(A)</w:t>
            </w:r>
          </w:p>
        </w:tc>
        <w:tc>
          <w:tcPr>
            <w:tcW w:w="1701" w:type="dxa"/>
            <w:vAlign w:val="center"/>
          </w:tcPr>
          <w:p>
            <w:pPr>
              <w:topLinePunct/>
              <w:jc w:val="center"/>
              <w:rPr>
                <w:b/>
                <w:bCs w:val="0"/>
                <w:color w:val="000000"/>
                <w:szCs w:val="21"/>
                <w:u w:val="single"/>
              </w:rPr>
            </w:pPr>
            <w:r>
              <w:rPr>
                <w:b/>
                <w:bCs w:val="0"/>
                <w:color w:val="000000"/>
                <w:szCs w:val="21"/>
                <w:u w:val="single"/>
              </w:rPr>
              <w:t>隔声、减振</w:t>
            </w:r>
          </w:p>
        </w:tc>
        <w:tc>
          <w:tcPr>
            <w:tcW w:w="1418" w:type="dxa"/>
            <w:vAlign w:val="center"/>
          </w:tcPr>
          <w:p>
            <w:pPr>
              <w:topLinePunct/>
              <w:jc w:val="center"/>
              <w:rPr>
                <w:b/>
                <w:bCs w:val="0"/>
                <w:color w:val="000000"/>
                <w:szCs w:val="21"/>
                <w:u w:val="single"/>
              </w:rPr>
            </w:pPr>
            <w:r>
              <w:rPr>
                <w:b/>
                <w:bCs w:val="0"/>
                <w:color w:val="000000"/>
                <w:szCs w:val="21"/>
                <w:u w:val="single"/>
              </w:rPr>
              <w:t>65 dB(A)</w:t>
            </w:r>
          </w:p>
        </w:tc>
        <w:tc>
          <w:tcPr>
            <w:tcW w:w="3402" w:type="dxa"/>
            <w:gridSpan w:val="3"/>
            <w:vMerge w:val="continue"/>
            <w:vAlign w:val="center"/>
          </w:tcPr>
          <w:p>
            <w:pPr>
              <w:topLinePunct/>
              <w:jc w:val="center"/>
              <w:rPr>
                <w:b/>
                <w:bCs w:val="0"/>
                <w:color w:val="000000"/>
                <w:szCs w:val="21"/>
                <w:u w:val="single"/>
              </w:rPr>
            </w:pPr>
          </w:p>
        </w:tc>
        <w:tc>
          <w:tcPr>
            <w:tcW w:w="3196" w:type="dxa"/>
            <w:vMerge w:val="continue"/>
            <w:vAlign w:val="center"/>
          </w:tcPr>
          <w:p>
            <w:pPr>
              <w:topLinePunct/>
              <w:jc w:val="center"/>
              <w:rPr>
                <w:b/>
                <w:bCs w:val="0"/>
                <w:color w:val="000000"/>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Align w:val="center"/>
          </w:tcPr>
          <w:p>
            <w:pPr>
              <w:topLinePunct/>
              <w:jc w:val="center"/>
              <w:rPr>
                <w:b/>
                <w:bCs w:val="0"/>
                <w:color w:val="000000"/>
                <w:szCs w:val="21"/>
                <w:u w:val="single"/>
              </w:rPr>
            </w:pPr>
            <w:r>
              <w:rPr>
                <w:b/>
                <w:bCs w:val="0"/>
                <w:color w:val="000000"/>
                <w:szCs w:val="21"/>
                <w:u w:val="single"/>
              </w:rPr>
              <w:t>风险</w:t>
            </w:r>
          </w:p>
        </w:tc>
        <w:tc>
          <w:tcPr>
            <w:tcW w:w="958" w:type="dxa"/>
            <w:gridSpan w:val="2"/>
            <w:vAlign w:val="center"/>
          </w:tcPr>
          <w:p>
            <w:pPr>
              <w:topLinePunct/>
              <w:jc w:val="center"/>
              <w:rPr>
                <w:b/>
                <w:bCs w:val="0"/>
                <w:color w:val="000000"/>
                <w:szCs w:val="21"/>
                <w:u w:val="single"/>
              </w:rPr>
            </w:pPr>
            <w:r>
              <w:rPr>
                <w:b/>
                <w:bCs w:val="0"/>
                <w:color w:val="000000"/>
                <w:szCs w:val="21"/>
                <w:u w:val="single"/>
              </w:rPr>
              <w:t>沼气储存、利用</w:t>
            </w:r>
          </w:p>
        </w:tc>
        <w:tc>
          <w:tcPr>
            <w:tcW w:w="2268" w:type="dxa"/>
            <w:gridSpan w:val="3"/>
            <w:vAlign w:val="center"/>
          </w:tcPr>
          <w:p>
            <w:pPr>
              <w:topLinePunct/>
              <w:jc w:val="center"/>
              <w:rPr>
                <w:b/>
                <w:bCs w:val="0"/>
                <w:color w:val="000000"/>
                <w:szCs w:val="21"/>
                <w:u w:val="single"/>
              </w:rPr>
            </w:pPr>
            <w:r>
              <w:rPr>
                <w:b/>
                <w:bCs w:val="0"/>
                <w:color w:val="000000"/>
                <w:szCs w:val="21"/>
                <w:u w:val="single"/>
              </w:rPr>
              <w:t>/</w:t>
            </w:r>
          </w:p>
        </w:tc>
        <w:tc>
          <w:tcPr>
            <w:tcW w:w="1701" w:type="dxa"/>
            <w:vAlign w:val="center"/>
          </w:tcPr>
          <w:p>
            <w:pPr>
              <w:topLinePunct/>
              <w:jc w:val="center"/>
              <w:rPr>
                <w:b/>
                <w:bCs w:val="0"/>
                <w:color w:val="000000"/>
                <w:szCs w:val="21"/>
                <w:u w:val="single"/>
              </w:rPr>
            </w:pPr>
            <w:r>
              <w:rPr>
                <w:b/>
                <w:bCs w:val="0"/>
                <w:color w:val="000000"/>
                <w:szCs w:val="21"/>
                <w:u w:val="single"/>
              </w:rPr>
              <w:t>消防器器材</w:t>
            </w:r>
          </w:p>
        </w:tc>
        <w:tc>
          <w:tcPr>
            <w:tcW w:w="1418" w:type="dxa"/>
            <w:vAlign w:val="center"/>
          </w:tcPr>
          <w:p>
            <w:pPr>
              <w:topLinePunct/>
              <w:jc w:val="center"/>
              <w:rPr>
                <w:b/>
                <w:bCs w:val="0"/>
                <w:color w:val="000000"/>
                <w:szCs w:val="21"/>
                <w:u w:val="single"/>
              </w:rPr>
            </w:pPr>
            <w:r>
              <w:rPr>
                <w:b/>
                <w:bCs w:val="0"/>
                <w:color w:val="000000"/>
                <w:szCs w:val="21"/>
                <w:u w:val="single"/>
              </w:rPr>
              <w:t>/</w:t>
            </w:r>
          </w:p>
        </w:tc>
        <w:tc>
          <w:tcPr>
            <w:tcW w:w="3402" w:type="dxa"/>
            <w:gridSpan w:val="3"/>
            <w:vAlign w:val="center"/>
          </w:tcPr>
          <w:p>
            <w:pPr>
              <w:topLinePunct/>
              <w:jc w:val="center"/>
              <w:rPr>
                <w:b/>
                <w:bCs w:val="0"/>
                <w:color w:val="000000"/>
                <w:szCs w:val="21"/>
                <w:u w:val="single"/>
              </w:rPr>
            </w:pPr>
            <w:r>
              <w:rPr>
                <w:b/>
                <w:bCs w:val="0"/>
                <w:color w:val="000000"/>
                <w:kern w:val="0"/>
                <w:szCs w:val="21"/>
                <w:u w:val="single"/>
              </w:rPr>
              <w:t>消防器材若干</w:t>
            </w:r>
          </w:p>
        </w:tc>
        <w:tc>
          <w:tcPr>
            <w:tcW w:w="3196" w:type="dxa"/>
            <w:vAlign w:val="center"/>
          </w:tcPr>
          <w:p>
            <w:pPr>
              <w:topLinePunct/>
              <w:jc w:val="center"/>
              <w:rPr>
                <w:b/>
                <w:bCs w:val="0"/>
                <w:color w:val="000000"/>
                <w:szCs w:val="21"/>
                <w:u w:val="single"/>
              </w:rPr>
            </w:pPr>
            <w:r>
              <w:rPr>
                <w:b/>
                <w:bCs w:val="0"/>
                <w:color w:val="00000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restart"/>
            <w:vAlign w:val="center"/>
          </w:tcPr>
          <w:p>
            <w:pPr>
              <w:topLinePunct/>
              <w:jc w:val="center"/>
              <w:rPr>
                <w:b/>
                <w:bCs w:val="0"/>
                <w:color w:val="000000"/>
                <w:szCs w:val="21"/>
                <w:u w:val="single"/>
              </w:rPr>
            </w:pPr>
            <w:r>
              <w:rPr>
                <w:b/>
                <w:bCs w:val="0"/>
                <w:color w:val="000000"/>
                <w:szCs w:val="21"/>
                <w:u w:val="single"/>
              </w:rPr>
              <w:t>防渗措施</w:t>
            </w:r>
          </w:p>
        </w:tc>
        <w:tc>
          <w:tcPr>
            <w:tcW w:w="958" w:type="dxa"/>
            <w:gridSpan w:val="2"/>
            <w:vAlign w:val="center"/>
          </w:tcPr>
          <w:p>
            <w:pPr>
              <w:topLinePunct/>
              <w:jc w:val="center"/>
              <w:rPr>
                <w:b/>
                <w:bCs w:val="0"/>
                <w:color w:val="000000"/>
                <w:szCs w:val="21"/>
                <w:u w:val="single"/>
              </w:rPr>
            </w:pPr>
            <w:r>
              <w:rPr>
                <w:b/>
                <w:bCs w:val="0"/>
                <w:color w:val="000000"/>
                <w:szCs w:val="21"/>
                <w:u w:val="single"/>
              </w:rPr>
              <w:t>沼液储存池防渗</w:t>
            </w:r>
          </w:p>
        </w:tc>
        <w:tc>
          <w:tcPr>
            <w:tcW w:w="2268" w:type="dxa"/>
            <w:gridSpan w:val="3"/>
            <w:vAlign w:val="center"/>
          </w:tcPr>
          <w:p>
            <w:pPr>
              <w:topLinePunct/>
              <w:jc w:val="center"/>
              <w:rPr>
                <w:b/>
                <w:bCs w:val="0"/>
                <w:color w:val="000000"/>
                <w:szCs w:val="21"/>
                <w:u w:val="single"/>
              </w:rPr>
            </w:pPr>
            <w:r>
              <w:rPr>
                <w:b/>
                <w:bCs w:val="0"/>
                <w:color w:val="000000"/>
                <w:szCs w:val="21"/>
                <w:u w:val="single"/>
              </w:rPr>
              <w:t>/</w:t>
            </w:r>
          </w:p>
        </w:tc>
        <w:tc>
          <w:tcPr>
            <w:tcW w:w="1701" w:type="dxa"/>
            <w:vAlign w:val="center"/>
          </w:tcPr>
          <w:p>
            <w:pPr>
              <w:topLinePunct/>
              <w:jc w:val="center"/>
              <w:rPr>
                <w:b/>
                <w:bCs w:val="0"/>
                <w:color w:val="000000"/>
                <w:kern w:val="0"/>
                <w:szCs w:val="21"/>
                <w:u w:val="single"/>
              </w:rPr>
            </w:pPr>
            <w:r>
              <w:rPr>
                <w:b/>
                <w:bCs w:val="0"/>
                <w:color w:val="000000"/>
                <w:szCs w:val="21"/>
                <w:u w:val="single"/>
              </w:rPr>
              <w:t>做好HDPE膜+素土夯实防渗措施</w:t>
            </w:r>
          </w:p>
        </w:tc>
        <w:tc>
          <w:tcPr>
            <w:tcW w:w="1418" w:type="dxa"/>
            <w:vAlign w:val="center"/>
          </w:tcPr>
          <w:p>
            <w:pPr>
              <w:topLinePunct/>
              <w:jc w:val="center"/>
              <w:rPr>
                <w:b/>
                <w:bCs w:val="0"/>
                <w:color w:val="000000"/>
                <w:szCs w:val="21"/>
                <w:u w:val="single"/>
              </w:rPr>
            </w:pPr>
            <w:r>
              <w:rPr>
                <w:b/>
                <w:bCs w:val="0"/>
                <w:color w:val="000000"/>
                <w:szCs w:val="21"/>
                <w:u w:val="single"/>
              </w:rPr>
              <w:t>/</w:t>
            </w:r>
          </w:p>
        </w:tc>
        <w:tc>
          <w:tcPr>
            <w:tcW w:w="3402" w:type="dxa"/>
            <w:gridSpan w:val="3"/>
            <w:vAlign w:val="center"/>
          </w:tcPr>
          <w:p>
            <w:pPr>
              <w:topLinePunct/>
              <w:jc w:val="center"/>
              <w:rPr>
                <w:b/>
                <w:bCs w:val="0"/>
                <w:color w:val="000000"/>
                <w:kern w:val="0"/>
                <w:szCs w:val="21"/>
                <w:u w:val="single"/>
              </w:rPr>
            </w:pPr>
            <w:r>
              <w:rPr>
                <w:b/>
                <w:bCs w:val="0"/>
                <w:color w:val="000000"/>
                <w:szCs w:val="21"/>
                <w:u w:val="single"/>
              </w:rPr>
              <w:t>沼液储存池底部和池壁铺设HDPE膜＋素土夯实，容积64006m</w:t>
            </w:r>
            <w:r>
              <w:rPr>
                <w:b/>
                <w:bCs w:val="0"/>
                <w:color w:val="000000"/>
                <w:szCs w:val="21"/>
                <w:u w:val="single"/>
                <w:vertAlign w:val="superscript"/>
              </w:rPr>
              <w:t>3</w:t>
            </w:r>
          </w:p>
        </w:tc>
        <w:tc>
          <w:tcPr>
            <w:tcW w:w="3196" w:type="dxa"/>
            <w:vMerge w:val="restart"/>
            <w:vAlign w:val="center"/>
          </w:tcPr>
          <w:p>
            <w:pPr>
              <w:tabs>
                <w:tab w:val="right" w:leader="dot" w:pos="8647"/>
              </w:tabs>
              <w:topLinePunct/>
              <w:adjustRightInd w:val="0"/>
              <w:snapToGrid w:val="0"/>
              <w:jc w:val="center"/>
              <w:rPr>
                <w:b/>
                <w:bCs w:val="0"/>
                <w:color w:val="000000"/>
                <w:szCs w:val="21"/>
                <w:u w:val="single"/>
              </w:rPr>
            </w:pPr>
            <w:r>
              <w:rPr>
                <w:b/>
                <w:bCs w:val="0"/>
                <w:color w:val="000000"/>
                <w:szCs w:val="21"/>
                <w:u w:val="single"/>
              </w:rPr>
              <w:t>符合《规模化畜禽养殖场沼气工程设计规范》（NY/T1222）和《混凝土结构设计规范》（GB50010）的要求，具备“防渗、防雨、防溢”的三防措施。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bCs w:val="0"/>
                <w:color w:val="000000"/>
                <w:szCs w:val="21"/>
                <w:u w:val="single"/>
              </w:rPr>
            </w:pPr>
          </w:p>
        </w:tc>
        <w:tc>
          <w:tcPr>
            <w:tcW w:w="426" w:type="dxa"/>
            <w:vMerge w:val="restart"/>
            <w:vAlign w:val="center"/>
          </w:tcPr>
          <w:p>
            <w:pPr>
              <w:topLinePunct/>
              <w:jc w:val="center"/>
              <w:rPr>
                <w:b/>
                <w:bCs w:val="0"/>
                <w:color w:val="000000"/>
                <w:szCs w:val="21"/>
                <w:u w:val="single"/>
              </w:rPr>
            </w:pPr>
            <w:r>
              <w:rPr>
                <w:b/>
                <w:bCs w:val="0"/>
                <w:color w:val="000000"/>
                <w:szCs w:val="21"/>
                <w:u w:val="single"/>
              </w:rPr>
              <w:t>场区防渗</w:t>
            </w:r>
          </w:p>
        </w:tc>
        <w:tc>
          <w:tcPr>
            <w:tcW w:w="532" w:type="dxa"/>
            <w:vAlign w:val="center"/>
          </w:tcPr>
          <w:p>
            <w:pPr>
              <w:tabs>
                <w:tab w:val="right" w:leader="dot" w:pos="8647"/>
              </w:tabs>
              <w:topLinePunct/>
              <w:adjustRightInd w:val="0"/>
              <w:snapToGrid w:val="0"/>
              <w:jc w:val="center"/>
              <w:rPr>
                <w:b/>
                <w:bCs w:val="0"/>
                <w:color w:val="000000"/>
                <w:szCs w:val="21"/>
                <w:u w:val="single"/>
              </w:rPr>
            </w:pPr>
            <w:r>
              <w:rPr>
                <w:b/>
                <w:bCs w:val="0"/>
                <w:color w:val="000000"/>
                <w:szCs w:val="21"/>
                <w:u w:val="single"/>
              </w:rPr>
              <w:t>污水处理区</w:t>
            </w:r>
          </w:p>
        </w:tc>
        <w:tc>
          <w:tcPr>
            <w:tcW w:w="2268" w:type="dxa"/>
            <w:gridSpan w:val="3"/>
            <w:vAlign w:val="center"/>
          </w:tcPr>
          <w:p>
            <w:pPr>
              <w:topLinePunct/>
              <w:jc w:val="center"/>
              <w:rPr>
                <w:b/>
                <w:bCs w:val="0"/>
                <w:color w:val="000000"/>
                <w:szCs w:val="21"/>
                <w:u w:val="single"/>
              </w:rPr>
            </w:pPr>
            <w:r>
              <w:rPr>
                <w:b/>
                <w:bCs w:val="0"/>
                <w:color w:val="000000"/>
                <w:szCs w:val="21"/>
                <w:u w:val="single"/>
              </w:rPr>
              <w:t>/</w:t>
            </w:r>
          </w:p>
        </w:tc>
        <w:tc>
          <w:tcPr>
            <w:tcW w:w="1701" w:type="dxa"/>
            <w:vAlign w:val="center"/>
          </w:tcPr>
          <w:p>
            <w:pPr>
              <w:topLinePunct/>
              <w:jc w:val="center"/>
              <w:rPr>
                <w:b/>
                <w:bCs w:val="0"/>
                <w:color w:val="000000"/>
                <w:kern w:val="0"/>
                <w:szCs w:val="21"/>
                <w:u w:val="single"/>
              </w:rPr>
            </w:pPr>
            <w:r>
              <w:rPr>
                <w:b/>
                <w:bCs w:val="0"/>
                <w:color w:val="000000"/>
                <w:szCs w:val="21"/>
                <w:u w:val="single"/>
              </w:rPr>
              <w:t>严格做好混凝土措施</w:t>
            </w:r>
          </w:p>
        </w:tc>
        <w:tc>
          <w:tcPr>
            <w:tcW w:w="1418" w:type="dxa"/>
            <w:vAlign w:val="center"/>
          </w:tcPr>
          <w:p>
            <w:pPr>
              <w:topLinePunct/>
              <w:jc w:val="center"/>
              <w:rPr>
                <w:b/>
                <w:bCs w:val="0"/>
                <w:color w:val="000000"/>
                <w:szCs w:val="21"/>
                <w:u w:val="single"/>
              </w:rPr>
            </w:pPr>
            <w:r>
              <w:rPr>
                <w:b/>
                <w:bCs w:val="0"/>
                <w:color w:val="000000"/>
                <w:szCs w:val="21"/>
                <w:u w:val="single"/>
              </w:rPr>
              <w:t>/</w:t>
            </w:r>
          </w:p>
        </w:tc>
        <w:tc>
          <w:tcPr>
            <w:tcW w:w="3402" w:type="dxa"/>
            <w:gridSpan w:val="3"/>
            <w:vAlign w:val="center"/>
          </w:tcPr>
          <w:p>
            <w:pPr>
              <w:tabs>
                <w:tab w:val="right" w:leader="dot" w:pos="8647"/>
              </w:tabs>
              <w:topLinePunct/>
              <w:jc w:val="center"/>
              <w:rPr>
                <w:b/>
                <w:bCs w:val="0"/>
                <w:color w:val="000000"/>
                <w:szCs w:val="21"/>
                <w:u w:val="single"/>
              </w:rPr>
            </w:pPr>
            <w:r>
              <w:rPr>
                <w:b/>
                <w:bCs w:val="0"/>
                <w:color w:val="000000"/>
                <w:szCs w:val="21"/>
                <w:u w:val="single"/>
              </w:rPr>
              <w:t>盖泻湖沼气池采用HDPE膜防渗，总防渗等级达到4.19×10-9cm/s</w:t>
            </w:r>
          </w:p>
          <w:p>
            <w:pPr>
              <w:tabs>
                <w:tab w:val="right" w:leader="dot" w:pos="8647"/>
              </w:tabs>
              <w:topLinePunct/>
              <w:jc w:val="center"/>
              <w:rPr>
                <w:b/>
                <w:bCs w:val="0"/>
                <w:color w:val="000000"/>
                <w:szCs w:val="21"/>
                <w:u w:val="single"/>
              </w:rPr>
            </w:pPr>
            <w:r>
              <w:rPr>
                <w:b/>
                <w:bCs w:val="0"/>
                <w:color w:val="000000"/>
                <w:szCs w:val="21"/>
                <w:u w:val="single"/>
              </w:rPr>
              <w:t>养殖场区底部铺设混凝土</w:t>
            </w:r>
          </w:p>
        </w:tc>
        <w:tc>
          <w:tcPr>
            <w:tcW w:w="3196" w:type="dxa"/>
            <w:vMerge w:val="continue"/>
            <w:vAlign w:val="center"/>
          </w:tcPr>
          <w:p>
            <w:pPr>
              <w:topLinePunct/>
              <w:jc w:val="center"/>
              <w:rPr>
                <w:b/>
                <w:bCs w:val="0"/>
                <w:color w:val="000000"/>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bCs w:val="0"/>
                <w:color w:val="000000"/>
                <w:szCs w:val="21"/>
                <w:u w:val="single"/>
              </w:rPr>
            </w:pPr>
          </w:p>
        </w:tc>
        <w:tc>
          <w:tcPr>
            <w:tcW w:w="426" w:type="dxa"/>
            <w:vMerge w:val="continue"/>
            <w:vAlign w:val="center"/>
          </w:tcPr>
          <w:p>
            <w:pPr>
              <w:topLinePunct/>
              <w:jc w:val="center"/>
              <w:rPr>
                <w:b/>
                <w:bCs w:val="0"/>
                <w:color w:val="000000"/>
                <w:szCs w:val="21"/>
                <w:u w:val="single"/>
              </w:rPr>
            </w:pPr>
          </w:p>
        </w:tc>
        <w:tc>
          <w:tcPr>
            <w:tcW w:w="532" w:type="dxa"/>
            <w:vAlign w:val="center"/>
          </w:tcPr>
          <w:p>
            <w:pPr>
              <w:tabs>
                <w:tab w:val="right" w:leader="dot" w:pos="8647"/>
              </w:tabs>
              <w:topLinePunct/>
              <w:adjustRightInd w:val="0"/>
              <w:snapToGrid w:val="0"/>
              <w:jc w:val="center"/>
              <w:rPr>
                <w:b/>
                <w:bCs w:val="0"/>
                <w:color w:val="000000"/>
                <w:szCs w:val="21"/>
                <w:u w:val="single"/>
              </w:rPr>
            </w:pPr>
            <w:r>
              <w:rPr>
                <w:b/>
                <w:bCs w:val="0"/>
                <w:color w:val="000000"/>
                <w:szCs w:val="21"/>
                <w:u w:val="single"/>
              </w:rPr>
              <w:t>养殖区</w:t>
            </w:r>
          </w:p>
        </w:tc>
        <w:tc>
          <w:tcPr>
            <w:tcW w:w="2268" w:type="dxa"/>
            <w:gridSpan w:val="3"/>
            <w:vAlign w:val="center"/>
          </w:tcPr>
          <w:p>
            <w:pPr>
              <w:topLinePunct/>
              <w:jc w:val="center"/>
              <w:rPr>
                <w:b/>
                <w:bCs w:val="0"/>
                <w:color w:val="000000"/>
                <w:szCs w:val="21"/>
                <w:u w:val="single"/>
              </w:rPr>
            </w:pPr>
            <w:r>
              <w:rPr>
                <w:b/>
                <w:bCs w:val="0"/>
                <w:color w:val="000000"/>
                <w:szCs w:val="21"/>
                <w:u w:val="single"/>
              </w:rPr>
              <w:t>/</w:t>
            </w:r>
          </w:p>
        </w:tc>
        <w:tc>
          <w:tcPr>
            <w:tcW w:w="1701" w:type="dxa"/>
            <w:vAlign w:val="center"/>
          </w:tcPr>
          <w:p>
            <w:pPr>
              <w:topLinePunct/>
              <w:jc w:val="center"/>
              <w:rPr>
                <w:b/>
                <w:bCs w:val="0"/>
                <w:color w:val="000000"/>
                <w:kern w:val="0"/>
                <w:szCs w:val="21"/>
                <w:u w:val="single"/>
              </w:rPr>
            </w:pPr>
            <w:r>
              <w:rPr>
                <w:b/>
                <w:bCs w:val="0"/>
                <w:color w:val="000000"/>
                <w:szCs w:val="21"/>
                <w:u w:val="single"/>
              </w:rPr>
              <w:t>严格做好混凝土措施</w:t>
            </w:r>
          </w:p>
        </w:tc>
        <w:tc>
          <w:tcPr>
            <w:tcW w:w="1418" w:type="dxa"/>
            <w:vAlign w:val="center"/>
          </w:tcPr>
          <w:p>
            <w:pPr>
              <w:topLinePunct/>
              <w:jc w:val="center"/>
              <w:rPr>
                <w:b/>
                <w:bCs w:val="0"/>
                <w:color w:val="000000"/>
                <w:szCs w:val="21"/>
                <w:u w:val="single"/>
              </w:rPr>
            </w:pPr>
            <w:r>
              <w:rPr>
                <w:b/>
                <w:bCs w:val="0"/>
                <w:color w:val="000000"/>
                <w:szCs w:val="21"/>
                <w:u w:val="single"/>
              </w:rPr>
              <w:t>/</w:t>
            </w:r>
          </w:p>
        </w:tc>
        <w:tc>
          <w:tcPr>
            <w:tcW w:w="3402" w:type="dxa"/>
            <w:gridSpan w:val="3"/>
            <w:vAlign w:val="center"/>
          </w:tcPr>
          <w:p>
            <w:pPr>
              <w:tabs>
                <w:tab w:val="right" w:leader="dot" w:pos="8647"/>
              </w:tabs>
              <w:topLinePunct/>
              <w:adjustRightInd w:val="0"/>
              <w:snapToGrid w:val="0"/>
              <w:jc w:val="center"/>
              <w:rPr>
                <w:b/>
                <w:bCs w:val="0"/>
                <w:color w:val="000000"/>
                <w:szCs w:val="21"/>
                <w:u w:val="single"/>
              </w:rPr>
            </w:pPr>
            <w:r>
              <w:rPr>
                <w:b/>
                <w:bCs w:val="0"/>
                <w:color w:val="000000"/>
                <w:szCs w:val="21"/>
                <w:u w:val="single"/>
              </w:rPr>
              <w:t xml:space="preserve">养殖场区底部铺设混凝土， </w:t>
            </w:r>
          </w:p>
        </w:tc>
        <w:tc>
          <w:tcPr>
            <w:tcW w:w="3196" w:type="dxa"/>
            <w:vMerge w:val="restart"/>
            <w:vAlign w:val="center"/>
          </w:tcPr>
          <w:p>
            <w:pPr>
              <w:topLinePunct/>
              <w:jc w:val="center"/>
              <w:rPr>
                <w:b/>
                <w:bCs w:val="0"/>
                <w:color w:val="000000"/>
                <w:szCs w:val="21"/>
                <w:u w:val="single"/>
              </w:rPr>
            </w:pPr>
            <w:r>
              <w:rPr>
                <w:b/>
                <w:bCs w:val="0"/>
                <w:color w:val="000000"/>
                <w:szCs w:val="21"/>
                <w:u w:val="single"/>
              </w:rPr>
              <w:t>满足《畜禽养殖业污染防治技术规范》（HJ/T81－2001）中畜禽粪便的贮存相关要求，应具备防渗、防风、防雨的“三防”措施。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Merge w:val="continue"/>
            <w:vAlign w:val="center"/>
          </w:tcPr>
          <w:p>
            <w:pPr>
              <w:topLinePunct/>
              <w:jc w:val="center"/>
              <w:rPr>
                <w:b/>
                <w:bCs w:val="0"/>
                <w:color w:val="000000"/>
                <w:szCs w:val="21"/>
                <w:u w:val="single"/>
              </w:rPr>
            </w:pPr>
          </w:p>
        </w:tc>
        <w:tc>
          <w:tcPr>
            <w:tcW w:w="426" w:type="dxa"/>
            <w:vMerge w:val="continue"/>
            <w:vAlign w:val="center"/>
          </w:tcPr>
          <w:p>
            <w:pPr>
              <w:topLinePunct/>
              <w:jc w:val="center"/>
              <w:rPr>
                <w:b/>
                <w:bCs w:val="0"/>
                <w:color w:val="000000"/>
                <w:szCs w:val="21"/>
                <w:u w:val="single"/>
              </w:rPr>
            </w:pPr>
          </w:p>
        </w:tc>
        <w:tc>
          <w:tcPr>
            <w:tcW w:w="532" w:type="dxa"/>
            <w:vAlign w:val="center"/>
          </w:tcPr>
          <w:p>
            <w:pPr>
              <w:tabs>
                <w:tab w:val="right" w:leader="dot" w:pos="8647"/>
              </w:tabs>
              <w:topLinePunct/>
              <w:adjustRightInd w:val="0"/>
              <w:snapToGrid w:val="0"/>
              <w:jc w:val="center"/>
              <w:rPr>
                <w:b/>
                <w:bCs w:val="0"/>
                <w:color w:val="000000"/>
                <w:szCs w:val="21"/>
                <w:u w:val="single"/>
              </w:rPr>
            </w:pPr>
            <w:r>
              <w:rPr>
                <w:b/>
                <w:bCs w:val="0"/>
                <w:color w:val="000000"/>
                <w:szCs w:val="21"/>
                <w:u w:val="single"/>
              </w:rPr>
              <w:t>固粪处置区</w:t>
            </w:r>
          </w:p>
        </w:tc>
        <w:tc>
          <w:tcPr>
            <w:tcW w:w="2268" w:type="dxa"/>
            <w:gridSpan w:val="3"/>
            <w:vAlign w:val="center"/>
          </w:tcPr>
          <w:p>
            <w:pPr>
              <w:topLinePunct/>
              <w:jc w:val="center"/>
              <w:rPr>
                <w:b/>
                <w:bCs w:val="0"/>
                <w:color w:val="000000"/>
                <w:szCs w:val="21"/>
                <w:u w:val="single"/>
              </w:rPr>
            </w:pPr>
            <w:r>
              <w:rPr>
                <w:b/>
                <w:bCs w:val="0"/>
                <w:color w:val="000000"/>
                <w:szCs w:val="21"/>
                <w:u w:val="single"/>
              </w:rPr>
              <w:t>/</w:t>
            </w:r>
          </w:p>
        </w:tc>
        <w:tc>
          <w:tcPr>
            <w:tcW w:w="1701" w:type="dxa"/>
            <w:vAlign w:val="center"/>
          </w:tcPr>
          <w:p>
            <w:pPr>
              <w:tabs>
                <w:tab w:val="right" w:leader="dot" w:pos="8647"/>
              </w:tabs>
              <w:topLinePunct/>
              <w:adjustRightInd w:val="0"/>
              <w:snapToGrid w:val="0"/>
              <w:jc w:val="center"/>
              <w:rPr>
                <w:b/>
                <w:bCs w:val="0"/>
                <w:color w:val="000000"/>
                <w:szCs w:val="21"/>
                <w:u w:val="single"/>
              </w:rPr>
            </w:pPr>
            <w:r>
              <w:rPr>
                <w:b/>
                <w:bCs w:val="0"/>
                <w:color w:val="000000"/>
                <w:szCs w:val="21"/>
                <w:u w:val="single"/>
              </w:rPr>
              <w:t>严格做好混凝土措施</w:t>
            </w:r>
          </w:p>
        </w:tc>
        <w:tc>
          <w:tcPr>
            <w:tcW w:w="1418" w:type="dxa"/>
            <w:vAlign w:val="center"/>
          </w:tcPr>
          <w:p>
            <w:pPr>
              <w:topLinePunct/>
              <w:jc w:val="center"/>
              <w:rPr>
                <w:b/>
                <w:bCs w:val="0"/>
                <w:color w:val="000000"/>
                <w:szCs w:val="21"/>
                <w:u w:val="single"/>
              </w:rPr>
            </w:pPr>
            <w:r>
              <w:rPr>
                <w:b/>
                <w:bCs w:val="0"/>
                <w:color w:val="000000"/>
                <w:szCs w:val="21"/>
                <w:u w:val="single"/>
              </w:rPr>
              <w:t>/</w:t>
            </w:r>
          </w:p>
        </w:tc>
        <w:tc>
          <w:tcPr>
            <w:tcW w:w="3402" w:type="dxa"/>
            <w:gridSpan w:val="3"/>
            <w:vAlign w:val="center"/>
          </w:tcPr>
          <w:p>
            <w:pPr>
              <w:tabs>
                <w:tab w:val="right" w:leader="dot" w:pos="8647"/>
              </w:tabs>
              <w:topLinePunct/>
              <w:adjustRightInd w:val="0"/>
              <w:snapToGrid w:val="0"/>
              <w:jc w:val="center"/>
              <w:rPr>
                <w:b/>
                <w:bCs w:val="0"/>
                <w:color w:val="000000"/>
                <w:szCs w:val="21"/>
                <w:u w:val="single"/>
              </w:rPr>
            </w:pPr>
            <w:r>
              <w:rPr>
                <w:b/>
                <w:bCs w:val="0"/>
                <w:color w:val="000000"/>
                <w:szCs w:val="21"/>
                <w:u w:val="single"/>
              </w:rPr>
              <w:t>地面铺设混凝土</w:t>
            </w:r>
          </w:p>
        </w:tc>
        <w:tc>
          <w:tcPr>
            <w:tcW w:w="3196" w:type="dxa"/>
            <w:vMerge w:val="continue"/>
            <w:vAlign w:val="center"/>
          </w:tcPr>
          <w:p>
            <w:pPr>
              <w:topLinePunct/>
              <w:jc w:val="center"/>
              <w:rPr>
                <w:b/>
                <w:bCs w:val="0"/>
                <w:color w:val="000000"/>
                <w:szCs w:val="21"/>
                <w:u w:val="singl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Align w:val="center"/>
          </w:tcPr>
          <w:p>
            <w:pPr>
              <w:topLinePunct/>
              <w:jc w:val="center"/>
              <w:rPr>
                <w:b/>
                <w:bCs w:val="0"/>
                <w:color w:val="000000"/>
                <w:szCs w:val="21"/>
                <w:u w:val="single"/>
              </w:rPr>
            </w:pPr>
            <w:r>
              <w:rPr>
                <w:b/>
                <w:bCs w:val="0"/>
                <w:color w:val="000000"/>
                <w:szCs w:val="21"/>
                <w:u w:val="single"/>
              </w:rPr>
              <w:t>敏感目标</w:t>
            </w:r>
          </w:p>
        </w:tc>
        <w:tc>
          <w:tcPr>
            <w:tcW w:w="958" w:type="dxa"/>
            <w:gridSpan w:val="2"/>
            <w:vAlign w:val="center"/>
          </w:tcPr>
          <w:p>
            <w:pPr>
              <w:topLinePunct/>
              <w:jc w:val="center"/>
              <w:rPr>
                <w:b/>
                <w:bCs w:val="0"/>
                <w:color w:val="000000"/>
                <w:szCs w:val="21"/>
                <w:u w:val="single"/>
              </w:rPr>
            </w:pPr>
            <w:r>
              <w:rPr>
                <w:b/>
                <w:bCs w:val="0"/>
                <w:color w:val="000000"/>
                <w:szCs w:val="21"/>
                <w:u w:val="single"/>
              </w:rPr>
              <w:t>/</w:t>
            </w:r>
          </w:p>
        </w:tc>
        <w:tc>
          <w:tcPr>
            <w:tcW w:w="2268" w:type="dxa"/>
            <w:gridSpan w:val="3"/>
            <w:vAlign w:val="center"/>
          </w:tcPr>
          <w:p>
            <w:pPr>
              <w:topLinePunct/>
              <w:jc w:val="center"/>
              <w:rPr>
                <w:b/>
                <w:bCs w:val="0"/>
                <w:color w:val="000000"/>
                <w:szCs w:val="21"/>
                <w:u w:val="single"/>
              </w:rPr>
            </w:pPr>
            <w:r>
              <w:rPr>
                <w:b/>
                <w:bCs w:val="0"/>
                <w:color w:val="000000"/>
                <w:szCs w:val="21"/>
                <w:u w:val="single"/>
              </w:rPr>
              <w:t>/</w:t>
            </w:r>
          </w:p>
        </w:tc>
        <w:tc>
          <w:tcPr>
            <w:tcW w:w="1701" w:type="dxa"/>
            <w:vAlign w:val="center"/>
          </w:tcPr>
          <w:p>
            <w:pPr>
              <w:topLinePunct/>
              <w:jc w:val="center"/>
              <w:rPr>
                <w:b/>
                <w:bCs w:val="0"/>
                <w:color w:val="000000"/>
                <w:szCs w:val="21"/>
                <w:u w:val="single"/>
              </w:rPr>
            </w:pPr>
            <w:r>
              <w:rPr>
                <w:b/>
                <w:bCs w:val="0"/>
                <w:color w:val="000000"/>
                <w:szCs w:val="21"/>
                <w:u w:val="single"/>
              </w:rPr>
              <w:t>/</w:t>
            </w:r>
          </w:p>
        </w:tc>
        <w:tc>
          <w:tcPr>
            <w:tcW w:w="1418" w:type="dxa"/>
            <w:vAlign w:val="center"/>
          </w:tcPr>
          <w:p>
            <w:pPr>
              <w:topLinePunct/>
              <w:jc w:val="center"/>
              <w:rPr>
                <w:b/>
                <w:bCs w:val="0"/>
                <w:color w:val="000000"/>
                <w:szCs w:val="21"/>
                <w:u w:val="single"/>
              </w:rPr>
            </w:pPr>
            <w:r>
              <w:rPr>
                <w:b/>
                <w:bCs w:val="0"/>
                <w:color w:val="000000"/>
                <w:szCs w:val="21"/>
                <w:u w:val="single"/>
              </w:rPr>
              <w:t>/</w:t>
            </w:r>
          </w:p>
        </w:tc>
        <w:tc>
          <w:tcPr>
            <w:tcW w:w="3402" w:type="dxa"/>
            <w:gridSpan w:val="3"/>
            <w:vAlign w:val="center"/>
          </w:tcPr>
          <w:p>
            <w:pPr>
              <w:topLinePunct/>
              <w:jc w:val="center"/>
              <w:rPr>
                <w:b/>
                <w:bCs w:val="0"/>
                <w:color w:val="000000"/>
                <w:szCs w:val="21"/>
                <w:u w:val="single"/>
              </w:rPr>
            </w:pPr>
            <w:r>
              <w:rPr>
                <w:b/>
                <w:bCs w:val="0"/>
                <w:color w:val="000000"/>
                <w:szCs w:val="21"/>
                <w:u w:val="single"/>
              </w:rPr>
              <w:t>/</w:t>
            </w:r>
          </w:p>
        </w:tc>
        <w:tc>
          <w:tcPr>
            <w:tcW w:w="3196" w:type="dxa"/>
            <w:vAlign w:val="center"/>
          </w:tcPr>
          <w:p>
            <w:pPr>
              <w:topLinePunct/>
              <w:jc w:val="center"/>
              <w:rPr>
                <w:b/>
                <w:bCs w:val="0"/>
                <w:color w:val="000000"/>
                <w:szCs w:val="21"/>
                <w:u w:val="single"/>
              </w:rPr>
            </w:pPr>
            <w:r>
              <w:rPr>
                <w:b/>
                <w:bCs w:val="0"/>
                <w:color w:val="000000"/>
                <w:szCs w:val="21"/>
                <w:u w:val="single"/>
              </w:rPr>
              <w:t>《环境空气质量标准》GB3095-2012二级标准、</w:t>
            </w:r>
          </w:p>
          <w:p>
            <w:pPr>
              <w:topLinePunct/>
              <w:jc w:val="center"/>
              <w:rPr>
                <w:b/>
                <w:bCs w:val="0"/>
                <w:color w:val="000000"/>
                <w:szCs w:val="21"/>
                <w:u w:val="single"/>
              </w:rPr>
            </w:pPr>
            <w:r>
              <w:rPr>
                <w:b/>
                <w:bCs w:val="0"/>
                <w:color w:val="000000"/>
                <w:u w:val="single"/>
              </w:rPr>
              <w:t>《环境影响评价技术导则 大气环境（HJ2.2-2018）》中附录D</w:t>
            </w:r>
            <w:r>
              <w:rPr>
                <w:b/>
                <w:bCs w:val="0"/>
                <w:color w:val="000000"/>
                <w:szCs w:val="21"/>
                <w:u w:val="single"/>
              </w:rPr>
              <w:t>中居住区大气中有害物质的最高容许浓度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27" w:type="dxa"/>
            <w:vAlign w:val="center"/>
          </w:tcPr>
          <w:p>
            <w:pPr>
              <w:topLinePunct/>
              <w:jc w:val="center"/>
              <w:rPr>
                <w:b/>
                <w:bCs w:val="0"/>
                <w:color w:val="000000"/>
                <w:szCs w:val="21"/>
                <w:u w:val="single"/>
              </w:rPr>
            </w:pPr>
            <w:r>
              <w:rPr>
                <w:b/>
                <w:bCs w:val="0"/>
                <w:color w:val="000000"/>
                <w:szCs w:val="21"/>
                <w:u w:val="single"/>
              </w:rPr>
              <w:t>厂界</w:t>
            </w:r>
          </w:p>
        </w:tc>
        <w:tc>
          <w:tcPr>
            <w:tcW w:w="958" w:type="dxa"/>
            <w:gridSpan w:val="2"/>
            <w:vAlign w:val="center"/>
          </w:tcPr>
          <w:p>
            <w:pPr>
              <w:topLinePunct/>
              <w:jc w:val="center"/>
              <w:rPr>
                <w:b/>
                <w:bCs w:val="0"/>
                <w:color w:val="000000"/>
                <w:szCs w:val="21"/>
                <w:u w:val="single"/>
              </w:rPr>
            </w:pPr>
            <w:r>
              <w:rPr>
                <w:b/>
                <w:bCs w:val="0"/>
                <w:color w:val="000000"/>
                <w:szCs w:val="21"/>
                <w:u w:val="single"/>
              </w:rPr>
              <w:t>/</w:t>
            </w:r>
          </w:p>
        </w:tc>
        <w:tc>
          <w:tcPr>
            <w:tcW w:w="2268" w:type="dxa"/>
            <w:gridSpan w:val="3"/>
            <w:vAlign w:val="center"/>
          </w:tcPr>
          <w:p>
            <w:pPr>
              <w:topLinePunct/>
              <w:jc w:val="center"/>
              <w:rPr>
                <w:b/>
                <w:bCs w:val="0"/>
                <w:color w:val="000000"/>
                <w:szCs w:val="21"/>
                <w:u w:val="single"/>
              </w:rPr>
            </w:pPr>
            <w:r>
              <w:rPr>
                <w:b/>
                <w:bCs w:val="0"/>
                <w:color w:val="000000"/>
                <w:szCs w:val="21"/>
                <w:u w:val="single"/>
              </w:rPr>
              <w:t>/</w:t>
            </w:r>
          </w:p>
        </w:tc>
        <w:tc>
          <w:tcPr>
            <w:tcW w:w="1701" w:type="dxa"/>
            <w:vAlign w:val="center"/>
          </w:tcPr>
          <w:p>
            <w:pPr>
              <w:topLinePunct/>
              <w:jc w:val="center"/>
              <w:rPr>
                <w:b/>
                <w:bCs w:val="0"/>
                <w:color w:val="000000"/>
                <w:szCs w:val="21"/>
                <w:u w:val="single"/>
              </w:rPr>
            </w:pPr>
            <w:r>
              <w:rPr>
                <w:b/>
                <w:bCs w:val="0"/>
                <w:color w:val="000000"/>
                <w:szCs w:val="21"/>
                <w:u w:val="single"/>
              </w:rPr>
              <w:t>/</w:t>
            </w:r>
          </w:p>
        </w:tc>
        <w:tc>
          <w:tcPr>
            <w:tcW w:w="1418" w:type="dxa"/>
            <w:vAlign w:val="center"/>
          </w:tcPr>
          <w:p>
            <w:pPr>
              <w:topLinePunct/>
              <w:jc w:val="center"/>
              <w:rPr>
                <w:b/>
                <w:bCs w:val="0"/>
                <w:color w:val="000000"/>
                <w:szCs w:val="21"/>
                <w:u w:val="single"/>
              </w:rPr>
            </w:pPr>
            <w:r>
              <w:rPr>
                <w:b/>
                <w:bCs w:val="0"/>
                <w:color w:val="000000"/>
                <w:szCs w:val="21"/>
                <w:u w:val="single"/>
              </w:rPr>
              <w:t>/</w:t>
            </w:r>
          </w:p>
        </w:tc>
        <w:tc>
          <w:tcPr>
            <w:tcW w:w="3402" w:type="dxa"/>
            <w:gridSpan w:val="3"/>
            <w:vAlign w:val="center"/>
          </w:tcPr>
          <w:p>
            <w:pPr>
              <w:topLinePunct/>
              <w:jc w:val="center"/>
              <w:rPr>
                <w:b/>
                <w:bCs w:val="0"/>
                <w:color w:val="000000"/>
                <w:szCs w:val="21"/>
                <w:u w:val="single"/>
              </w:rPr>
            </w:pPr>
            <w:r>
              <w:rPr>
                <w:b/>
                <w:bCs w:val="0"/>
                <w:color w:val="000000"/>
                <w:szCs w:val="21"/>
                <w:u w:val="single"/>
              </w:rPr>
              <w:t>/</w:t>
            </w:r>
          </w:p>
        </w:tc>
        <w:tc>
          <w:tcPr>
            <w:tcW w:w="3196" w:type="dxa"/>
            <w:vAlign w:val="center"/>
          </w:tcPr>
          <w:p>
            <w:pPr>
              <w:topLinePunct/>
              <w:jc w:val="center"/>
              <w:rPr>
                <w:b/>
                <w:bCs w:val="0"/>
                <w:color w:val="000000"/>
                <w:szCs w:val="21"/>
                <w:u w:val="single"/>
              </w:rPr>
            </w:pPr>
            <w:r>
              <w:rPr>
                <w:b/>
                <w:bCs w:val="0"/>
                <w:color w:val="000000"/>
                <w:szCs w:val="21"/>
                <w:u w:val="single"/>
              </w:rPr>
              <w:t>《恶臭污染物排放标准》（GB14554-93）表1中二级标准要求、《工业企业厂界环境噪声排放标准》（GB12348—2008）2类标准</w:t>
            </w:r>
          </w:p>
        </w:tc>
      </w:tr>
    </w:tbl>
    <w:p>
      <w:pPr>
        <w:topLinePunct/>
        <w:jc w:val="right"/>
        <w:rPr>
          <w:b/>
          <w:color w:val="000000"/>
          <w:u w:val="single"/>
        </w:rPr>
      </w:pPr>
    </w:p>
    <w:p>
      <w:pPr>
        <w:topLinePunct/>
        <w:jc w:val="right"/>
        <w:rPr>
          <w:b/>
          <w:color w:val="000000"/>
          <w:u w:val="single"/>
        </w:rPr>
        <w:sectPr>
          <w:footerReference r:id="rId6" w:type="default"/>
          <w:pgSz w:w="16838" w:h="11906" w:orient="landscape"/>
          <w:pgMar w:top="1588" w:right="1985" w:bottom="1588" w:left="1701" w:header="851" w:footer="992" w:gutter="0"/>
          <w:pgNumType w:fmt="numberInDash"/>
          <w:cols w:space="720" w:num="1"/>
          <w:docGrid w:linePitch="312" w:charSpace="0"/>
        </w:sectPr>
      </w:pPr>
    </w:p>
    <w:p>
      <w:pPr>
        <w:keepNext/>
        <w:keepLines/>
        <w:spacing w:before="100" w:beforeAutospacing="1" w:after="100" w:afterAutospacing="1"/>
        <w:jc w:val="center"/>
        <w:outlineLvl w:val="0"/>
        <w:rPr>
          <w:b/>
          <w:sz w:val="44"/>
          <w:szCs w:val="44"/>
        </w:rPr>
      </w:pPr>
      <w:bookmarkStart w:id="290" w:name="_Toc375206217"/>
      <w:bookmarkStart w:id="291" w:name="_Toc488572576"/>
      <w:bookmarkStart w:id="292" w:name="_Toc3019542"/>
      <w:r>
        <w:rPr>
          <w:b/>
          <w:sz w:val="44"/>
          <w:szCs w:val="44"/>
        </w:rPr>
        <w:t>第六章   环境管理与</w:t>
      </w:r>
      <w:bookmarkEnd w:id="290"/>
      <w:r>
        <w:rPr>
          <w:b/>
          <w:sz w:val="44"/>
          <w:szCs w:val="44"/>
        </w:rPr>
        <w:t>环境监测计划</w:t>
      </w:r>
      <w:bookmarkEnd w:id="291"/>
      <w:bookmarkEnd w:id="292"/>
    </w:p>
    <w:p>
      <w:pPr>
        <w:pStyle w:val="4"/>
        <w:spacing w:before="156" w:after="156"/>
        <w:rPr>
          <w:rFonts w:hAnsi="Times New Roman"/>
          <w:color w:val="000000"/>
        </w:rPr>
      </w:pPr>
      <w:bookmarkStart w:id="293" w:name="_Toc3019543"/>
      <w:bookmarkStart w:id="294" w:name="_Toc488572577"/>
      <w:bookmarkStart w:id="295" w:name="_Toc375206218"/>
      <w:r>
        <w:rPr>
          <w:rFonts w:hAnsi="Times New Roman"/>
          <w:color w:val="000000"/>
        </w:rPr>
        <w:t>6.1 环境管理计划</w:t>
      </w:r>
      <w:bookmarkEnd w:id="293"/>
      <w:bookmarkEnd w:id="294"/>
      <w:bookmarkEnd w:id="295"/>
    </w:p>
    <w:p>
      <w:pPr>
        <w:topLinePunct/>
        <w:spacing w:line="500" w:lineRule="exact"/>
        <w:ind w:firstLine="480" w:firstLineChars="200"/>
        <w:rPr>
          <w:color w:val="000000"/>
        </w:rPr>
      </w:pPr>
      <w:r>
        <w:rPr>
          <w:color w:val="000000"/>
          <w:sz w:val="24"/>
        </w:rPr>
        <w:t>设置环境管理和制定环境监测计划的目的是为了贯彻落实国家和地方环保政策法规、加大环保执法力度，正确处理发展生产与环境保护的关系，实现建设项目的社会、经济和环境效益的协调统一及可持续发展。</w:t>
      </w:r>
    </w:p>
    <w:p>
      <w:pPr>
        <w:topLinePunct/>
        <w:spacing w:line="600" w:lineRule="exact"/>
        <w:outlineLvl w:val="2"/>
        <w:rPr>
          <w:b/>
          <w:bCs/>
          <w:color w:val="000000"/>
          <w:sz w:val="24"/>
        </w:rPr>
      </w:pPr>
      <w:r>
        <w:rPr>
          <w:b/>
          <w:bCs/>
          <w:color w:val="000000"/>
          <w:sz w:val="24"/>
        </w:rPr>
        <w:t>6.1.1 环境管理机制</w:t>
      </w:r>
    </w:p>
    <w:p>
      <w:pPr>
        <w:topLinePunct/>
        <w:spacing w:line="500" w:lineRule="exact"/>
        <w:ind w:firstLine="480" w:firstLineChars="200"/>
        <w:rPr>
          <w:color w:val="000000"/>
          <w:sz w:val="24"/>
        </w:rPr>
      </w:pPr>
      <w:r>
        <w:rPr>
          <w:color w:val="000000"/>
          <w:sz w:val="24"/>
        </w:rPr>
        <w:t>本项目的环境管理体系可分为管理机构与监督机构。</w:t>
      </w:r>
    </w:p>
    <w:p>
      <w:pPr>
        <w:topLinePunct/>
        <w:spacing w:line="500" w:lineRule="exact"/>
        <w:ind w:firstLine="480" w:firstLineChars="200"/>
        <w:rPr>
          <w:color w:val="000000"/>
          <w:sz w:val="24"/>
        </w:rPr>
      </w:pPr>
      <w:r>
        <w:rPr>
          <w:color w:val="000000"/>
          <w:sz w:val="24"/>
        </w:rPr>
        <w:t>（1）设置与组成</w:t>
      </w:r>
    </w:p>
    <w:p>
      <w:pPr>
        <w:topLinePunct/>
        <w:spacing w:line="500" w:lineRule="exact"/>
        <w:ind w:firstLine="480" w:firstLineChars="200"/>
        <w:rPr>
          <w:color w:val="000000"/>
          <w:sz w:val="24"/>
        </w:rPr>
      </w:pPr>
      <w:r>
        <w:rPr>
          <w:color w:val="000000"/>
          <w:sz w:val="24"/>
        </w:rPr>
        <w:t>根据《建设项目环境保护设计规定》的有关要求和本次工程的实际需要，建设项目的法人单位平舆牧原农牧有限公司应成立专门的环境管理机构，负责项目施工、运营期间的安全生产和环境管理工作。环境管理工作由1名副场长主抓，并配备专职安全、环保管理人员4人负责企业环境管理的日常工作。</w:t>
      </w:r>
    </w:p>
    <w:p>
      <w:pPr>
        <w:topLinePunct/>
        <w:spacing w:line="500" w:lineRule="exact"/>
        <w:ind w:firstLine="480" w:firstLineChars="200"/>
        <w:rPr>
          <w:color w:val="000000"/>
          <w:sz w:val="24"/>
        </w:rPr>
      </w:pPr>
      <w:r>
        <w:rPr>
          <w:color w:val="000000"/>
          <w:sz w:val="24"/>
        </w:rPr>
        <w:t>（2）环境管理机构的主要职责如下：</w:t>
      </w:r>
    </w:p>
    <w:p>
      <w:pPr>
        <w:topLinePunct/>
        <w:spacing w:line="500" w:lineRule="exact"/>
        <w:ind w:firstLine="480" w:firstLineChars="200"/>
        <w:rPr>
          <w:color w:val="000000"/>
          <w:sz w:val="24"/>
        </w:rPr>
      </w:pPr>
      <w:r>
        <w:rPr>
          <w:rFonts w:hint="eastAsia" w:ascii="宋体" w:hAnsi="宋体" w:cs="宋体"/>
          <w:color w:val="000000"/>
          <w:sz w:val="24"/>
        </w:rPr>
        <w:t>①</w:t>
      </w:r>
      <w:r>
        <w:rPr>
          <w:color w:val="000000"/>
          <w:sz w:val="24"/>
        </w:rPr>
        <w:t>贯彻、宣传国家的环保方针、政策和法律法规。</w:t>
      </w:r>
    </w:p>
    <w:p>
      <w:pPr>
        <w:topLinePunct/>
        <w:spacing w:line="500" w:lineRule="exact"/>
        <w:ind w:firstLine="480" w:firstLineChars="200"/>
        <w:rPr>
          <w:color w:val="000000"/>
          <w:sz w:val="24"/>
        </w:rPr>
      </w:pPr>
      <w:r>
        <w:rPr>
          <w:rFonts w:hint="eastAsia" w:ascii="宋体" w:hAnsi="宋体" w:cs="宋体"/>
          <w:color w:val="000000"/>
          <w:sz w:val="24"/>
        </w:rPr>
        <w:t>②</w:t>
      </w:r>
      <w:r>
        <w:rPr>
          <w:color w:val="000000"/>
          <w:sz w:val="24"/>
        </w:rPr>
        <w:t>制定本场的环保管理制度。</w:t>
      </w:r>
    </w:p>
    <w:p>
      <w:pPr>
        <w:topLinePunct/>
        <w:spacing w:line="500" w:lineRule="exact"/>
        <w:ind w:firstLine="480" w:firstLineChars="200"/>
        <w:rPr>
          <w:color w:val="000000"/>
          <w:sz w:val="24"/>
        </w:rPr>
      </w:pPr>
      <w:r>
        <w:rPr>
          <w:rFonts w:hint="eastAsia" w:ascii="宋体" w:hAnsi="宋体" w:cs="宋体"/>
          <w:color w:val="000000"/>
          <w:sz w:val="24"/>
        </w:rPr>
        <w:t>③</w:t>
      </w:r>
      <w:r>
        <w:rPr>
          <w:color w:val="000000"/>
          <w:sz w:val="24"/>
        </w:rPr>
        <w:t>监督检查本项目执行“三同时”规定的情况。</w:t>
      </w:r>
    </w:p>
    <w:p>
      <w:pPr>
        <w:topLinePunct/>
        <w:spacing w:line="500" w:lineRule="exact"/>
        <w:ind w:firstLine="480" w:firstLineChars="200"/>
        <w:rPr>
          <w:color w:val="000000"/>
          <w:sz w:val="24"/>
        </w:rPr>
      </w:pPr>
      <w:r>
        <w:rPr>
          <w:rFonts w:hint="eastAsia" w:ascii="宋体" w:hAnsi="宋体" w:cs="宋体"/>
          <w:color w:val="000000"/>
          <w:sz w:val="24"/>
        </w:rPr>
        <w:t>④</w:t>
      </w:r>
      <w:r>
        <w:rPr>
          <w:color w:val="000000"/>
          <w:sz w:val="24"/>
        </w:rPr>
        <w:t>定期进行环保设备检查、维修和保养工作，确保环保设施长期、稳定、达标运转。</w:t>
      </w:r>
    </w:p>
    <w:p>
      <w:pPr>
        <w:topLinePunct/>
        <w:spacing w:line="500" w:lineRule="exact"/>
        <w:ind w:firstLine="480" w:firstLineChars="200"/>
        <w:rPr>
          <w:color w:val="000000"/>
          <w:sz w:val="24"/>
        </w:rPr>
      </w:pPr>
      <w:r>
        <w:rPr>
          <w:rFonts w:hint="eastAsia" w:ascii="宋体" w:hAnsi="宋体" w:cs="宋体"/>
          <w:color w:val="000000"/>
          <w:sz w:val="24"/>
        </w:rPr>
        <w:t>⑤</w:t>
      </w:r>
      <w:r>
        <w:rPr>
          <w:color w:val="000000"/>
          <w:sz w:val="24"/>
        </w:rPr>
        <w:t>负责养殖场环保设施的日常运行管理工作，制定事故防范措施。</w:t>
      </w:r>
    </w:p>
    <w:p>
      <w:pPr>
        <w:topLinePunct/>
        <w:spacing w:line="500" w:lineRule="exact"/>
        <w:ind w:firstLine="480" w:firstLineChars="200"/>
        <w:rPr>
          <w:color w:val="000000"/>
          <w:sz w:val="24"/>
        </w:rPr>
      </w:pPr>
      <w:r>
        <w:rPr>
          <w:rFonts w:hint="eastAsia" w:ascii="宋体" w:hAnsi="宋体" w:cs="宋体"/>
          <w:color w:val="000000"/>
          <w:sz w:val="24"/>
        </w:rPr>
        <w:t>⑥</w:t>
      </w:r>
      <w:r>
        <w:rPr>
          <w:color w:val="000000"/>
          <w:sz w:val="24"/>
        </w:rPr>
        <w:t>负责对场内环保人员和附近居民进行环境保护教育，不断提高居民的环境意识和环保人员的业务素质。</w:t>
      </w:r>
    </w:p>
    <w:p>
      <w:pPr>
        <w:spacing w:line="520" w:lineRule="exact"/>
        <w:ind w:firstLine="600" w:firstLineChars="250"/>
        <w:rPr>
          <w:sz w:val="24"/>
        </w:rPr>
      </w:pPr>
      <w:r>
        <w:rPr>
          <w:kern w:val="0"/>
          <w:sz w:val="24"/>
        </w:rPr>
        <w:t>（3）废气排放口规范化设置</w:t>
      </w:r>
    </w:p>
    <w:p>
      <w:pPr>
        <w:spacing w:line="520" w:lineRule="exact"/>
        <w:ind w:firstLine="480" w:firstLineChars="200"/>
        <w:rPr>
          <w:sz w:val="24"/>
        </w:rPr>
      </w:pPr>
      <w:r>
        <w:rPr>
          <w:kern w:val="0"/>
          <w:sz w:val="24"/>
        </w:rPr>
        <w:t>废气排放口应进行规范化设计，具备采样、监测条件，排放口附近树立环保图形标志牌。按照国家环境保护总局制定的《〈环境保护图形标志〉实施细则（试行）》（环监[1996]463号）的规定，在排污口设立相应的环境保护图形标志牌。排污口环境保护图形标志见表6-1。</w:t>
      </w:r>
    </w:p>
    <w:p>
      <w:pPr>
        <w:adjustRightInd w:val="0"/>
        <w:snapToGrid w:val="0"/>
        <w:spacing w:line="520" w:lineRule="exact"/>
        <w:jc w:val="center"/>
        <w:rPr>
          <w:b/>
          <w:sz w:val="24"/>
        </w:rPr>
      </w:pPr>
      <w:r>
        <w:rPr>
          <w:b/>
          <w:kern w:val="0"/>
          <w:sz w:val="24"/>
        </w:rPr>
        <w:t>表6-1    排污口环境保护图形标志</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4119"/>
        <w:gridCol w:w="48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119" w:type="dxa"/>
            <w:vAlign w:val="center"/>
          </w:tcPr>
          <w:p>
            <w:pPr>
              <w:snapToGrid w:val="0"/>
              <w:jc w:val="center"/>
              <w:rPr>
                <w:b/>
                <w:szCs w:val="21"/>
              </w:rPr>
            </w:pPr>
            <w:r>
              <w:rPr>
                <w:b/>
                <w:kern w:val="0"/>
                <w:szCs w:val="21"/>
              </w:rPr>
              <w:t>排放口名称</w:t>
            </w:r>
          </w:p>
        </w:tc>
        <w:tc>
          <w:tcPr>
            <w:tcW w:w="4827" w:type="dxa"/>
            <w:vAlign w:val="center"/>
          </w:tcPr>
          <w:p>
            <w:pPr>
              <w:snapToGrid w:val="0"/>
              <w:jc w:val="center"/>
              <w:rPr>
                <w:b/>
                <w:szCs w:val="21"/>
              </w:rPr>
            </w:pPr>
            <w:r>
              <w:rPr>
                <w:b/>
                <w:kern w:val="0"/>
                <w:szCs w:val="21"/>
              </w:rPr>
              <w:t>图形标志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119" w:type="dxa"/>
            <w:vAlign w:val="center"/>
          </w:tcPr>
          <w:p>
            <w:pPr>
              <w:snapToGrid w:val="0"/>
              <w:jc w:val="center"/>
              <w:rPr>
                <w:szCs w:val="21"/>
              </w:rPr>
            </w:pPr>
            <w:r>
              <w:rPr>
                <w:kern w:val="0"/>
                <w:szCs w:val="21"/>
              </w:rPr>
              <w:t>排气筒</w:t>
            </w:r>
          </w:p>
        </w:tc>
        <w:tc>
          <w:tcPr>
            <w:tcW w:w="4827" w:type="dxa"/>
            <w:vAlign w:val="center"/>
          </w:tcPr>
          <w:p>
            <w:pPr>
              <w:snapToGrid w:val="0"/>
              <w:ind w:firstLine="86"/>
              <w:jc w:val="center"/>
              <w:rPr>
                <w:snapToGrid w:val="0"/>
                <w:szCs w:val="21"/>
              </w:rPr>
            </w:pPr>
            <w:r>
              <w:rPr>
                <w:color w:val="0000FF"/>
                <w:szCs w:val="21"/>
                <w:u w:val="single"/>
              </w:rPr>
              <w:drawing>
                <wp:inline distT="0" distB="0" distL="0" distR="0">
                  <wp:extent cx="520700" cy="520700"/>
                  <wp:effectExtent l="19050" t="0" r="0" b="0"/>
                  <wp:docPr id="24" name="图片 24" descr="IMG_27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0"/>
                          <pic:cNvPicPr>
                            <a:picLocks noChangeAspect="1" noChangeArrowheads="1"/>
                          </pic:cNvPicPr>
                        </pic:nvPicPr>
                        <pic:blipFill>
                          <a:blip r:embed="rId50" cstate="print"/>
                          <a:srcRect/>
                          <a:stretch>
                            <a:fillRect/>
                          </a:stretch>
                        </pic:blipFill>
                        <pic:spPr>
                          <a:xfrm>
                            <a:off x="0" y="0"/>
                            <a:ext cx="520700" cy="520700"/>
                          </a:xfrm>
                          <a:prstGeom prst="rect">
                            <a:avLst/>
                          </a:prstGeom>
                          <a:noFill/>
                          <a:ln w="9525">
                            <a:noFill/>
                            <a:miter lim="800000"/>
                            <a:headEnd/>
                            <a:tailEnd/>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119" w:type="dxa"/>
            <w:vAlign w:val="center"/>
          </w:tcPr>
          <w:p>
            <w:pPr>
              <w:snapToGrid w:val="0"/>
              <w:jc w:val="center"/>
              <w:rPr>
                <w:szCs w:val="21"/>
              </w:rPr>
            </w:pPr>
            <w:r>
              <w:rPr>
                <w:kern w:val="0"/>
                <w:szCs w:val="21"/>
              </w:rPr>
              <w:t>噪声源</w:t>
            </w:r>
          </w:p>
        </w:tc>
        <w:tc>
          <w:tcPr>
            <w:tcW w:w="4827" w:type="dxa"/>
            <w:vAlign w:val="center"/>
          </w:tcPr>
          <w:p>
            <w:pPr>
              <w:snapToGrid w:val="0"/>
              <w:ind w:firstLine="86"/>
              <w:jc w:val="center"/>
              <w:rPr>
                <w:snapToGrid w:val="0"/>
                <w:szCs w:val="21"/>
              </w:rPr>
            </w:pPr>
            <w:r>
              <w:rPr>
                <w:color w:val="0000FF"/>
                <w:szCs w:val="21"/>
                <w:u w:val="single"/>
              </w:rPr>
              <w:drawing>
                <wp:inline distT="0" distB="0" distL="0" distR="0">
                  <wp:extent cx="520700" cy="520700"/>
                  <wp:effectExtent l="19050" t="0" r="0" b="0"/>
                  <wp:docPr id="13" name="图片 25" descr="IMG_27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descr="IMG_271"/>
                          <pic:cNvPicPr>
                            <a:picLocks noChangeAspect="1" noChangeArrowheads="1"/>
                          </pic:cNvPicPr>
                        </pic:nvPicPr>
                        <pic:blipFill>
                          <a:blip r:embed="rId52" cstate="print"/>
                          <a:srcRect/>
                          <a:stretch>
                            <a:fillRect/>
                          </a:stretch>
                        </pic:blipFill>
                        <pic:spPr>
                          <a:xfrm>
                            <a:off x="0" y="0"/>
                            <a:ext cx="520700" cy="520700"/>
                          </a:xfrm>
                          <a:prstGeom prst="rect">
                            <a:avLst/>
                          </a:prstGeom>
                          <a:noFill/>
                          <a:ln w="9525">
                            <a:noFill/>
                            <a:miter lim="800000"/>
                            <a:headEnd/>
                            <a:tailEnd/>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119" w:type="dxa"/>
            <w:vAlign w:val="center"/>
          </w:tcPr>
          <w:p>
            <w:pPr>
              <w:snapToGrid w:val="0"/>
              <w:jc w:val="center"/>
              <w:rPr>
                <w:szCs w:val="21"/>
              </w:rPr>
            </w:pPr>
            <w:r>
              <w:rPr>
                <w:kern w:val="0"/>
                <w:szCs w:val="21"/>
              </w:rPr>
              <w:t>固废堆放场所</w:t>
            </w:r>
          </w:p>
        </w:tc>
        <w:tc>
          <w:tcPr>
            <w:tcW w:w="4827" w:type="dxa"/>
            <w:vAlign w:val="center"/>
          </w:tcPr>
          <w:p>
            <w:pPr>
              <w:snapToGrid w:val="0"/>
              <w:ind w:firstLine="102"/>
              <w:jc w:val="center"/>
              <w:rPr>
                <w:snapToGrid w:val="0"/>
                <w:szCs w:val="21"/>
              </w:rPr>
            </w:pPr>
            <w:r>
              <w:rPr>
                <w:color w:val="0000FF"/>
                <w:szCs w:val="21"/>
                <w:u w:val="single"/>
              </w:rPr>
              <w:drawing>
                <wp:inline distT="0" distB="0" distL="0" distR="0">
                  <wp:extent cx="520700" cy="510540"/>
                  <wp:effectExtent l="19050" t="0" r="0" b="0"/>
                  <wp:docPr id="5" name="图片 26" descr="IMG_27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IMG_272"/>
                          <pic:cNvPicPr>
                            <a:picLocks noChangeAspect="1" noChangeArrowheads="1"/>
                          </pic:cNvPicPr>
                        </pic:nvPicPr>
                        <pic:blipFill>
                          <a:blip r:embed="rId54" cstate="print"/>
                          <a:srcRect/>
                          <a:stretch>
                            <a:fillRect/>
                          </a:stretch>
                        </pic:blipFill>
                        <pic:spPr>
                          <a:xfrm>
                            <a:off x="0" y="0"/>
                            <a:ext cx="520700" cy="510540"/>
                          </a:xfrm>
                          <a:prstGeom prst="rect">
                            <a:avLst/>
                          </a:prstGeom>
                          <a:noFill/>
                          <a:ln w="9525">
                            <a:noFill/>
                            <a:miter lim="800000"/>
                            <a:headEnd/>
                            <a:tailEnd/>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97" w:hRule="atLeast"/>
          <w:jc w:val="center"/>
        </w:trPr>
        <w:tc>
          <w:tcPr>
            <w:tcW w:w="4119" w:type="dxa"/>
            <w:vAlign w:val="center"/>
          </w:tcPr>
          <w:p>
            <w:pPr>
              <w:snapToGrid w:val="0"/>
              <w:jc w:val="center"/>
              <w:rPr>
                <w:szCs w:val="21"/>
              </w:rPr>
            </w:pPr>
            <w:r>
              <w:rPr>
                <w:kern w:val="0"/>
                <w:szCs w:val="21"/>
              </w:rPr>
              <w:t>危险废物</w:t>
            </w:r>
          </w:p>
        </w:tc>
        <w:tc>
          <w:tcPr>
            <w:tcW w:w="4827" w:type="dxa"/>
            <w:vAlign w:val="center"/>
          </w:tcPr>
          <w:p>
            <w:pPr>
              <w:snapToGrid w:val="0"/>
              <w:ind w:firstLine="102"/>
              <w:jc w:val="center"/>
              <w:rPr>
                <w:szCs w:val="21"/>
              </w:rPr>
            </w:pPr>
            <w:r>
              <w:rPr>
                <w:kern w:val="0"/>
                <w:szCs w:val="21"/>
              </w:rPr>
              <w:drawing>
                <wp:inline distT="0" distB="0" distL="0" distR="0">
                  <wp:extent cx="520700" cy="584835"/>
                  <wp:effectExtent l="19050" t="0" r="0" b="0"/>
                  <wp:docPr id="4" name="图片 27"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IMG_273"/>
                          <pic:cNvPicPr>
                            <a:picLocks noChangeAspect="1" noChangeArrowheads="1"/>
                          </pic:cNvPicPr>
                        </pic:nvPicPr>
                        <pic:blipFill>
                          <a:blip r:embed="rId55" cstate="print"/>
                          <a:srcRect/>
                          <a:stretch>
                            <a:fillRect/>
                          </a:stretch>
                        </pic:blipFill>
                        <pic:spPr>
                          <a:xfrm>
                            <a:off x="0" y="0"/>
                            <a:ext cx="520700" cy="584835"/>
                          </a:xfrm>
                          <a:prstGeom prst="rect">
                            <a:avLst/>
                          </a:prstGeom>
                          <a:noFill/>
                          <a:ln w="9525">
                            <a:noFill/>
                            <a:miter lim="800000"/>
                            <a:headEnd/>
                            <a:tailEnd/>
                          </a:ln>
                        </pic:spPr>
                      </pic:pic>
                    </a:graphicData>
                  </a:graphic>
                </wp:inline>
              </w:drawing>
            </w:r>
          </w:p>
        </w:tc>
      </w:tr>
    </w:tbl>
    <w:p>
      <w:pPr>
        <w:spacing w:line="500" w:lineRule="exact"/>
        <w:ind w:firstLine="480" w:firstLineChars="200"/>
        <w:rPr>
          <w:color w:val="000000"/>
          <w:sz w:val="24"/>
        </w:rPr>
      </w:pPr>
      <w:r>
        <w:rPr>
          <w:kern w:val="0"/>
          <w:sz w:val="24"/>
        </w:rPr>
        <w:t>危险废物及生活垃圾堆放场所，必须有防火、防腐蚀、防流失等措施，并应设置标志牌。</w:t>
      </w:r>
    </w:p>
    <w:p>
      <w:pPr>
        <w:topLinePunct/>
        <w:spacing w:line="600" w:lineRule="exact"/>
        <w:outlineLvl w:val="2"/>
        <w:rPr>
          <w:b/>
          <w:color w:val="000000"/>
          <w:sz w:val="24"/>
        </w:rPr>
      </w:pPr>
      <w:r>
        <w:rPr>
          <w:b/>
          <w:bCs/>
          <w:color w:val="000000"/>
          <w:sz w:val="24"/>
        </w:rPr>
        <w:t>6.1.2 环境管理计划</w:t>
      </w:r>
    </w:p>
    <w:p>
      <w:pPr>
        <w:topLinePunct/>
        <w:spacing w:line="500" w:lineRule="exact"/>
        <w:ind w:firstLine="480" w:firstLineChars="200"/>
        <w:rPr>
          <w:b/>
          <w:color w:val="000000"/>
          <w:szCs w:val="21"/>
        </w:rPr>
      </w:pPr>
      <w:r>
        <w:rPr>
          <w:color w:val="000000"/>
          <w:sz w:val="24"/>
        </w:rPr>
        <w:t>该项目环境管理计划见表6-2。</w:t>
      </w:r>
    </w:p>
    <w:p>
      <w:pPr>
        <w:topLinePunct/>
        <w:spacing w:beforeLines="50" w:afterLines="50"/>
        <w:ind w:firstLine="422" w:firstLineChars="200"/>
        <w:jc w:val="center"/>
        <w:rPr>
          <w:b/>
          <w:color w:val="000000"/>
          <w:szCs w:val="21"/>
        </w:rPr>
      </w:pPr>
      <w:r>
        <w:rPr>
          <w:b/>
          <w:color w:val="000000"/>
          <w:szCs w:val="21"/>
        </w:rPr>
        <w:t>表6-2    项目环境管理计划</w:t>
      </w:r>
    </w:p>
    <w:tbl>
      <w:tblPr>
        <w:tblStyle w:val="44"/>
        <w:tblW w:w="88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166"/>
        <w:gridCol w:w="5218"/>
        <w:gridCol w:w="20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608" w:type="dxa"/>
            <w:gridSpan w:val="2"/>
          </w:tcPr>
          <w:p>
            <w:pPr>
              <w:topLinePunct/>
              <w:spacing w:line="320" w:lineRule="exact"/>
              <w:jc w:val="center"/>
              <w:rPr>
                <w:b/>
                <w:color w:val="000000"/>
                <w:szCs w:val="21"/>
              </w:rPr>
            </w:pPr>
            <w:r>
              <w:rPr>
                <w:b/>
                <w:color w:val="000000"/>
                <w:szCs w:val="21"/>
              </w:rPr>
              <w:t>环境问题</w:t>
            </w:r>
          </w:p>
        </w:tc>
        <w:tc>
          <w:tcPr>
            <w:tcW w:w="5218" w:type="dxa"/>
            <w:vAlign w:val="center"/>
          </w:tcPr>
          <w:p>
            <w:pPr>
              <w:topLinePunct/>
              <w:spacing w:line="320" w:lineRule="exact"/>
              <w:jc w:val="center"/>
              <w:rPr>
                <w:b/>
                <w:color w:val="000000"/>
                <w:szCs w:val="21"/>
              </w:rPr>
            </w:pPr>
            <w:r>
              <w:rPr>
                <w:b/>
                <w:color w:val="000000"/>
                <w:szCs w:val="21"/>
              </w:rPr>
              <w:t>管理措施</w:t>
            </w:r>
          </w:p>
        </w:tc>
        <w:tc>
          <w:tcPr>
            <w:tcW w:w="2027" w:type="dxa"/>
            <w:vAlign w:val="center"/>
          </w:tcPr>
          <w:p>
            <w:pPr>
              <w:topLinePunct/>
              <w:spacing w:line="320" w:lineRule="exact"/>
              <w:jc w:val="center"/>
              <w:rPr>
                <w:b/>
                <w:color w:val="000000"/>
                <w:szCs w:val="21"/>
              </w:rPr>
            </w:pPr>
            <w:r>
              <w:rPr>
                <w:b/>
                <w:color w:val="000000"/>
                <w:szCs w:val="21"/>
              </w:rPr>
              <w:t>实施机构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42" w:type="dxa"/>
            <w:vMerge w:val="restart"/>
            <w:vAlign w:val="center"/>
          </w:tcPr>
          <w:p>
            <w:pPr>
              <w:topLinePunct/>
              <w:spacing w:line="320" w:lineRule="exact"/>
              <w:jc w:val="center"/>
              <w:rPr>
                <w:color w:val="000000"/>
                <w:szCs w:val="21"/>
              </w:rPr>
            </w:pPr>
            <w:r>
              <w:rPr>
                <w:color w:val="000000"/>
                <w:szCs w:val="21"/>
              </w:rPr>
              <w:t>施</w:t>
            </w:r>
          </w:p>
          <w:p>
            <w:pPr>
              <w:topLinePunct/>
              <w:spacing w:line="320" w:lineRule="exact"/>
              <w:jc w:val="center"/>
              <w:rPr>
                <w:color w:val="000000"/>
                <w:szCs w:val="21"/>
              </w:rPr>
            </w:pPr>
            <w:r>
              <w:rPr>
                <w:color w:val="000000"/>
                <w:szCs w:val="21"/>
              </w:rPr>
              <w:t>工</w:t>
            </w:r>
          </w:p>
          <w:p>
            <w:pPr>
              <w:topLinePunct/>
              <w:spacing w:line="320" w:lineRule="exact"/>
              <w:jc w:val="center"/>
              <w:rPr>
                <w:color w:val="000000"/>
                <w:szCs w:val="21"/>
              </w:rPr>
            </w:pPr>
            <w:r>
              <w:rPr>
                <w:color w:val="000000"/>
                <w:szCs w:val="21"/>
              </w:rPr>
              <w:t>期</w:t>
            </w:r>
          </w:p>
        </w:tc>
        <w:tc>
          <w:tcPr>
            <w:tcW w:w="1166" w:type="dxa"/>
            <w:vAlign w:val="center"/>
          </w:tcPr>
          <w:p>
            <w:pPr>
              <w:topLinePunct/>
              <w:spacing w:line="320" w:lineRule="exact"/>
              <w:jc w:val="center"/>
              <w:rPr>
                <w:color w:val="000000"/>
                <w:szCs w:val="21"/>
              </w:rPr>
            </w:pPr>
            <w:r>
              <w:rPr>
                <w:color w:val="000000"/>
                <w:szCs w:val="21"/>
              </w:rPr>
              <w:t>粉尘、扬尘污染</w:t>
            </w:r>
          </w:p>
        </w:tc>
        <w:tc>
          <w:tcPr>
            <w:tcW w:w="5218" w:type="dxa"/>
            <w:vAlign w:val="center"/>
          </w:tcPr>
          <w:p>
            <w:pPr>
              <w:topLinePunct/>
              <w:spacing w:line="320" w:lineRule="exact"/>
              <w:rPr>
                <w:color w:val="000000"/>
                <w:szCs w:val="21"/>
              </w:rPr>
            </w:pPr>
            <w:r>
              <w:rPr>
                <w:color w:val="000000"/>
                <w:szCs w:val="21"/>
              </w:rPr>
              <w:t>1.采取合理的措施，包括施工场地洒水，以降低施工对周围大气TSP污染，特别靠近敏感点的地方；</w:t>
            </w:r>
          </w:p>
          <w:p>
            <w:pPr>
              <w:topLinePunct/>
              <w:spacing w:line="320" w:lineRule="exact"/>
              <w:rPr>
                <w:color w:val="000000"/>
                <w:szCs w:val="21"/>
              </w:rPr>
            </w:pPr>
            <w:r>
              <w:rPr>
                <w:color w:val="000000"/>
                <w:szCs w:val="21"/>
              </w:rPr>
              <w:t>2.运送建筑材料的车辆须用帆布遮盖；</w:t>
            </w:r>
          </w:p>
          <w:p>
            <w:pPr>
              <w:topLinePunct/>
              <w:spacing w:line="320" w:lineRule="exact"/>
              <w:rPr>
                <w:color w:val="000000"/>
                <w:szCs w:val="21"/>
              </w:rPr>
            </w:pPr>
            <w:r>
              <w:rPr>
                <w:color w:val="000000"/>
                <w:szCs w:val="21"/>
              </w:rPr>
              <w:t>3.搅拌设备需良好密封并将安装除尘装置。</w:t>
            </w:r>
          </w:p>
        </w:tc>
        <w:tc>
          <w:tcPr>
            <w:tcW w:w="2027" w:type="dxa"/>
            <w:vAlign w:val="center"/>
          </w:tcPr>
          <w:p>
            <w:pPr>
              <w:topLinePunct/>
              <w:spacing w:line="320" w:lineRule="exact"/>
              <w:jc w:val="center"/>
              <w:rPr>
                <w:color w:val="000000"/>
                <w:szCs w:val="21"/>
              </w:rPr>
            </w:pPr>
            <w:r>
              <w:rPr>
                <w:color w:val="000000"/>
                <w:szCs w:val="21"/>
              </w:rPr>
              <w:t>建设单位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442" w:type="dxa"/>
            <w:vMerge w:val="continue"/>
          </w:tcPr>
          <w:p>
            <w:pPr>
              <w:topLinePunct/>
              <w:spacing w:line="320" w:lineRule="exact"/>
              <w:jc w:val="center"/>
              <w:rPr>
                <w:color w:val="000000"/>
                <w:szCs w:val="21"/>
              </w:rPr>
            </w:pPr>
          </w:p>
        </w:tc>
        <w:tc>
          <w:tcPr>
            <w:tcW w:w="1166" w:type="dxa"/>
            <w:vAlign w:val="center"/>
          </w:tcPr>
          <w:p>
            <w:pPr>
              <w:topLinePunct/>
              <w:spacing w:line="320" w:lineRule="exact"/>
              <w:jc w:val="center"/>
              <w:rPr>
                <w:color w:val="000000"/>
                <w:szCs w:val="21"/>
              </w:rPr>
            </w:pPr>
            <w:r>
              <w:rPr>
                <w:color w:val="000000"/>
                <w:szCs w:val="21"/>
              </w:rPr>
              <w:t>噪声</w:t>
            </w:r>
          </w:p>
        </w:tc>
        <w:tc>
          <w:tcPr>
            <w:tcW w:w="5218" w:type="dxa"/>
            <w:vAlign w:val="center"/>
          </w:tcPr>
          <w:p>
            <w:pPr>
              <w:topLinePunct/>
              <w:spacing w:line="320" w:lineRule="exact"/>
              <w:rPr>
                <w:color w:val="000000"/>
                <w:szCs w:val="21"/>
              </w:rPr>
            </w:pPr>
            <w:r>
              <w:rPr>
                <w:color w:val="000000"/>
                <w:szCs w:val="21"/>
              </w:rPr>
              <w:t>1.严格执行《建筑施工场界噪声限值》，嘈杂的施工工作将不在夜间进行，防止干扰居民区；</w:t>
            </w:r>
          </w:p>
          <w:p>
            <w:pPr>
              <w:topLinePunct/>
              <w:spacing w:line="320" w:lineRule="exact"/>
              <w:rPr>
                <w:color w:val="000000"/>
                <w:szCs w:val="21"/>
              </w:rPr>
            </w:pPr>
            <w:r>
              <w:rPr>
                <w:color w:val="000000"/>
                <w:szCs w:val="21"/>
              </w:rPr>
              <w:t>2.加强对机械和车辆的维修，保持其较低噪声水平。</w:t>
            </w:r>
          </w:p>
        </w:tc>
        <w:tc>
          <w:tcPr>
            <w:tcW w:w="2027" w:type="dxa"/>
            <w:vAlign w:val="center"/>
          </w:tcPr>
          <w:p>
            <w:pPr>
              <w:topLinePunct/>
              <w:spacing w:line="320" w:lineRule="exact"/>
              <w:jc w:val="center"/>
              <w:rPr>
                <w:color w:val="000000"/>
                <w:szCs w:val="21"/>
              </w:rPr>
            </w:pPr>
            <w:r>
              <w:rPr>
                <w:color w:val="000000"/>
                <w:szCs w:val="21"/>
              </w:rPr>
              <w:t>建设单位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42" w:type="dxa"/>
            <w:vMerge w:val="continue"/>
          </w:tcPr>
          <w:p>
            <w:pPr>
              <w:topLinePunct/>
              <w:spacing w:line="320" w:lineRule="exact"/>
              <w:jc w:val="center"/>
              <w:rPr>
                <w:color w:val="000000"/>
                <w:szCs w:val="21"/>
              </w:rPr>
            </w:pPr>
          </w:p>
        </w:tc>
        <w:tc>
          <w:tcPr>
            <w:tcW w:w="1166" w:type="dxa"/>
            <w:vAlign w:val="center"/>
          </w:tcPr>
          <w:p>
            <w:pPr>
              <w:topLinePunct/>
              <w:spacing w:line="320" w:lineRule="exact"/>
              <w:jc w:val="center"/>
              <w:rPr>
                <w:color w:val="000000"/>
                <w:szCs w:val="21"/>
              </w:rPr>
            </w:pPr>
            <w:r>
              <w:rPr>
                <w:color w:val="000000"/>
                <w:szCs w:val="21"/>
              </w:rPr>
              <w:t>固体废物</w:t>
            </w:r>
          </w:p>
        </w:tc>
        <w:tc>
          <w:tcPr>
            <w:tcW w:w="5218" w:type="dxa"/>
            <w:vAlign w:val="center"/>
          </w:tcPr>
          <w:p>
            <w:pPr>
              <w:topLinePunct/>
              <w:spacing w:line="320" w:lineRule="exact"/>
              <w:rPr>
                <w:color w:val="000000"/>
                <w:szCs w:val="21"/>
              </w:rPr>
            </w:pPr>
            <w:r>
              <w:rPr>
                <w:color w:val="000000"/>
                <w:szCs w:val="21"/>
              </w:rPr>
              <w:t>1.开挖土石方就近填坑筑路，实现挖填平衡；</w:t>
            </w:r>
          </w:p>
          <w:p>
            <w:pPr>
              <w:topLinePunct/>
              <w:spacing w:line="320" w:lineRule="exact"/>
              <w:rPr>
                <w:color w:val="000000"/>
                <w:szCs w:val="21"/>
              </w:rPr>
            </w:pPr>
            <w:r>
              <w:rPr>
                <w:color w:val="000000"/>
                <w:szCs w:val="21"/>
              </w:rPr>
              <w:t>2.多余建筑垃圾、生活垃圾及时清运。</w:t>
            </w:r>
          </w:p>
        </w:tc>
        <w:tc>
          <w:tcPr>
            <w:tcW w:w="2027" w:type="dxa"/>
            <w:vAlign w:val="center"/>
          </w:tcPr>
          <w:p>
            <w:pPr>
              <w:topLinePunct/>
              <w:spacing w:line="320" w:lineRule="exact"/>
              <w:jc w:val="center"/>
              <w:rPr>
                <w:color w:val="000000"/>
                <w:szCs w:val="21"/>
              </w:rPr>
            </w:pPr>
            <w:r>
              <w:rPr>
                <w:color w:val="000000"/>
                <w:szCs w:val="21"/>
              </w:rPr>
              <w:t>建设单位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2" w:type="dxa"/>
            <w:vMerge w:val="restart"/>
            <w:vAlign w:val="center"/>
          </w:tcPr>
          <w:p>
            <w:pPr>
              <w:topLinePunct/>
              <w:spacing w:line="320" w:lineRule="exact"/>
              <w:jc w:val="center"/>
              <w:rPr>
                <w:color w:val="000000"/>
                <w:szCs w:val="21"/>
              </w:rPr>
            </w:pPr>
            <w:r>
              <w:rPr>
                <w:color w:val="000000"/>
                <w:szCs w:val="21"/>
              </w:rPr>
              <w:t>营</w:t>
            </w:r>
          </w:p>
          <w:p>
            <w:pPr>
              <w:topLinePunct/>
              <w:spacing w:line="320" w:lineRule="exact"/>
              <w:jc w:val="center"/>
              <w:rPr>
                <w:color w:val="000000"/>
                <w:szCs w:val="21"/>
              </w:rPr>
            </w:pPr>
            <w:r>
              <w:rPr>
                <w:color w:val="000000"/>
                <w:szCs w:val="21"/>
              </w:rPr>
              <w:t>运</w:t>
            </w:r>
          </w:p>
          <w:p>
            <w:pPr>
              <w:topLinePunct/>
              <w:spacing w:line="320" w:lineRule="exact"/>
              <w:jc w:val="center"/>
              <w:rPr>
                <w:color w:val="000000"/>
                <w:szCs w:val="21"/>
              </w:rPr>
            </w:pPr>
            <w:r>
              <w:rPr>
                <w:color w:val="000000"/>
                <w:szCs w:val="21"/>
              </w:rPr>
              <w:t>期</w:t>
            </w:r>
          </w:p>
        </w:tc>
        <w:tc>
          <w:tcPr>
            <w:tcW w:w="1166" w:type="dxa"/>
            <w:vAlign w:val="center"/>
          </w:tcPr>
          <w:p>
            <w:pPr>
              <w:topLinePunct/>
              <w:spacing w:line="320" w:lineRule="exact"/>
              <w:jc w:val="center"/>
              <w:rPr>
                <w:color w:val="000000"/>
                <w:szCs w:val="21"/>
              </w:rPr>
            </w:pPr>
            <w:r>
              <w:rPr>
                <w:color w:val="000000"/>
                <w:szCs w:val="21"/>
              </w:rPr>
              <w:t>废气污染</w:t>
            </w:r>
          </w:p>
        </w:tc>
        <w:tc>
          <w:tcPr>
            <w:tcW w:w="5218" w:type="dxa"/>
            <w:vAlign w:val="center"/>
          </w:tcPr>
          <w:p>
            <w:pPr>
              <w:topLinePunct/>
              <w:spacing w:line="320" w:lineRule="exact"/>
              <w:rPr>
                <w:color w:val="000000"/>
                <w:szCs w:val="21"/>
              </w:rPr>
            </w:pPr>
            <w:r>
              <w:rPr>
                <w:color w:val="000000"/>
                <w:szCs w:val="21"/>
              </w:rPr>
              <w:t>加强管理，保证项目废气处理设施正常运行。</w:t>
            </w:r>
          </w:p>
        </w:tc>
        <w:tc>
          <w:tcPr>
            <w:tcW w:w="2027" w:type="dxa"/>
            <w:vAlign w:val="center"/>
          </w:tcPr>
          <w:p>
            <w:pPr>
              <w:topLinePunct/>
              <w:spacing w:line="320" w:lineRule="exact"/>
              <w:jc w:val="center"/>
              <w:rPr>
                <w:color w:val="000000"/>
                <w:szCs w:val="21"/>
              </w:rPr>
            </w:pPr>
            <w:r>
              <w:rPr>
                <w:color w:val="000000"/>
                <w:szCs w:val="21"/>
              </w:rPr>
              <w:t>建设单位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42" w:type="dxa"/>
            <w:vMerge w:val="continue"/>
          </w:tcPr>
          <w:p>
            <w:pPr>
              <w:topLinePunct/>
              <w:spacing w:line="320" w:lineRule="exact"/>
              <w:jc w:val="center"/>
              <w:rPr>
                <w:color w:val="000000"/>
                <w:szCs w:val="21"/>
              </w:rPr>
            </w:pPr>
          </w:p>
        </w:tc>
        <w:tc>
          <w:tcPr>
            <w:tcW w:w="1166" w:type="dxa"/>
            <w:vAlign w:val="center"/>
          </w:tcPr>
          <w:p>
            <w:pPr>
              <w:topLinePunct/>
              <w:spacing w:line="320" w:lineRule="exact"/>
              <w:jc w:val="center"/>
              <w:rPr>
                <w:color w:val="000000"/>
                <w:szCs w:val="21"/>
              </w:rPr>
            </w:pPr>
            <w:r>
              <w:rPr>
                <w:color w:val="000000"/>
                <w:szCs w:val="21"/>
              </w:rPr>
              <w:t>水质污染</w:t>
            </w:r>
          </w:p>
        </w:tc>
        <w:tc>
          <w:tcPr>
            <w:tcW w:w="5218" w:type="dxa"/>
            <w:vAlign w:val="center"/>
          </w:tcPr>
          <w:p>
            <w:pPr>
              <w:topLinePunct/>
              <w:spacing w:line="320" w:lineRule="exact"/>
              <w:rPr>
                <w:color w:val="000000"/>
                <w:szCs w:val="21"/>
              </w:rPr>
            </w:pPr>
            <w:r>
              <w:rPr>
                <w:color w:val="000000"/>
                <w:szCs w:val="21"/>
              </w:rPr>
              <w:t>加强管理，保证污水处理设施正常运行。</w:t>
            </w:r>
          </w:p>
        </w:tc>
        <w:tc>
          <w:tcPr>
            <w:tcW w:w="2027" w:type="dxa"/>
            <w:vAlign w:val="center"/>
          </w:tcPr>
          <w:p>
            <w:pPr>
              <w:topLinePunct/>
              <w:spacing w:line="320" w:lineRule="exact"/>
              <w:jc w:val="center"/>
              <w:rPr>
                <w:color w:val="000000"/>
                <w:szCs w:val="21"/>
              </w:rPr>
            </w:pPr>
            <w:r>
              <w:rPr>
                <w:color w:val="000000"/>
                <w:szCs w:val="21"/>
              </w:rPr>
              <w:t>建设单位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42" w:type="dxa"/>
            <w:vMerge w:val="continue"/>
          </w:tcPr>
          <w:p>
            <w:pPr>
              <w:topLinePunct/>
              <w:spacing w:line="320" w:lineRule="exact"/>
              <w:jc w:val="center"/>
              <w:rPr>
                <w:color w:val="000000"/>
                <w:szCs w:val="21"/>
              </w:rPr>
            </w:pPr>
          </w:p>
        </w:tc>
        <w:tc>
          <w:tcPr>
            <w:tcW w:w="1166" w:type="dxa"/>
            <w:vAlign w:val="center"/>
          </w:tcPr>
          <w:p>
            <w:pPr>
              <w:topLinePunct/>
              <w:spacing w:line="320" w:lineRule="exact"/>
              <w:jc w:val="center"/>
              <w:rPr>
                <w:color w:val="000000"/>
                <w:szCs w:val="21"/>
              </w:rPr>
            </w:pPr>
            <w:r>
              <w:rPr>
                <w:color w:val="000000"/>
                <w:szCs w:val="21"/>
              </w:rPr>
              <w:t>噪声污染</w:t>
            </w:r>
          </w:p>
        </w:tc>
        <w:tc>
          <w:tcPr>
            <w:tcW w:w="5218" w:type="dxa"/>
            <w:vAlign w:val="center"/>
          </w:tcPr>
          <w:p>
            <w:pPr>
              <w:topLinePunct/>
              <w:spacing w:line="320" w:lineRule="exact"/>
              <w:rPr>
                <w:color w:val="000000"/>
                <w:szCs w:val="21"/>
              </w:rPr>
            </w:pPr>
            <w:r>
              <w:rPr>
                <w:color w:val="000000"/>
                <w:szCs w:val="21"/>
              </w:rPr>
              <w:t>加强管理，保证营运期噪声达标排放。</w:t>
            </w:r>
          </w:p>
        </w:tc>
        <w:tc>
          <w:tcPr>
            <w:tcW w:w="2027" w:type="dxa"/>
            <w:vAlign w:val="center"/>
          </w:tcPr>
          <w:p>
            <w:pPr>
              <w:topLinePunct/>
              <w:spacing w:line="320" w:lineRule="exact"/>
              <w:jc w:val="center"/>
              <w:rPr>
                <w:color w:val="000000"/>
                <w:szCs w:val="21"/>
              </w:rPr>
            </w:pPr>
            <w:r>
              <w:rPr>
                <w:color w:val="000000"/>
                <w:szCs w:val="21"/>
              </w:rPr>
              <w:t>建设单位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42" w:type="dxa"/>
            <w:vMerge w:val="continue"/>
          </w:tcPr>
          <w:p>
            <w:pPr>
              <w:topLinePunct/>
              <w:spacing w:line="320" w:lineRule="exact"/>
              <w:jc w:val="center"/>
              <w:rPr>
                <w:color w:val="000000"/>
                <w:szCs w:val="21"/>
              </w:rPr>
            </w:pPr>
          </w:p>
        </w:tc>
        <w:tc>
          <w:tcPr>
            <w:tcW w:w="1166" w:type="dxa"/>
            <w:vAlign w:val="center"/>
          </w:tcPr>
          <w:p>
            <w:pPr>
              <w:topLinePunct/>
              <w:spacing w:line="320" w:lineRule="exact"/>
              <w:jc w:val="center"/>
              <w:rPr>
                <w:color w:val="000000"/>
                <w:szCs w:val="21"/>
              </w:rPr>
            </w:pPr>
            <w:r>
              <w:rPr>
                <w:color w:val="000000"/>
                <w:szCs w:val="21"/>
              </w:rPr>
              <w:t>固体废物</w:t>
            </w:r>
          </w:p>
        </w:tc>
        <w:tc>
          <w:tcPr>
            <w:tcW w:w="5218" w:type="dxa"/>
            <w:vAlign w:val="center"/>
          </w:tcPr>
          <w:p>
            <w:pPr>
              <w:topLinePunct/>
              <w:spacing w:line="320" w:lineRule="exact"/>
              <w:rPr>
                <w:color w:val="000000"/>
                <w:szCs w:val="21"/>
              </w:rPr>
            </w:pPr>
            <w:r>
              <w:rPr>
                <w:color w:val="000000"/>
                <w:szCs w:val="21"/>
              </w:rPr>
              <w:t>加强管理，保证猪粪、生活垃圾分开收集处置。</w:t>
            </w:r>
          </w:p>
        </w:tc>
        <w:tc>
          <w:tcPr>
            <w:tcW w:w="2027" w:type="dxa"/>
            <w:vAlign w:val="center"/>
          </w:tcPr>
          <w:p>
            <w:pPr>
              <w:topLinePunct/>
              <w:spacing w:line="320" w:lineRule="exact"/>
              <w:jc w:val="center"/>
              <w:rPr>
                <w:color w:val="000000"/>
                <w:szCs w:val="21"/>
              </w:rPr>
            </w:pPr>
            <w:r>
              <w:rPr>
                <w:color w:val="000000"/>
                <w:szCs w:val="21"/>
              </w:rPr>
              <w:t>建设单位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42" w:type="dxa"/>
            <w:vMerge w:val="continue"/>
          </w:tcPr>
          <w:p>
            <w:pPr>
              <w:topLinePunct/>
              <w:spacing w:line="320" w:lineRule="exact"/>
              <w:jc w:val="center"/>
              <w:rPr>
                <w:color w:val="000000"/>
                <w:szCs w:val="21"/>
              </w:rPr>
            </w:pPr>
          </w:p>
        </w:tc>
        <w:tc>
          <w:tcPr>
            <w:tcW w:w="1166" w:type="dxa"/>
            <w:vAlign w:val="center"/>
          </w:tcPr>
          <w:p>
            <w:pPr>
              <w:topLinePunct/>
              <w:spacing w:line="360" w:lineRule="exact"/>
              <w:jc w:val="center"/>
              <w:rPr>
                <w:color w:val="000000"/>
                <w:szCs w:val="21"/>
              </w:rPr>
            </w:pPr>
            <w:r>
              <w:rPr>
                <w:color w:val="000000"/>
                <w:szCs w:val="21"/>
              </w:rPr>
              <w:t>土壤污染</w:t>
            </w:r>
          </w:p>
        </w:tc>
        <w:tc>
          <w:tcPr>
            <w:tcW w:w="5218" w:type="dxa"/>
            <w:vAlign w:val="center"/>
          </w:tcPr>
          <w:p>
            <w:pPr>
              <w:topLinePunct/>
              <w:spacing w:line="360" w:lineRule="exact"/>
              <w:rPr>
                <w:color w:val="000000"/>
                <w:szCs w:val="21"/>
              </w:rPr>
            </w:pPr>
            <w:r>
              <w:rPr>
                <w:color w:val="000000"/>
                <w:szCs w:val="21"/>
              </w:rPr>
              <w:t>按照环境监测技术规范及国家环保局颁布的监测标准、方法执行。</w:t>
            </w:r>
          </w:p>
        </w:tc>
        <w:tc>
          <w:tcPr>
            <w:tcW w:w="2027" w:type="dxa"/>
            <w:vAlign w:val="center"/>
          </w:tcPr>
          <w:p>
            <w:pPr>
              <w:topLinePunct/>
              <w:spacing w:line="360" w:lineRule="exact"/>
              <w:jc w:val="center"/>
              <w:rPr>
                <w:color w:val="000000"/>
                <w:szCs w:val="21"/>
              </w:rPr>
            </w:pPr>
            <w:r>
              <w:rPr>
                <w:color w:val="000000"/>
                <w:szCs w:val="21"/>
              </w:rPr>
              <w:t>有资质的环境监测部门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42" w:type="dxa"/>
            <w:vMerge w:val="continue"/>
          </w:tcPr>
          <w:p>
            <w:pPr>
              <w:topLinePunct/>
              <w:spacing w:line="320" w:lineRule="exact"/>
              <w:jc w:val="center"/>
              <w:rPr>
                <w:color w:val="000000"/>
                <w:szCs w:val="21"/>
              </w:rPr>
            </w:pPr>
          </w:p>
        </w:tc>
        <w:tc>
          <w:tcPr>
            <w:tcW w:w="1166" w:type="dxa"/>
            <w:vAlign w:val="center"/>
          </w:tcPr>
          <w:p>
            <w:pPr>
              <w:topLinePunct/>
              <w:spacing w:line="320" w:lineRule="exact"/>
              <w:jc w:val="center"/>
              <w:rPr>
                <w:color w:val="000000"/>
                <w:szCs w:val="21"/>
              </w:rPr>
            </w:pPr>
            <w:r>
              <w:rPr>
                <w:color w:val="000000"/>
                <w:szCs w:val="21"/>
              </w:rPr>
              <w:t>环境监测</w:t>
            </w:r>
          </w:p>
        </w:tc>
        <w:tc>
          <w:tcPr>
            <w:tcW w:w="5218" w:type="dxa"/>
            <w:vAlign w:val="center"/>
          </w:tcPr>
          <w:p>
            <w:pPr>
              <w:topLinePunct/>
              <w:spacing w:line="320" w:lineRule="exact"/>
              <w:rPr>
                <w:color w:val="000000"/>
                <w:szCs w:val="21"/>
              </w:rPr>
            </w:pPr>
            <w:r>
              <w:rPr>
                <w:color w:val="000000"/>
                <w:szCs w:val="21"/>
              </w:rPr>
              <w:t>按照环境监测技术规范及国家环保局颁布的监测标准、方法执行。</w:t>
            </w:r>
          </w:p>
        </w:tc>
        <w:tc>
          <w:tcPr>
            <w:tcW w:w="2027" w:type="dxa"/>
            <w:vAlign w:val="center"/>
          </w:tcPr>
          <w:p>
            <w:pPr>
              <w:topLinePunct/>
              <w:spacing w:line="320" w:lineRule="exact"/>
              <w:jc w:val="center"/>
              <w:rPr>
                <w:color w:val="000000"/>
                <w:szCs w:val="21"/>
              </w:rPr>
            </w:pPr>
            <w:r>
              <w:rPr>
                <w:color w:val="000000"/>
                <w:szCs w:val="21"/>
              </w:rPr>
              <w:t>有资质的环境监测部门</w:t>
            </w:r>
          </w:p>
        </w:tc>
      </w:tr>
    </w:tbl>
    <w:p>
      <w:pPr>
        <w:topLinePunct/>
        <w:spacing w:line="600" w:lineRule="exact"/>
        <w:rPr>
          <w:b/>
          <w:bCs/>
          <w:color w:val="000000"/>
          <w:sz w:val="24"/>
        </w:rPr>
      </w:pPr>
      <w:r>
        <w:rPr>
          <w:b/>
          <w:bCs/>
          <w:color w:val="000000"/>
          <w:sz w:val="24"/>
        </w:rPr>
        <w:t>6.1.3 环境管理制度</w:t>
      </w:r>
    </w:p>
    <w:p>
      <w:pPr>
        <w:topLinePunct/>
        <w:spacing w:line="500" w:lineRule="exact"/>
        <w:ind w:firstLine="480" w:firstLineChars="200"/>
        <w:rPr>
          <w:color w:val="000000"/>
          <w:sz w:val="24"/>
        </w:rPr>
      </w:pPr>
      <w:r>
        <w:rPr>
          <w:color w:val="000000"/>
          <w:sz w:val="24"/>
        </w:rPr>
        <w:t>建设单位应制定一系列规章制度以促进环境保护工作，使环境保护工作规范化和程序化。根据需要，建议制定的环境保护工作条例有：</w:t>
      </w:r>
    </w:p>
    <w:p>
      <w:pPr>
        <w:topLinePunct/>
        <w:spacing w:line="500" w:lineRule="exact"/>
        <w:ind w:firstLine="480" w:firstLineChars="200"/>
        <w:rPr>
          <w:color w:val="000000"/>
          <w:sz w:val="24"/>
        </w:rPr>
      </w:pPr>
      <w:r>
        <w:rPr>
          <w:color w:val="000000"/>
          <w:sz w:val="24"/>
        </w:rPr>
        <w:t>（1）环境保护职责管理制度</w:t>
      </w:r>
    </w:p>
    <w:p>
      <w:pPr>
        <w:topLinePunct/>
        <w:spacing w:line="500" w:lineRule="exact"/>
        <w:ind w:firstLine="480" w:firstLineChars="200"/>
        <w:rPr>
          <w:color w:val="000000"/>
          <w:sz w:val="24"/>
        </w:rPr>
      </w:pPr>
      <w:r>
        <w:rPr>
          <w:color w:val="000000"/>
          <w:sz w:val="24"/>
        </w:rPr>
        <w:t>（2）污水、废气、固体废物排放管理制度</w:t>
      </w:r>
    </w:p>
    <w:p>
      <w:pPr>
        <w:topLinePunct/>
        <w:spacing w:line="500" w:lineRule="exact"/>
        <w:ind w:firstLine="480" w:firstLineChars="200"/>
        <w:rPr>
          <w:color w:val="000000"/>
          <w:sz w:val="24"/>
        </w:rPr>
      </w:pPr>
      <w:r>
        <w:rPr>
          <w:color w:val="000000"/>
          <w:sz w:val="24"/>
        </w:rPr>
        <w:t>（3）处理装置日常运行管理制度</w:t>
      </w:r>
    </w:p>
    <w:p>
      <w:pPr>
        <w:topLinePunct/>
        <w:spacing w:line="500" w:lineRule="exact"/>
        <w:ind w:firstLine="480" w:firstLineChars="200"/>
        <w:rPr>
          <w:color w:val="000000"/>
          <w:sz w:val="24"/>
        </w:rPr>
      </w:pPr>
      <w:r>
        <w:rPr>
          <w:color w:val="000000"/>
          <w:sz w:val="24"/>
        </w:rPr>
        <w:t>（4）排污情况报告制度</w:t>
      </w:r>
    </w:p>
    <w:p>
      <w:pPr>
        <w:topLinePunct/>
        <w:spacing w:line="500" w:lineRule="exact"/>
        <w:ind w:firstLine="480" w:firstLineChars="200"/>
        <w:rPr>
          <w:color w:val="000000"/>
          <w:sz w:val="24"/>
        </w:rPr>
      </w:pPr>
      <w:r>
        <w:rPr>
          <w:color w:val="000000"/>
          <w:sz w:val="24"/>
        </w:rPr>
        <w:t>（5）污染事故处理制度</w:t>
      </w:r>
    </w:p>
    <w:p>
      <w:pPr>
        <w:topLinePunct/>
        <w:spacing w:line="500" w:lineRule="exact"/>
        <w:ind w:firstLine="480" w:firstLineChars="200"/>
        <w:rPr>
          <w:color w:val="000000"/>
          <w:sz w:val="24"/>
        </w:rPr>
      </w:pPr>
      <w:r>
        <w:rPr>
          <w:color w:val="000000"/>
          <w:sz w:val="24"/>
        </w:rPr>
        <w:t>（6）环保教育制度</w:t>
      </w:r>
    </w:p>
    <w:p>
      <w:pPr>
        <w:topLinePunct/>
        <w:spacing w:line="500" w:lineRule="exact"/>
        <w:ind w:firstLine="480" w:firstLineChars="200"/>
        <w:rPr>
          <w:color w:val="000000"/>
          <w:sz w:val="24"/>
        </w:rPr>
      </w:pPr>
      <w:r>
        <w:rPr>
          <w:color w:val="000000"/>
          <w:sz w:val="24"/>
        </w:rPr>
        <w:t>（7）施肥系统制度化、规范化</w:t>
      </w:r>
    </w:p>
    <w:p>
      <w:pPr>
        <w:topLinePunct/>
        <w:spacing w:line="500" w:lineRule="exact"/>
        <w:ind w:firstLine="480" w:firstLineChars="200"/>
        <w:rPr>
          <w:color w:val="000000"/>
          <w:sz w:val="24"/>
        </w:rPr>
      </w:pPr>
      <w:r>
        <w:rPr>
          <w:color w:val="000000"/>
          <w:sz w:val="24"/>
        </w:rPr>
        <w:t>（8）建立轮作制度、施肥进行企业化管理</w:t>
      </w:r>
    </w:p>
    <w:p>
      <w:pPr>
        <w:topLinePunct/>
        <w:spacing w:line="500" w:lineRule="exact"/>
        <w:ind w:firstLine="480" w:firstLineChars="200"/>
        <w:rPr>
          <w:color w:val="000000"/>
          <w:sz w:val="24"/>
        </w:rPr>
      </w:pPr>
      <w:r>
        <w:rPr>
          <w:color w:val="000000"/>
          <w:sz w:val="24"/>
        </w:rPr>
        <w:t>（9）场外（沼液输送及施肥）环保管理制度</w:t>
      </w:r>
    </w:p>
    <w:p>
      <w:pPr>
        <w:pStyle w:val="4"/>
        <w:spacing w:before="156" w:after="156"/>
        <w:rPr>
          <w:rFonts w:hAnsi="Times New Roman"/>
          <w:color w:val="000000"/>
        </w:rPr>
      </w:pPr>
      <w:bookmarkStart w:id="296" w:name="_Toc375206219"/>
      <w:bookmarkStart w:id="297" w:name="_Toc488572578"/>
      <w:bookmarkStart w:id="298" w:name="_Toc3019544"/>
      <w:r>
        <w:rPr>
          <w:rFonts w:hAnsi="Times New Roman"/>
          <w:color w:val="000000"/>
        </w:rPr>
        <w:t>6.2 环境监测</w:t>
      </w:r>
      <w:bookmarkEnd w:id="296"/>
      <w:r>
        <w:rPr>
          <w:rFonts w:hAnsi="Times New Roman"/>
          <w:color w:val="000000"/>
        </w:rPr>
        <w:t>制度建议</w:t>
      </w:r>
      <w:bookmarkEnd w:id="297"/>
      <w:bookmarkEnd w:id="298"/>
    </w:p>
    <w:p>
      <w:pPr>
        <w:topLinePunct/>
        <w:spacing w:line="600" w:lineRule="exact"/>
        <w:outlineLvl w:val="2"/>
        <w:rPr>
          <w:b/>
          <w:bCs/>
          <w:color w:val="000000"/>
          <w:sz w:val="24"/>
        </w:rPr>
      </w:pPr>
      <w:r>
        <w:rPr>
          <w:b/>
          <w:bCs/>
          <w:color w:val="000000"/>
          <w:sz w:val="24"/>
        </w:rPr>
        <w:t>6.2.1 环境监测目的</w:t>
      </w:r>
    </w:p>
    <w:p>
      <w:pPr>
        <w:topLinePunct/>
        <w:spacing w:line="500" w:lineRule="exact"/>
        <w:ind w:firstLine="480" w:firstLineChars="200"/>
        <w:rPr>
          <w:color w:val="000000"/>
          <w:sz w:val="24"/>
        </w:rPr>
      </w:pPr>
      <w:r>
        <w:rPr>
          <w:color w:val="000000"/>
          <w:sz w:val="24"/>
        </w:rPr>
        <w:t>环境监测是环境管理技术的支持。同时，环境监测还是企业搞好环境管理，促进污染治理设施正常运行的主要保障。通过定期的环境监测，了解当地的环境质量状况，可以及时发现问题、解决问题，从而有利于监督各项环保措施的落实，并根据监测结果适时调整环境保护计划。</w:t>
      </w:r>
    </w:p>
    <w:p>
      <w:pPr>
        <w:topLinePunct/>
        <w:spacing w:line="600" w:lineRule="exact"/>
        <w:outlineLvl w:val="2"/>
        <w:rPr>
          <w:b/>
          <w:bCs/>
          <w:color w:val="000000"/>
          <w:sz w:val="24"/>
        </w:rPr>
      </w:pPr>
      <w:r>
        <w:rPr>
          <w:b/>
          <w:bCs/>
          <w:color w:val="000000"/>
          <w:sz w:val="24"/>
        </w:rPr>
        <w:t>6.2.2 环境监测机构</w:t>
      </w:r>
    </w:p>
    <w:p>
      <w:pPr>
        <w:topLinePunct/>
        <w:spacing w:line="500" w:lineRule="exact"/>
        <w:ind w:firstLine="480" w:firstLineChars="200"/>
        <w:rPr>
          <w:color w:val="000000"/>
          <w:sz w:val="24"/>
        </w:rPr>
      </w:pPr>
      <w:r>
        <w:rPr>
          <w:color w:val="000000"/>
          <w:sz w:val="24"/>
        </w:rPr>
        <w:t>建议该项目营运期的环境监测工作委托有资质的环境监测站承担，日常的生产例行监测则由内部执行。评价建议养殖场配备1名专职环境监测人员，负责养殖场运行期环境监测工作，仪器设备配置污水计量装置、污水比例采样器、COD检测仪、生化培养箱等。</w:t>
      </w:r>
    </w:p>
    <w:p>
      <w:pPr>
        <w:topLinePunct/>
        <w:spacing w:line="600" w:lineRule="exact"/>
        <w:outlineLvl w:val="2"/>
        <w:rPr>
          <w:b/>
          <w:bCs/>
          <w:color w:val="000000"/>
          <w:sz w:val="24"/>
        </w:rPr>
      </w:pPr>
      <w:r>
        <w:rPr>
          <w:b/>
          <w:bCs/>
          <w:color w:val="000000"/>
          <w:sz w:val="24"/>
        </w:rPr>
        <w:t>6.2.3监测项目及监测计划</w:t>
      </w:r>
    </w:p>
    <w:p>
      <w:pPr>
        <w:topLinePunct/>
        <w:spacing w:line="500" w:lineRule="exact"/>
        <w:ind w:firstLine="480" w:firstLineChars="200"/>
        <w:rPr>
          <w:color w:val="000000"/>
          <w:sz w:val="24"/>
        </w:rPr>
      </w:pPr>
      <w:r>
        <w:rPr>
          <w:color w:val="000000"/>
          <w:sz w:val="24"/>
        </w:rPr>
        <w:t>主要包括废气、废水、噪声、固体废物等污染源监测及场区周围环境质量的定期监测。</w:t>
      </w:r>
    </w:p>
    <w:p>
      <w:pPr>
        <w:topLinePunct/>
        <w:spacing w:beforeLines="50" w:afterLines="50"/>
        <w:jc w:val="center"/>
        <w:rPr>
          <w:b/>
          <w:color w:val="000000"/>
          <w:szCs w:val="21"/>
        </w:rPr>
      </w:pPr>
      <w:r>
        <w:rPr>
          <w:b/>
          <w:bCs/>
          <w:color w:val="000000"/>
          <w:szCs w:val="21"/>
        </w:rPr>
        <w:t>表6-2    环境监测计划一览表</w:t>
      </w:r>
    </w:p>
    <w:tbl>
      <w:tblPr>
        <w:tblStyle w:val="44"/>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4"/>
        <w:gridCol w:w="3151"/>
        <w:gridCol w:w="2975"/>
        <w:gridCol w:w="21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644" w:type="dxa"/>
            <w:vAlign w:val="center"/>
          </w:tcPr>
          <w:p>
            <w:pPr>
              <w:topLinePunct/>
              <w:adjustRightInd w:val="0"/>
              <w:snapToGrid w:val="0"/>
              <w:spacing w:line="320" w:lineRule="exact"/>
              <w:jc w:val="center"/>
              <w:rPr>
                <w:bCs/>
                <w:color w:val="000000"/>
                <w:szCs w:val="21"/>
              </w:rPr>
            </w:pPr>
            <w:r>
              <w:rPr>
                <w:bCs/>
                <w:color w:val="000000"/>
                <w:szCs w:val="21"/>
              </w:rPr>
              <w:t>项目</w:t>
            </w:r>
          </w:p>
        </w:tc>
        <w:tc>
          <w:tcPr>
            <w:tcW w:w="3151" w:type="dxa"/>
            <w:vAlign w:val="center"/>
          </w:tcPr>
          <w:p>
            <w:pPr>
              <w:topLinePunct/>
              <w:adjustRightInd w:val="0"/>
              <w:snapToGrid w:val="0"/>
              <w:spacing w:line="320" w:lineRule="exact"/>
              <w:jc w:val="center"/>
              <w:rPr>
                <w:bCs/>
                <w:color w:val="000000"/>
                <w:szCs w:val="21"/>
              </w:rPr>
            </w:pPr>
            <w:r>
              <w:rPr>
                <w:bCs/>
                <w:color w:val="000000"/>
                <w:szCs w:val="21"/>
              </w:rPr>
              <w:t>监测点位</w:t>
            </w:r>
          </w:p>
        </w:tc>
        <w:tc>
          <w:tcPr>
            <w:tcW w:w="2975" w:type="dxa"/>
            <w:vAlign w:val="center"/>
          </w:tcPr>
          <w:p>
            <w:pPr>
              <w:topLinePunct/>
              <w:adjustRightInd w:val="0"/>
              <w:snapToGrid w:val="0"/>
              <w:spacing w:line="320" w:lineRule="exact"/>
              <w:jc w:val="center"/>
              <w:rPr>
                <w:bCs/>
                <w:color w:val="000000"/>
                <w:szCs w:val="21"/>
              </w:rPr>
            </w:pPr>
            <w:r>
              <w:rPr>
                <w:bCs/>
                <w:color w:val="000000"/>
                <w:szCs w:val="21"/>
              </w:rPr>
              <w:t>监测内容</w:t>
            </w:r>
          </w:p>
        </w:tc>
        <w:tc>
          <w:tcPr>
            <w:tcW w:w="2176" w:type="dxa"/>
            <w:vAlign w:val="center"/>
          </w:tcPr>
          <w:p>
            <w:pPr>
              <w:topLinePunct/>
              <w:adjustRightInd w:val="0"/>
              <w:snapToGrid w:val="0"/>
              <w:spacing w:line="320" w:lineRule="exact"/>
              <w:jc w:val="center"/>
              <w:rPr>
                <w:bCs/>
                <w:color w:val="000000"/>
                <w:szCs w:val="21"/>
              </w:rPr>
            </w:pPr>
            <w:r>
              <w:rPr>
                <w:bCs/>
                <w:color w:val="000000"/>
                <w:szCs w:val="21"/>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44" w:type="dxa"/>
            <w:vAlign w:val="center"/>
          </w:tcPr>
          <w:p>
            <w:pPr>
              <w:topLinePunct/>
              <w:adjustRightInd w:val="0"/>
              <w:snapToGrid w:val="0"/>
              <w:spacing w:line="320" w:lineRule="exact"/>
              <w:jc w:val="center"/>
              <w:rPr>
                <w:bCs/>
                <w:color w:val="000000"/>
                <w:szCs w:val="21"/>
              </w:rPr>
            </w:pPr>
            <w:r>
              <w:rPr>
                <w:bCs/>
                <w:color w:val="000000"/>
                <w:szCs w:val="21"/>
              </w:rPr>
              <w:t>废气</w:t>
            </w:r>
          </w:p>
        </w:tc>
        <w:tc>
          <w:tcPr>
            <w:tcW w:w="3151" w:type="dxa"/>
            <w:vAlign w:val="center"/>
          </w:tcPr>
          <w:p>
            <w:pPr>
              <w:topLinePunct/>
              <w:adjustRightInd w:val="0"/>
              <w:snapToGrid w:val="0"/>
              <w:spacing w:line="320" w:lineRule="exact"/>
              <w:jc w:val="center"/>
              <w:rPr>
                <w:bCs/>
                <w:color w:val="000000"/>
                <w:szCs w:val="21"/>
              </w:rPr>
            </w:pPr>
            <w:r>
              <w:rPr>
                <w:bCs/>
                <w:color w:val="000000"/>
                <w:szCs w:val="21"/>
              </w:rPr>
              <w:t>四周场界</w:t>
            </w:r>
          </w:p>
        </w:tc>
        <w:tc>
          <w:tcPr>
            <w:tcW w:w="2975" w:type="dxa"/>
            <w:vAlign w:val="center"/>
          </w:tcPr>
          <w:p>
            <w:pPr>
              <w:topLinePunct/>
              <w:adjustRightInd w:val="0"/>
              <w:snapToGrid w:val="0"/>
              <w:spacing w:line="320" w:lineRule="exact"/>
              <w:jc w:val="center"/>
              <w:rPr>
                <w:bCs/>
                <w:color w:val="000000"/>
                <w:szCs w:val="21"/>
              </w:rPr>
            </w:pPr>
            <w:r>
              <w:rPr>
                <w:bCs/>
                <w:color w:val="000000"/>
                <w:szCs w:val="21"/>
              </w:rPr>
              <w:t>H</w:t>
            </w:r>
            <w:r>
              <w:rPr>
                <w:bCs/>
                <w:color w:val="000000"/>
                <w:szCs w:val="21"/>
                <w:vertAlign w:val="subscript"/>
              </w:rPr>
              <w:t>2</w:t>
            </w:r>
            <w:r>
              <w:rPr>
                <w:bCs/>
                <w:color w:val="000000"/>
                <w:szCs w:val="21"/>
              </w:rPr>
              <w:t>S、NH</w:t>
            </w:r>
            <w:r>
              <w:rPr>
                <w:bCs/>
                <w:color w:val="000000"/>
                <w:szCs w:val="21"/>
                <w:vertAlign w:val="subscript"/>
              </w:rPr>
              <w:t>3</w:t>
            </w:r>
          </w:p>
        </w:tc>
        <w:tc>
          <w:tcPr>
            <w:tcW w:w="2176" w:type="dxa"/>
            <w:vAlign w:val="center"/>
          </w:tcPr>
          <w:p>
            <w:pPr>
              <w:topLinePunct/>
              <w:adjustRightInd w:val="0"/>
              <w:snapToGrid w:val="0"/>
              <w:spacing w:line="320" w:lineRule="exact"/>
              <w:jc w:val="center"/>
              <w:rPr>
                <w:bCs/>
                <w:color w:val="000000"/>
                <w:szCs w:val="21"/>
              </w:rPr>
            </w:pPr>
            <w:r>
              <w:rPr>
                <w:bCs/>
                <w:color w:val="000000"/>
                <w:szCs w:val="21"/>
              </w:rPr>
              <w:t>建议每年监测一次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44" w:type="dxa"/>
            <w:vAlign w:val="center"/>
          </w:tcPr>
          <w:p>
            <w:pPr>
              <w:topLinePunct/>
              <w:adjustRightInd w:val="0"/>
              <w:snapToGrid w:val="0"/>
              <w:spacing w:line="320" w:lineRule="exact"/>
              <w:jc w:val="center"/>
              <w:rPr>
                <w:bCs/>
                <w:color w:val="000000"/>
                <w:szCs w:val="21"/>
              </w:rPr>
            </w:pPr>
            <w:r>
              <w:rPr>
                <w:bCs/>
                <w:color w:val="000000"/>
                <w:szCs w:val="21"/>
              </w:rPr>
              <w:t>地下水</w:t>
            </w:r>
          </w:p>
        </w:tc>
        <w:tc>
          <w:tcPr>
            <w:tcW w:w="3151" w:type="dxa"/>
            <w:vAlign w:val="center"/>
          </w:tcPr>
          <w:p>
            <w:pPr>
              <w:topLinePunct/>
              <w:adjustRightInd w:val="0"/>
              <w:snapToGrid w:val="0"/>
              <w:spacing w:line="320" w:lineRule="exact"/>
              <w:jc w:val="center"/>
              <w:rPr>
                <w:bCs/>
                <w:color w:val="000000"/>
                <w:szCs w:val="21"/>
              </w:rPr>
            </w:pPr>
            <w:r>
              <w:rPr>
                <w:bCs/>
                <w:color w:val="000000"/>
                <w:szCs w:val="21"/>
              </w:rPr>
              <w:t>在配套农田西侧和东侧方位各设置1口地下水观测井，场区沼液池东侧侧设置1口地下水观测</w:t>
            </w:r>
          </w:p>
        </w:tc>
        <w:tc>
          <w:tcPr>
            <w:tcW w:w="2975" w:type="dxa"/>
            <w:vAlign w:val="center"/>
          </w:tcPr>
          <w:p>
            <w:pPr>
              <w:topLinePunct/>
              <w:adjustRightInd w:val="0"/>
              <w:snapToGrid w:val="0"/>
              <w:spacing w:line="320" w:lineRule="exact"/>
              <w:jc w:val="center"/>
              <w:rPr>
                <w:bCs/>
                <w:color w:val="000000"/>
                <w:szCs w:val="21"/>
              </w:rPr>
            </w:pPr>
            <w:r>
              <w:rPr>
                <w:bCs/>
                <w:color w:val="000000"/>
                <w:szCs w:val="21"/>
              </w:rPr>
              <w:t>pH、高锰酸盐指数、氨氮、总硬度、硝酸盐、亚硝酸盐、总大肠菌群及镉、砷、铅、汞、铜、锌等重金属</w:t>
            </w:r>
          </w:p>
        </w:tc>
        <w:tc>
          <w:tcPr>
            <w:tcW w:w="2176" w:type="dxa"/>
            <w:vAlign w:val="center"/>
          </w:tcPr>
          <w:p>
            <w:pPr>
              <w:topLinePunct/>
              <w:adjustRightInd w:val="0"/>
              <w:snapToGrid w:val="0"/>
              <w:spacing w:line="320" w:lineRule="exact"/>
              <w:jc w:val="center"/>
              <w:rPr>
                <w:bCs/>
                <w:color w:val="000000"/>
                <w:szCs w:val="21"/>
              </w:rPr>
            </w:pPr>
            <w:r>
              <w:rPr>
                <w:bCs/>
                <w:color w:val="000000"/>
                <w:szCs w:val="21"/>
              </w:rPr>
              <w:t>建议每半年监测一次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644" w:type="dxa"/>
            <w:vAlign w:val="center"/>
          </w:tcPr>
          <w:p>
            <w:pPr>
              <w:topLinePunct/>
              <w:adjustRightInd w:val="0"/>
              <w:snapToGrid w:val="0"/>
              <w:spacing w:line="320" w:lineRule="exact"/>
              <w:jc w:val="center"/>
              <w:rPr>
                <w:bCs/>
                <w:color w:val="000000"/>
                <w:szCs w:val="21"/>
              </w:rPr>
            </w:pPr>
            <w:r>
              <w:rPr>
                <w:bCs/>
                <w:color w:val="000000"/>
                <w:szCs w:val="21"/>
              </w:rPr>
              <w:t>噪声</w:t>
            </w:r>
          </w:p>
        </w:tc>
        <w:tc>
          <w:tcPr>
            <w:tcW w:w="3151" w:type="dxa"/>
            <w:vAlign w:val="center"/>
          </w:tcPr>
          <w:p>
            <w:pPr>
              <w:topLinePunct/>
              <w:adjustRightInd w:val="0"/>
              <w:snapToGrid w:val="0"/>
              <w:spacing w:line="320" w:lineRule="exact"/>
              <w:jc w:val="center"/>
              <w:rPr>
                <w:bCs/>
                <w:color w:val="000000"/>
                <w:szCs w:val="21"/>
              </w:rPr>
            </w:pPr>
            <w:r>
              <w:rPr>
                <w:bCs/>
                <w:color w:val="000000"/>
                <w:szCs w:val="21"/>
              </w:rPr>
              <w:t>四周场界外1m</w:t>
            </w:r>
          </w:p>
        </w:tc>
        <w:tc>
          <w:tcPr>
            <w:tcW w:w="2975" w:type="dxa"/>
            <w:vAlign w:val="center"/>
          </w:tcPr>
          <w:p>
            <w:pPr>
              <w:topLinePunct/>
              <w:adjustRightInd w:val="0"/>
              <w:snapToGrid w:val="0"/>
              <w:spacing w:line="320" w:lineRule="exact"/>
              <w:jc w:val="center"/>
              <w:rPr>
                <w:bCs/>
                <w:color w:val="000000"/>
                <w:szCs w:val="21"/>
              </w:rPr>
            </w:pPr>
            <w:r>
              <w:rPr>
                <w:bCs/>
                <w:color w:val="000000"/>
                <w:szCs w:val="21"/>
              </w:rPr>
              <w:t>噪声值</w:t>
            </w:r>
          </w:p>
        </w:tc>
        <w:tc>
          <w:tcPr>
            <w:tcW w:w="2176" w:type="dxa"/>
            <w:vAlign w:val="center"/>
          </w:tcPr>
          <w:p>
            <w:pPr>
              <w:topLinePunct/>
              <w:adjustRightInd w:val="0"/>
              <w:snapToGrid w:val="0"/>
              <w:spacing w:line="320" w:lineRule="exact"/>
              <w:jc w:val="center"/>
              <w:rPr>
                <w:bCs/>
                <w:color w:val="000000"/>
                <w:szCs w:val="21"/>
              </w:rPr>
            </w:pPr>
            <w:r>
              <w:rPr>
                <w:bCs/>
                <w:color w:val="000000"/>
                <w:szCs w:val="21"/>
              </w:rPr>
              <w:t>建议每半年监测一次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644" w:type="dxa"/>
            <w:vAlign w:val="center"/>
          </w:tcPr>
          <w:p>
            <w:pPr>
              <w:topLinePunct/>
              <w:adjustRightInd w:val="0"/>
              <w:snapToGrid w:val="0"/>
              <w:spacing w:line="320" w:lineRule="exact"/>
              <w:jc w:val="center"/>
              <w:rPr>
                <w:bCs/>
                <w:color w:val="000000"/>
                <w:szCs w:val="21"/>
              </w:rPr>
            </w:pPr>
            <w:r>
              <w:rPr>
                <w:bCs/>
                <w:color w:val="000000"/>
                <w:szCs w:val="21"/>
              </w:rPr>
              <w:t>土壤</w:t>
            </w:r>
          </w:p>
        </w:tc>
        <w:tc>
          <w:tcPr>
            <w:tcW w:w="3151" w:type="dxa"/>
            <w:vAlign w:val="center"/>
          </w:tcPr>
          <w:p>
            <w:pPr>
              <w:topLinePunct/>
              <w:adjustRightInd w:val="0"/>
              <w:snapToGrid w:val="0"/>
              <w:spacing w:line="320" w:lineRule="exact"/>
              <w:jc w:val="center"/>
              <w:rPr>
                <w:bCs/>
                <w:color w:val="000000"/>
                <w:szCs w:val="21"/>
              </w:rPr>
            </w:pPr>
            <w:r>
              <w:rPr>
                <w:bCs/>
                <w:color w:val="000000"/>
                <w:szCs w:val="21"/>
              </w:rPr>
              <w:t>配套农田</w:t>
            </w:r>
          </w:p>
        </w:tc>
        <w:tc>
          <w:tcPr>
            <w:tcW w:w="2975" w:type="dxa"/>
            <w:vAlign w:val="center"/>
          </w:tcPr>
          <w:p>
            <w:pPr>
              <w:topLinePunct/>
              <w:adjustRightInd w:val="0"/>
              <w:snapToGrid w:val="0"/>
              <w:spacing w:line="320" w:lineRule="exact"/>
              <w:jc w:val="center"/>
              <w:rPr>
                <w:bCs/>
                <w:color w:val="000000"/>
                <w:szCs w:val="21"/>
              </w:rPr>
            </w:pPr>
            <w:r>
              <w:rPr>
                <w:bCs/>
                <w:color w:val="000000"/>
                <w:szCs w:val="21"/>
              </w:rPr>
              <w:t>pH、铜、砷、锌等重金属及氮、磷、钾等土壤养分的跟踪监测</w:t>
            </w:r>
          </w:p>
        </w:tc>
        <w:tc>
          <w:tcPr>
            <w:tcW w:w="2176" w:type="dxa"/>
            <w:vAlign w:val="center"/>
          </w:tcPr>
          <w:p>
            <w:pPr>
              <w:topLinePunct/>
              <w:adjustRightInd w:val="0"/>
              <w:snapToGrid w:val="0"/>
              <w:spacing w:line="320" w:lineRule="exact"/>
              <w:jc w:val="center"/>
              <w:rPr>
                <w:bCs/>
                <w:color w:val="000000"/>
                <w:szCs w:val="21"/>
              </w:rPr>
            </w:pPr>
            <w:r>
              <w:rPr>
                <w:bCs/>
                <w:color w:val="000000"/>
                <w:szCs w:val="21"/>
              </w:rPr>
              <w:t>建议每</w:t>
            </w:r>
            <w:r>
              <w:rPr>
                <w:rFonts w:hint="eastAsia"/>
                <w:bCs/>
                <w:color w:val="000000"/>
                <w:szCs w:val="21"/>
              </w:rPr>
              <w:t>5</w:t>
            </w:r>
            <w:r>
              <w:rPr>
                <w:bCs/>
                <w:color w:val="000000"/>
                <w:szCs w:val="21"/>
              </w:rPr>
              <w:t>年监测一次</w:t>
            </w:r>
          </w:p>
        </w:tc>
      </w:tr>
    </w:tbl>
    <w:p>
      <w:pPr>
        <w:widowControl/>
        <w:topLinePunct/>
        <w:snapToGrid w:val="0"/>
        <w:spacing w:line="500" w:lineRule="exact"/>
        <w:ind w:firstLine="480" w:firstLineChars="200"/>
        <w:rPr>
          <w:color w:val="000000"/>
          <w:sz w:val="24"/>
        </w:rPr>
      </w:pPr>
      <w:r>
        <w:rPr>
          <w:color w:val="000000"/>
          <w:sz w:val="24"/>
        </w:rPr>
        <w:t>上述监测任务也可委托当地有资质的单位进行监测。监测结果和污染防治措施运行情况等应以报表形式上报平舆县环保局备案。另外，建议建设单位对沼液消纳地范围内的地下水、土壤根跟踪监测的结果进行统计分析，了解其变化范围及规律，进一步探索沼液施用的合理方案，以达到沼液长期持续施用、并能够改善土壤环境质量的目的。</w:t>
      </w:r>
    </w:p>
    <w:p>
      <w:pPr>
        <w:keepNext/>
        <w:keepLines/>
        <w:spacing w:before="120" w:after="120" w:line="520" w:lineRule="exact"/>
        <w:outlineLvl w:val="1"/>
        <w:rPr>
          <w:rFonts w:eastAsia="黑体"/>
          <w:kern w:val="0"/>
          <w:sz w:val="28"/>
          <w:szCs w:val="28"/>
        </w:rPr>
      </w:pPr>
      <w:bookmarkStart w:id="299" w:name="_Toc485996403"/>
      <w:bookmarkStart w:id="300" w:name="_Toc3019545"/>
      <w:r>
        <w:rPr>
          <w:rFonts w:eastAsia="黑体"/>
          <w:kern w:val="0"/>
          <w:sz w:val="28"/>
          <w:szCs w:val="28"/>
        </w:rPr>
        <w:t>6.3 环保“三同时”验收一览表</w:t>
      </w:r>
      <w:bookmarkEnd w:id="299"/>
      <w:bookmarkEnd w:id="300"/>
    </w:p>
    <w:p>
      <w:pPr>
        <w:widowControl/>
        <w:topLinePunct/>
        <w:snapToGrid w:val="0"/>
        <w:spacing w:line="500" w:lineRule="exact"/>
        <w:ind w:firstLine="480" w:firstLineChars="200"/>
        <w:sectPr>
          <w:pgSz w:w="11906" w:h="16838"/>
          <w:pgMar w:top="1701" w:right="1588" w:bottom="1985" w:left="1588" w:header="851" w:footer="992" w:gutter="0"/>
          <w:cols w:space="720" w:num="1"/>
          <w:docGrid w:type="lines" w:linePitch="312" w:charSpace="0"/>
        </w:sectPr>
      </w:pPr>
      <w:r>
        <w:rPr>
          <w:sz w:val="24"/>
        </w:rPr>
        <w:t>本项目“三同时”竣工验收一览表见表6-3</w:t>
      </w:r>
      <w:r>
        <w:t>：</w:t>
      </w:r>
    </w:p>
    <w:p>
      <w:pPr>
        <w:widowControl/>
        <w:topLinePunct/>
        <w:snapToGrid w:val="0"/>
        <w:spacing w:line="500" w:lineRule="exact"/>
        <w:ind w:firstLine="480" w:firstLineChars="200"/>
        <w:rPr>
          <w:color w:val="000000"/>
          <w:sz w:val="24"/>
        </w:rPr>
      </w:pPr>
    </w:p>
    <w:tbl>
      <w:tblPr>
        <w:tblStyle w:val="44"/>
        <w:tblW w:w="1336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9"/>
        <w:gridCol w:w="411"/>
        <w:gridCol w:w="488"/>
        <w:gridCol w:w="1038"/>
        <w:gridCol w:w="88"/>
        <w:gridCol w:w="1298"/>
        <w:gridCol w:w="2070"/>
        <w:gridCol w:w="1466"/>
        <w:gridCol w:w="440"/>
        <w:gridCol w:w="2305"/>
        <w:gridCol w:w="352"/>
        <w:gridCol w:w="1058"/>
        <w:gridCol w:w="187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restart"/>
            <w:vAlign w:val="center"/>
          </w:tcPr>
          <w:p>
            <w:pPr>
              <w:widowControl/>
              <w:topLinePunct/>
              <w:adjustRightInd w:val="0"/>
              <w:jc w:val="center"/>
              <w:rPr>
                <w:bCs/>
                <w:color w:val="000000"/>
                <w:szCs w:val="21"/>
              </w:rPr>
            </w:pPr>
            <w:r>
              <w:rPr>
                <w:bCs/>
                <w:color w:val="000000"/>
                <w:szCs w:val="21"/>
              </w:rPr>
              <w:t>项目</w:t>
            </w:r>
          </w:p>
        </w:tc>
        <w:tc>
          <w:tcPr>
            <w:tcW w:w="899" w:type="dxa"/>
            <w:gridSpan w:val="2"/>
            <w:vMerge w:val="restart"/>
            <w:vAlign w:val="center"/>
          </w:tcPr>
          <w:p>
            <w:pPr>
              <w:widowControl/>
              <w:topLinePunct/>
              <w:adjustRightInd w:val="0"/>
              <w:jc w:val="center"/>
              <w:rPr>
                <w:bCs/>
                <w:color w:val="000000"/>
                <w:szCs w:val="21"/>
              </w:rPr>
            </w:pPr>
            <w:r>
              <w:rPr>
                <w:bCs/>
                <w:color w:val="000000"/>
                <w:szCs w:val="21"/>
              </w:rPr>
              <w:t>产污环节</w:t>
            </w:r>
          </w:p>
        </w:tc>
        <w:tc>
          <w:tcPr>
            <w:tcW w:w="2424" w:type="dxa"/>
            <w:gridSpan w:val="3"/>
            <w:vAlign w:val="center"/>
          </w:tcPr>
          <w:p>
            <w:pPr>
              <w:widowControl/>
              <w:topLinePunct/>
              <w:adjustRightInd w:val="0"/>
              <w:jc w:val="center"/>
              <w:rPr>
                <w:bCs/>
                <w:color w:val="000000"/>
                <w:szCs w:val="21"/>
              </w:rPr>
            </w:pPr>
            <w:r>
              <w:rPr>
                <w:bCs/>
                <w:color w:val="000000"/>
                <w:szCs w:val="21"/>
              </w:rPr>
              <w:t>源强</w:t>
            </w:r>
          </w:p>
        </w:tc>
        <w:tc>
          <w:tcPr>
            <w:tcW w:w="2070" w:type="dxa"/>
            <w:vMerge w:val="restart"/>
            <w:vAlign w:val="center"/>
          </w:tcPr>
          <w:p>
            <w:pPr>
              <w:widowControl/>
              <w:topLinePunct/>
              <w:adjustRightInd w:val="0"/>
              <w:jc w:val="center"/>
              <w:rPr>
                <w:bCs/>
                <w:color w:val="000000"/>
                <w:szCs w:val="21"/>
              </w:rPr>
            </w:pPr>
            <w:r>
              <w:rPr>
                <w:bCs/>
                <w:color w:val="000000"/>
                <w:szCs w:val="21"/>
              </w:rPr>
              <w:pict>
                <v:shape id="_x0000_s3737" o:spid="_x0000_s3737" o:spt="202" type="#_x0000_t202" style="position:absolute;left:0pt;margin-left:99.35pt;margin-top:-26.2pt;height:26.2pt;width:278.15pt;z-index:251693056;mso-width-relative:page;mso-height-relative:page;" filled="f" stroked="f" coordsize="21600,21600">
                  <v:path/>
                  <v:fill on="f" focussize="0,0"/>
                  <v:stroke on="f" joinstyle="miter"/>
                  <v:imagedata o:title=""/>
                  <o:lock v:ext="edit"/>
                  <v:textbox>
                    <w:txbxContent>
                      <w:p>
                        <w:pPr>
                          <w:rPr>
                            <w:b/>
                            <w:szCs w:val="21"/>
                          </w:rPr>
                        </w:pPr>
                        <w:r>
                          <w:rPr>
                            <w:rFonts w:hint="eastAsia"/>
                            <w:b/>
                            <w:szCs w:val="21"/>
                          </w:rPr>
                          <w:t xml:space="preserve">表6-3  </w:t>
                        </w:r>
                        <w:r>
                          <w:rPr>
                            <w:b/>
                            <w:szCs w:val="21"/>
                          </w:rPr>
                          <w:t>环保设施竣工验收</w:t>
                        </w:r>
                        <w:r>
                          <w:rPr>
                            <w:rFonts w:hint="eastAsia"/>
                            <w:b/>
                            <w:szCs w:val="21"/>
                          </w:rPr>
                          <w:t>一览表</w:t>
                        </w:r>
                      </w:p>
                    </w:txbxContent>
                  </v:textbox>
                </v:shape>
              </w:pict>
            </w:r>
            <w:r>
              <w:rPr>
                <w:bCs/>
                <w:color w:val="000000"/>
                <w:szCs w:val="21"/>
              </w:rPr>
              <w:t>防治措施</w:t>
            </w:r>
          </w:p>
        </w:tc>
        <w:tc>
          <w:tcPr>
            <w:tcW w:w="1466" w:type="dxa"/>
            <w:vMerge w:val="restart"/>
            <w:vAlign w:val="center"/>
          </w:tcPr>
          <w:p>
            <w:pPr>
              <w:widowControl/>
              <w:topLinePunct/>
              <w:adjustRightInd w:val="0"/>
              <w:jc w:val="center"/>
              <w:rPr>
                <w:bCs/>
                <w:color w:val="000000"/>
                <w:szCs w:val="21"/>
              </w:rPr>
            </w:pPr>
            <w:r>
              <w:rPr>
                <w:bCs/>
                <w:color w:val="000000"/>
                <w:szCs w:val="21"/>
              </w:rPr>
              <w:t>排放量/浓度</w:t>
            </w:r>
          </w:p>
        </w:tc>
        <w:tc>
          <w:tcPr>
            <w:tcW w:w="4155" w:type="dxa"/>
            <w:gridSpan w:val="4"/>
            <w:vMerge w:val="restart"/>
            <w:vAlign w:val="center"/>
          </w:tcPr>
          <w:p>
            <w:pPr>
              <w:widowControl/>
              <w:topLinePunct/>
              <w:adjustRightInd w:val="0"/>
              <w:jc w:val="center"/>
              <w:rPr>
                <w:bCs/>
                <w:color w:val="000000"/>
                <w:szCs w:val="21"/>
              </w:rPr>
            </w:pPr>
            <w:r>
              <w:rPr>
                <w:bCs/>
                <w:color w:val="000000"/>
                <w:szCs w:val="21"/>
              </w:rPr>
              <w:t>验收内容</w:t>
            </w:r>
          </w:p>
        </w:tc>
        <w:tc>
          <w:tcPr>
            <w:tcW w:w="1875" w:type="dxa"/>
            <w:vMerge w:val="restart"/>
            <w:vAlign w:val="center"/>
          </w:tcPr>
          <w:p>
            <w:pPr>
              <w:widowControl/>
              <w:topLinePunct/>
              <w:adjustRightInd w:val="0"/>
              <w:jc w:val="center"/>
              <w:rPr>
                <w:bCs/>
                <w:color w:val="000000"/>
                <w:szCs w:val="21"/>
              </w:rPr>
            </w:pPr>
            <w:r>
              <w:rPr>
                <w:bCs/>
                <w:color w:val="000000"/>
                <w:szCs w:val="21"/>
              </w:rPr>
              <w:t>满足标准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continue"/>
            <w:vAlign w:val="center"/>
          </w:tcPr>
          <w:p>
            <w:pPr>
              <w:widowControl/>
              <w:topLinePunct/>
              <w:adjustRightInd w:val="0"/>
              <w:jc w:val="center"/>
              <w:rPr>
                <w:bCs/>
                <w:color w:val="000000"/>
                <w:szCs w:val="21"/>
              </w:rPr>
            </w:pPr>
          </w:p>
        </w:tc>
        <w:tc>
          <w:tcPr>
            <w:tcW w:w="899" w:type="dxa"/>
            <w:gridSpan w:val="2"/>
            <w:vMerge w:val="continue"/>
            <w:vAlign w:val="center"/>
          </w:tcPr>
          <w:p>
            <w:pPr>
              <w:widowControl/>
              <w:topLinePunct/>
              <w:adjustRightInd w:val="0"/>
              <w:jc w:val="center"/>
              <w:rPr>
                <w:bCs/>
                <w:color w:val="000000"/>
                <w:szCs w:val="21"/>
              </w:rPr>
            </w:pPr>
          </w:p>
        </w:tc>
        <w:tc>
          <w:tcPr>
            <w:tcW w:w="1038" w:type="dxa"/>
            <w:vAlign w:val="center"/>
          </w:tcPr>
          <w:p>
            <w:pPr>
              <w:widowControl/>
              <w:topLinePunct/>
              <w:adjustRightInd w:val="0"/>
              <w:jc w:val="center"/>
              <w:rPr>
                <w:bCs/>
                <w:color w:val="000000"/>
                <w:szCs w:val="21"/>
              </w:rPr>
            </w:pPr>
            <w:r>
              <w:rPr>
                <w:bCs/>
                <w:color w:val="000000"/>
                <w:szCs w:val="21"/>
              </w:rPr>
              <w:t>产生量</w:t>
            </w:r>
          </w:p>
        </w:tc>
        <w:tc>
          <w:tcPr>
            <w:tcW w:w="1386" w:type="dxa"/>
            <w:gridSpan w:val="2"/>
            <w:vAlign w:val="center"/>
          </w:tcPr>
          <w:p>
            <w:pPr>
              <w:widowControl/>
              <w:topLinePunct/>
              <w:adjustRightInd w:val="0"/>
              <w:jc w:val="center"/>
              <w:rPr>
                <w:bCs/>
                <w:color w:val="000000"/>
                <w:szCs w:val="21"/>
              </w:rPr>
            </w:pPr>
            <w:r>
              <w:rPr>
                <w:bCs/>
                <w:color w:val="000000"/>
                <w:szCs w:val="21"/>
              </w:rPr>
              <w:t>产生浓度</w:t>
            </w:r>
          </w:p>
        </w:tc>
        <w:tc>
          <w:tcPr>
            <w:tcW w:w="2070" w:type="dxa"/>
            <w:vMerge w:val="continue"/>
            <w:vAlign w:val="center"/>
          </w:tcPr>
          <w:p>
            <w:pPr>
              <w:widowControl/>
              <w:topLinePunct/>
              <w:adjustRightInd w:val="0"/>
              <w:jc w:val="center"/>
              <w:rPr>
                <w:bCs/>
                <w:color w:val="000000"/>
                <w:szCs w:val="21"/>
              </w:rPr>
            </w:pPr>
          </w:p>
        </w:tc>
        <w:tc>
          <w:tcPr>
            <w:tcW w:w="1466" w:type="dxa"/>
            <w:vMerge w:val="continue"/>
            <w:vAlign w:val="center"/>
          </w:tcPr>
          <w:p>
            <w:pPr>
              <w:widowControl/>
              <w:topLinePunct/>
              <w:adjustRightInd w:val="0"/>
              <w:jc w:val="center"/>
              <w:rPr>
                <w:bCs/>
                <w:color w:val="000000"/>
                <w:szCs w:val="21"/>
              </w:rPr>
            </w:pPr>
          </w:p>
        </w:tc>
        <w:tc>
          <w:tcPr>
            <w:tcW w:w="4155" w:type="dxa"/>
            <w:gridSpan w:val="4"/>
            <w:vMerge w:val="continue"/>
            <w:vAlign w:val="center"/>
          </w:tcPr>
          <w:p>
            <w:pPr>
              <w:widowControl/>
              <w:topLinePunct/>
              <w:adjustRightInd w:val="0"/>
              <w:jc w:val="center"/>
              <w:rPr>
                <w:bCs/>
                <w:color w:val="000000"/>
                <w:szCs w:val="21"/>
              </w:rPr>
            </w:pPr>
          </w:p>
        </w:tc>
        <w:tc>
          <w:tcPr>
            <w:tcW w:w="1875" w:type="dxa"/>
            <w:vMerge w:val="continue"/>
            <w:vAlign w:val="center"/>
          </w:tcPr>
          <w:p>
            <w:pPr>
              <w:widowControl/>
              <w:topLinePunct/>
              <w:adjustRightInd w:val="0"/>
              <w:jc w:val="center"/>
              <w:rPr>
                <w:bCs/>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restart"/>
            <w:vAlign w:val="center"/>
          </w:tcPr>
          <w:p>
            <w:pPr>
              <w:widowControl/>
              <w:topLinePunct/>
              <w:adjustRightInd w:val="0"/>
              <w:jc w:val="center"/>
              <w:rPr>
                <w:bCs/>
                <w:color w:val="000000"/>
                <w:szCs w:val="21"/>
              </w:rPr>
            </w:pPr>
            <w:r>
              <w:rPr>
                <w:bCs/>
                <w:color w:val="000000"/>
                <w:szCs w:val="21"/>
              </w:rPr>
              <w:t>废水</w:t>
            </w:r>
          </w:p>
        </w:tc>
        <w:tc>
          <w:tcPr>
            <w:tcW w:w="899" w:type="dxa"/>
            <w:gridSpan w:val="2"/>
            <w:vMerge w:val="restart"/>
            <w:vAlign w:val="center"/>
          </w:tcPr>
          <w:p>
            <w:pPr>
              <w:widowControl/>
              <w:topLinePunct/>
              <w:adjustRightInd w:val="0"/>
              <w:jc w:val="center"/>
              <w:rPr>
                <w:bCs/>
                <w:color w:val="000000"/>
                <w:szCs w:val="21"/>
              </w:rPr>
            </w:pPr>
            <w:r>
              <w:rPr>
                <w:bCs/>
                <w:color w:val="000000"/>
                <w:szCs w:val="21"/>
              </w:rPr>
              <w:t>养殖废水、</w:t>
            </w:r>
          </w:p>
          <w:p>
            <w:pPr>
              <w:widowControl/>
              <w:topLinePunct/>
              <w:adjustRightInd w:val="0"/>
              <w:jc w:val="center"/>
              <w:rPr>
                <w:bCs/>
                <w:color w:val="000000"/>
                <w:szCs w:val="21"/>
              </w:rPr>
            </w:pPr>
            <w:r>
              <w:rPr>
                <w:bCs/>
                <w:color w:val="000000"/>
                <w:szCs w:val="21"/>
              </w:rPr>
              <w:t>生活污水</w:t>
            </w:r>
          </w:p>
        </w:tc>
        <w:tc>
          <w:tcPr>
            <w:tcW w:w="1038" w:type="dxa"/>
            <w:vMerge w:val="restart"/>
            <w:vAlign w:val="center"/>
          </w:tcPr>
          <w:p>
            <w:pPr>
              <w:widowControl/>
              <w:topLinePunct/>
              <w:adjustRightInd w:val="0"/>
              <w:jc w:val="center"/>
              <w:rPr>
                <w:bCs/>
                <w:color w:val="000000"/>
                <w:szCs w:val="21"/>
              </w:rPr>
            </w:pPr>
            <w:r>
              <w:rPr>
                <w:bCs/>
                <w:color w:val="000000"/>
                <w:szCs w:val="21"/>
              </w:rPr>
              <w:t>72737.2m</w:t>
            </w:r>
            <w:r>
              <w:rPr>
                <w:bCs/>
                <w:color w:val="000000"/>
                <w:szCs w:val="21"/>
                <w:vertAlign w:val="superscript"/>
              </w:rPr>
              <w:t>3</w:t>
            </w:r>
            <w:r>
              <w:rPr>
                <w:bCs/>
                <w:color w:val="000000"/>
                <w:szCs w:val="21"/>
              </w:rPr>
              <w:t>/a</w:t>
            </w:r>
          </w:p>
        </w:tc>
        <w:tc>
          <w:tcPr>
            <w:tcW w:w="1386" w:type="dxa"/>
            <w:gridSpan w:val="2"/>
            <w:vMerge w:val="restart"/>
            <w:vAlign w:val="center"/>
          </w:tcPr>
          <w:p>
            <w:pPr>
              <w:widowControl/>
              <w:topLinePunct/>
              <w:adjustRightInd w:val="0"/>
              <w:jc w:val="center"/>
              <w:rPr>
                <w:bCs/>
                <w:color w:val="000000"/>
                <w:szCs w:val="21"/>
              </w:rPr>
            </w:pPr>
            <w:r>
              <w:rPr>
                <w:bCs/>
                <w:color w:val="000000"/>
                <w:szCs w:val="21"/>
              </w:rPr>
              <w:t>COD：15000mg/L</w:t>
            </w:r>
          </w:p>
          <w:p>
            <w:pPr>
              <w:pStyle w:val="14"/>
              <w:rPr>
                <w:bCs/>
              </w:rPr>
            </w:pPr>
            <w:r>
              <w:rPr>
                <w:bCs/>
                <w:color w:val="000000"/>
                <w:szCs w:val="21"/>
              </w:rPr>
              <w:t>BOD</w:t>
            </w:r>
            <w:r>
              <w:rPr>
                <w:bCs/>
                <w:color w:val="000000"/>
                <w:szCs w:val="21"/>
                <w:vertAlign w:val="subscript"/>
              </w:rPr>
              <w:t>5</w:t>
            </w:r>
            <w:r>
              <w:rPr>
                <w:bCs/>
                <w:color w:val="000000"/>
                <w:szCs w:val="21"/>
              </w:rPr>
              <w:t>：</w:t>
            </w:r>
            <w:r>
              <w:rPr>
                <w:bCs/>
              </w:rPr>
              <w:t>8000</w:t>
            </w:r>
          </w:p>
          <w:p>
            <w:pPr>
              <w:widowControl/>
              <w:topLinePunct/>
              <w:adjustRightInd w:val="0"/>
              <w:jc w:val="center"/>
              <w:rPr>
                <w:bCs/>
                <w:color w:val="000000"/>
                <w:szCs w:val="21"/>
                <w:vertAlign w:val="subscript"/>
              </w:rPr>
            </w:pPr>
            <w:r>
              <w:rPr>
                <w:bCs/>
                <w:color w:val="000000"/>
                <w:szCs w:val="21"/>
              </w:rPr>
              <w:t>mg/L</w:t>
            </w:r>
          </w:p>
          <w:p>
            <w:pPr>
              <w:widowControl/>
              <w:topLinePunct/>
              <w:adjustRightInd w:val="0"/>
              <w:jc w:val="center"/>
              <w:rPr>
                <w:bCs/>
                <w:color w:val="000000"/>
                <w:szCs w:val="21"/>
              </w:rPr>
            </w:pPr>
            <w:r>
              <w:rPr>
                <w:bCs/>
                <w:color w:val="000000"/>
                <w:szCs w:val="21"/>
              </w:rPr>
              <w:t>SS：</w:t>
            </w:r>
            <w:r>
              <w:rPr>
                <w:bCs/>
              </w:rPr>
              <w:t>16000</w:t>
            </w:r>
            <w:r>
              <w:rPr>
                <w:bCs/>
                <w:color w:val="000000"/>
                <w:szCs w:val="21"/>
              </w:rPr>
              <w:t>mg/L</w:t>
            </w:r>
          </w:p>
          <w:p>
            <w:pPr>
              <w:widowControl/>
              <w:topLinePunct/>
              <w:adjustRightInd w:val="0"/>
              <w:jc w:val="center"/>
              <w:rPr>
                <w:bCs/>
                <w:color w:val="000000"/>
                <w:szCs w:val="21"/>
              </w:rPr>
            </w:pPr>
            <w:r>
              <w:rPr>
                <w:bCs/>
                <w:color w:val="000000"/>
                <w:szCs w:val="21"/>
              </w:rPr>
              <w:t>NH</w:t>
            </w:r>
            <w:r>
              <w:rPr>
                <w:bCs/>
                <w:color w:val="000000"/>
                <w:szCs w:val="21"/>
                <w:vertAlign w:val="subscript"/>
              </w:rPr>
              <w:t>3</w:t>
            </w:r>
            <w:r>
              <w:rPr>
                <w:bCs/>
                <w:color w:val="000000"/>
                <w:szCs w:val="21"/>
              </w:rPr>
              <w:t>-N：1200mg/L</w:t>
            </w:r>
          </w:p>
        </w:tc>
        <w:tc>
          <w:tcPr>
            <w:tcW w:w="2070" w:type="dxa"/>
            <w:vMerge w:val="restart"/>
            <w:vAlign w:val="center"/>
          </w:tcPr>
          <w:p>
            <w:pPr>
              <w:widowControl/>
              <w:topLinePunct/>
              <w:adjustRightInd w:val="0"/>
              <w:jc w:val="center"/>
              <w:rPr>
                <w:bCs/>
                <w:color w:val="000000"/>
                <w:szCs w:val="21"/>
              </w:rPr>
            </w:pPr>
            <w:r>
              <w:rPr>
                <w:bCs/>
                <w:color w:val="000000"/>
                <w:szCs w:val="21"/>
              </w:rPr>
              <w:t>养殖废水与生活污水混合后经场区1套盖泄湖沼气池处理，定期经过配套农灌系统用于农田施肥</w:t>
            </w:r>
          </w:p>
        </w:tc>
        <w:tc>
          <w:tcPr>
            <w:tcW w:w="1466" w:type="dxa"/>
            <w:vMerge w:val="restart"/>
            <w:vAlign w:val="center"/>
          </w:tcPr>
          <w:p>
            <w:pPr>
              <w:widowControl/>
              <w:topLinePunct/>
              <w:adjustRightInd w:val="0"/>
              <w:jc w:val="center"/>
              <w:rPr>
                <w:bCs/>
                <w:color w:val="000000"/>
                <w:szCs w:val="21"/>
              </w:rPr>
            </w:pPr>
            <w:r>
              <w:rPr>
                <w:bCs/>
                <w:color w:val="000000"/>
                <w:szCs w:val="21"/>
              </w:rPr>
              <w:t>出水浓度： COD：3000mg/L</w:t>
            </w:r>
          </w:p>
          <w:p>
            <w:pPr>
              <w:widowControl/>
              <w:topLinePunct/>
              <w:adjustRightInd w:val="0"/>
              <w:jc w:val="center"/>
              <w:rPr>
                <w:bCs/>
                <w:color w:val="000000"/>
                <w:szCs w:val="21"/>
                <w:vertAlign w:val="subscript"/>
              </w:rPr>
            </w:pPr>
            <w:r>
              <w:rPr>
                <w:bCs/>
                <w:color w:val="000000"/>
                <w:szCs w:val="21"/>
              </w:rPr>
              <w:t>BOD</w:t>
            </w:r>
            <w:r>
              <w:rPr>
                <w:bCs/>
                <w:color w:val="000000"/>
                <w:szCs w:val="21"/>
                <w:vertAlign w:val="subscript"/>
              </w:rPr>
              <w:t>5</w:t>
            </w:r>
            <w:r>
              <w:rPr>
                <w:bCs/>
                <w:color w:val="000000"/>
                <w:szCs w:val="21"/>
              </w:rPr>
              <w:t>：1400mg/L</w:t>
            </w:r>
          </w:p>
          <w:p>
            <w:pPr>
              <w:widowControl/>
              <w:topLinePunct/>
              <w:adjustRightInd w:val="0"/>
              <w:jc w:val="center"/>
              <w:rPr>
                <w:bCs/>
                <w:color w:val="000000"/>
                <w:szCs w:val="21"/>
              </w:rPr>
            </w:pPr>
            <w:r>
              <w:rPr>
                <w:bCs/>
                <w:color w:val="000000"/>
                <w:szCs w:val="21"/>
              </w:rPr>
              <w:t>SS：2000mg/L</w:t>
            </w:r>
          </w:p>
          <w:p>
            <w:pPr>
              <w:widowControl/>
              <w:topLinePunct/>
              <w:adjustRightInd w:val="0"/>
              <w:jc w:val="center"/>
              <w:rPr>
                <w:bCs/>
                <w:color w:val="000000"/>
                <w:szCs w:val="21"/>
              </w:rPr>
            </w:pPr>
            <w:r>
              <w:rPr>
                <w:bCs/>
                <w:color w:val="000000"/>
                <w:szCs w:val="21"/>
              </w:rPr>
              <w:t>NH</w:t>
            </w:r>
            <w:r>
              <w:rPr>
                <w:bCs/>
                <w:color w:val="000000"/>
                <w:szCs w:val="21"/>
                <w:vertAlign w:val="subscript"/>
              </w:rPr>
              <w:t>3</w:t>
            </w:r>
            <w:r>
              <w:rPr>
                <w:bCs/>
                <w:color w:val="000000"/>
                <w:szCs w:val="21"/>
              </w:rPr>
              <w:t>-N：900mg/L</w:t>
            </w:r>
          </w:p>
        </w:tc>
        <w:tc>
          <w:tcPr>
            <w:tcW w:w="440" w:type="dxa"/>
            <w:vAlign w:val="center"/>
          </w:tcPr>
          <w:p>
            <w:pPr>
              <w:widowControl/>
              <w:topLinePunct/>
              <w:adjustRightInd w:val="0"/>
              <w:jc w:val="center"/>
              <w:rPr>
                <w:bCs/>
                <w:color w:val="000000"/>
                <w:szCs w:val="21"/>
              </w:rPr>
            </w:pPr>
            <w:r>
              <w:rPr>
                <w:bCs/>
                <w:color w:val="000000"/>
                <w:szCs w:val="21"/>
              </w:rPr>
              <w:t>污水处理设施</w:t>
            </w:r>
          </w:p>
        </w:tc>
        <w:tc>
          <w:tcPr>
            <w:tcW w:w="3715" w:type="dxa"/>
            <w:gridSpan w:val="3"/>
            <w:vAlign w:val="center"/>
          </w:tcPr>
          <w:p>
            <w:pPr>
              <w:widowControl/>
              <w:topLinePunct/>
              <w:adjustRightInd w:val="0"/>
              <w:jc w:val="center"/>
              <w:rPr>
                <w:bCs/>
                <w:color w:val="000000"/>
                <w:szCs w:val="21"/>
              </w:rPr>
            </w:pPr>
            <w:r>
              <w:rPr>
                <w:bCs/>
                <w:color w:val="000000"/>
                <w:szCs w:val="21"/>
              </w:rPr>
              <w:t>位于场区东部，包括</w:t>
            </w:r>
            <w:r>
              <w:rPr>
                <w:bCs/>
                <w:color w:val="000000"/>
                <w:kern w:val="0"/>
                <w:szCs w:val="21"/>
              </w:rPr>
              <w:t>收集池1座</w:t>
            </w:r>
            <w:r>
              <w:rPr>
                <w:rFonts w:hint="eastAsia"/>
                <w:bCs/>
                <w:color w:val="000000"/>
                <w:kern w:val="0"/>
                <w:szCs w:val="21"/>
              </w:rPr>
              <w:t>395.64</w:t>
            </w:r>
            <w:r>
              <w:rPr>
                <w:bCs/>
                <w:color w:val="000000"/>
                <w:kern w:val="0"/>
                <w:szCs w:val="21"/>
              </w:rPr>
              <w:t>m</w:t>
            </w:r>
            <w:r>
              <w:rPr>
                <w:bCs/>
                <w:color w:val="000000"/>
                <w:kern w:val="0"/>
                <w:szCs w:val="21"/>
                <w:vertAlign w:val="superscript"/>
              </w:rPr>
              <w:t>3</w:t>
            </w:r>
            <w:r>
              <w:rPr>
                <w:bCs/>
                <w:color w:val="000000"/>
                <w:kern w:val="0"/>
                <w:szCs w:val="21"/>
              </w:rPr>
              <w:t>，盖泄湖沼气池1座10243m</w:t>
            </w:r>
            <w:r>
              <w:rPr>
                <w:bCs/>
                <w:color w:val="000000"/>
                <w:kern w:val="0"/>
                <w:szCs w:val="21"/>
                <w:vertAlign w:val="superscript"/>
              </w:rPr>
              <w:t>3</w:t>
            </w:r>
            <w:r>
              <w:rPr>
                <w:bCs/>
                <w:color w:val="000000"/>
                <w:kern w:val="0"/>
                <w:szCs w:val="21"/>
              </w:rPr>
              <w:t>。沼液储存池1个，总容积</w:t>
            </w:r>
            <w:r>
              <w:rPr>
                <w:bCs/>
                <w:szCs w:val="21"/>
              </w:rPr>
              <w:t>64006</w:t>
            </w:r>
            <w:r>
              <w:rPr>
                <w:bCs/>
                <w:color w:val="000000"/>
                <w:kern w:val="0"/>
                <w:szCs w:val="21"/>
              </w:rPr>
              <w:t>m</w:t>
            </w:r>
            <w:r>
              <w:rPr>
                <w:bCs/>
                <w:color w:val="000000"/>
                <w:kern w:val="0"/>
                <w:szCs w:val="21"/>
                <w:vertAlign w:val="superscript"/>
              </w:rPr>
              <w:t>3</w:t>
            </w:r>
            <w:r>
              <w:rPr>
                <w:bCs/>
                <w:color w:val="000000"/>
                <w:szCs w:val="21"/>
              </w:rPr>
              <w:t>；</w:t>
            </w:r>
          </w:p>
        </w:tc>
        <w:tc>
          <w:tcPr>
            <w:tcW w:w="1875" w:type="dxa"/>
            <w:vMerge w:val="restart"/>
            <w:vAlign w:val="center"/>
          </w:tcPr>
          <w:p>
            <w:pPr>
              <w:widowControl/>
              <w:topLinePunct/>
              <w:adjustRightInd w:val="0"/>
              <w:jc w:val="center"/>
              <w:rPr>
                <w:bCs/>
                <w:color w:val="000000"/>
                <w:szCs w:val="21"/>
              </w:rPr>
            </w:pPr>
            <w:r>
              <w:rPr>
                <w:bCs/>
                <w:color w:val="000000"/>
                <w:szCs w:val="21"/>
              </w:rPr>
              <w:t>废水中主要污染物去除效率为COD80%、BOD</w:t>
            </w:r>
            <w:r>
              <w:rPr>
                <w:bCs/>
                <w:color w:val="000000"/>
                <w:szCs w:val="21"/>
                <w:vertAlign w:val="subscript"/>
              </w:rPr>
              <w:t>5</w:t>
            </w:r>
            <w:r>
              <w:rPr>
                <w:bCs/>
                <w:color w:val="000000"/>
                <w:szCs w:val="21"/>
              </w:rPr>
              <w:t>82.5%、SS 87.5%、氨氮25%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continue"/>
            <w:vAlign w:val="center"/>
          </w:tcPr>
          <w:p>
            <w:pPr>
              <w:topLinePunct/>
              <w:jc w:val="center"/>
              <w:rPr>
                <w:bCs/>
                <w:color w:val="000000"/>
                <w:szCs w:val="21"/>
              </w:rPr>
            </w:pPr>
          </w:p>
        </w:tc>
        <w:tc>
          <w:tcPr>
            <w:tcW w:w="899" w:type="dxa"/>
            <w:gridSpan w:val="2"/>
            <w:vMerge w:val="continue"/>
            <w:vAlign w:val="center"/>
          </w:tcPr>
          <w:p>
            <w:pPr>
              <w:topLinePunct/>
              <w:jc w:val="center"/>
              <w:rPr>
                <w:bCs/>
                <w:color w:val="000000"/>
                <w:szCs w:val="21"/>
              </w:rPr>
            </w:pPr>
          </w:p>
        </w:tc>
        <w:tc>
          <w:tcPr>
            <w:tcW w:w="1038" w:type="dxa"/>
            <w:vMerge w:val="continue"/>
            <w:vAlign w:val="center"/>
          </w:tcPr>
          <w:p>
            <w:pPr>
              <w:topLinePunct/>
              <w:jc w:val="center"/>
              <w:rPr>
                <w:bCs/>
                <w:color w:val="000000"/>
                <w:szCs w:val="21"/>
              </w:rPr>
            </w:pPr>
          </w:p>
        </w:tc>
        <w:tc>
          <w:tcPr>
            <w:tcW w:w="1386" w:type="dxa"/>
            <w:gridSpan w:val="2"/>
            <w:vMerge w:val="continue"/>
            <w:vAlign w:val="center"/>
          </w:tcPr>
          <w:p>
            <w:pPr>
              <w:topLinePunct/>
              <w:jc w:val="center"/>
              <w:rPr>
                <w:bCs/>
                <w:color w:val="000000"/>
                <w:szCs w:val="21"/>
              </w:rPr>
            </w:pPr>
          </w:p>
        </w:tc>
        <w:tc>
          <w:tcPr>
            <w:tcW w:w="2070" w:type="dxa"/>
            <w:vMerge w:val="continue"/>
            <w:vAlign w:val="center"/>
          </w:tcPr>
          <w:p>
            <w:pPr>
              <w:topLinePunct/>
              <w:jc w:val="center"/>
              <w:rPr>
                <w:bCs/>
                <w:color w:val="000000"/>
                <w:szCs w:val="21"/>
              </w:rPr>
            </w:pPr>
          </w:p>
        </w:tc>
        <w:tc>
          <w:tcPr>
            <w:tcW w:w="1466" w:type="dxa"/>
            <w:vMerge w:val="continue"/>
            <w:vAlign w:val="center"/>
          </w:tcPr>
          <w:p>
            <w:pPr>
              <w:topLinePunct/>
              <w:jc w:val="center"/>
              <w:rPr>
                <w:bCs/>
                <w:color w:val="000000"/>
                <w:szCs w:val="21"/>
              </w:rPr>
            </w:pPr>
          </w:p>
        </w:tc>
        <w:tc>
          <w:tcPr>
            <w:tcW w:w="440" w:type="dxa"/>
            <w:vAlign w:val="center"/>
          </w:tcPr>
          <w:p>
            <w:pPr>
              <w:topLinePunct/>
              <w:jc w:val="center"/>
              <w:rPr>
                <w:bCs/>
                <w:color w:val="000000"/>
                <w:szCs w:val="21"/>
              </w:rPr>
            </w:pPr>
            <w:r>
              <w:rPr>
                <w:bCs/>
                <w:color w:val="000000"/>
                <w:szCs w:val="21"/>
              </w:rPr>
              <w:t>农灌</w:t>
            </w:r>
          </w:p>
          <w:p>
            <w:pPr>
              <w:topLinePunct/>
              <w:jc w:val="center"/>
              <w:rPr>
                <w:bCs/>
                <w:color w:val="000000"/>
                <w:szCs w:val="21"/>
              </w:rPr>
            </w:pPr>
            <w:r>
              <w:rPr>
                <w:bCs/>
                <w:color w:val="000000"/>
                <w:szCs w:val="21"/>
              </w:rPr>
              <w:t>系统</w:t>
            </w:r>
          </w:p>
        </w:tc>
        <w:tc>
          <w:tcPr>
            <w:tcW w:w="3715" w:type="dxa"/>
            <w:gridSpan w:val="3"/>
            <w:vAlign w:val="center"/>
          </w:tcPr>
          <w:p>
            <w:pPr>
              <w:topLinePunct/>
              <w:jc w:val="center"/>
              <w:rPr>
                <w:bCs/>
                <w:color w:val="000000"/>
                <w:szCs w:val="21"/>
              </w:rPr>
            </w:pPr>
            <w:r>
              <w:rPr>
                <w:bCs/>
                <w:color w:val="000000"/>
                <w:szCs w:val="21"/>
              </w:rPr>
              <w:t>全场沼液输送</w:t>
            </w:r>
            <w:r>
              <w:rPr>
                <w:bCs/>
                <w:color w:val="000000" w:themeColor="text1"/>
                <w:szCs w:val="21"/>
              </w:rPr>
              <w:t>总干管长度3500m，主管1600米，支管12000m；主干管直径为160mm，支管直径分别为110mm和75mm；</w:t>
            </w:r>
            <w:r>
              <w:rPr>
                <w:bCs/>
                <w:color w:val="000000"/>
                <w:szCs w:val="21"/>
              </w:rPr>
              <w:t>管材为PVC管。并在配套农田西侧和东侧方位各设置1口地下水观测井</w:t>
            </w:r>
          </w:p>
        </w:tc>
        <w:tc>
          <w:tcPr>
            <w:tcW w:w="1875" w:type="dxa"/>
            <w:vMerge w:val="continue"/>
            <w:vAlign w:val="center"/>
          </w:tcPr>
          <w:p>
            <w:pPr>
              <w:topLinePunct/>
              <w:jc w:val="center"/>
              <w:rPr>
                <w:bCs/>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restart"/>
            <w:vAlign w:val="center"/>
          </w:tcPr>
          <w:p>
            <w:pPr>
              <w:topLinePunct/>
              <w:jc w:val="center"/>
              <w:rPr>
                <w:bCs/>
                <w:color w:val="000000"/>
                <w:szCs w:val="21"/>
              </w:rPr>
            </w:pPr>
            <w:r>
              <w:rPr>
                <w:bCs/>
                <w:color w:val="000000"/>
                <w:szCs w:val="21"/>
              </w:rPr>
              <w:t>废气</w:t>
            </w:r>
          </w:p>
        </w:tc>
        <w:tc>
          <w:tcPr>
            <w:tcW w:w="899" w:type="dxa"/>
            <w:gridSpan w:val="2"/>
            <w:vAlign w:val="center"/>
          </w:tcPr>
          <w:p>
            <w:pPr>
              <w:topLinePunct/>
              <w:jc w:val="center"/>
              <w:rPr>
                <w:bCs/>
                <w:color w:val="000000"/>
                <w:szCs w:val="21"/>
              </w:rPr>
            </w:pPr>
            <w:r>
              <w:rPr>
                <w:bCs/>
                <w:color w:val="000000"/>
                <w:szCs w:val="21"/>
              </w:rPr>
              <w:t>猪舍</w:t>
            </w:r>
          </w:p>
        </w:tc>
        <w:tc>
          <w:tcPr>
            <w:tcW w:w="2424" w:type="dxa"/>
            <w:gridSpan w:val="3"/>
            <w:vMerge w:val="restart"/>
            <w:vAlign w:val="center"/>
          </w:tcPr>
          <w:p>
            <w:pPr>
              <w:topLinePunct/>
              <w:jc w:val="center"/>
              <w:rPr>
                <w:bCs/>
                <w:color w:val="000000"/>
                <w:szCs w:val="21"/>
              </w:rPr>
            </w:pPr>
            <w:r>
              <w:rPr>
                <w:bCs/>
                <w:color w:val="000000"/>
                <w:szCs w:val="21"/>
              </w:rPr>
              <w:t>NH</w:t>
            </w:r>
            <w:r>
              <w:rPr>
                <w:bCs/>
                <w:color w:val="000000"/>
                <w:szCs w:val="21"/>
                <w:vertAlign w:val="subscript"/>
              </w:rPr>
              <w:t>3</w:t>
            </w:r>
            <w:r>
              <w:rPr>
                <w:bCs/>
                <w:color w:val="000000"/>
                <w:szCs w:val="21"/>
              </w:rPr>
              <w:t>:</w:t>
            </w:r>
            <w:r>
              <w:rPr>
                <w:rFonts w:hint="eastAsia"/>
                <w:bCs/>
                <w:snapToGrid w:val="0"/>
                <w:spacing w:val="-4"/>
                <w:szCs w:val="21"/>
              </w:rPr>
              <w:t>4.776</w:t>
            </w:r>
            <w:r>
              <w:rPr>
                <w:bCs/>
                <w:color w:val="000000"/>
                <w:szCs w:val="21"/>
              </w:rPr>
              <w:t>t/a</w:t>
            </w:r>
          </w:p>
          <w:p>
            <w:pPr>
              <w:topLinePunct/>
              <w:jc w:val="center"/>
              <w:rPr>
                <w:bCs/>
                <w:color w:val="000000"/>
                <w:szCs w:val="21"/>
              </w:rPr>
            </w:pPr>
            <w:r>
              <w:rPr>
                <w:bCs/>
                <w:color w:val="000000"/>
                <w:szCs w:val="21"/>
              </w:rPr>
              <w:t>H</w:t>
            </w:r>
            <w:r>
              <w:rPr>
                <w:bCs/>
                <w:color w:val="000000"/>
                <w:szCs w:val="21"/>
                <w:vertAlign w:val="subscript"/>
              </w:rPr>
              <w:t>2</w:t>
            </w:r>
            <w:r>
              <w:rPr>
                <w:bCs/>
                <w:color w:val="000000"/>
                <w:szCs w:val="21"/>
              </w:rPr>
              <w:t>S :</w:t>
            </w:r>
            <w:r>
              <w:rPr>
                <w:bCs/>
                <w:snapToGrid w:val="0"/>
                <w:spacing w:val="-4"/>
                <w:szCs w:val="21"/>
              </w:rPr>
              <w:t>0.3</w:t>
            </w:r>
            <w:r>
              <w:rPr>
                <w:rFonts w:hint="eastAsia"/>
                <w:bCs/>
                <w:snapToGrid w:val="0"/>
                <w:spacing w:val="-4"/>
                <w:szCs w:val="21"/>
              </w:rPr>
              <w:t>469</w:t>
            </w:r>
            <w:r>
              <w:rPr>
                <w:bCs/>
                <w:color w:val="000000"/>
                <w:szCs w:val="21"/>
              </w:rPr>
              <w:t>t/a</w:t>
            </w:r>
          </w:p>
        </w:tc>
        <w:tc>
          <w:tcPr>
            <w:tcW w:w="2070" w:type="dxa"/>
            <w:vAlign w:val="center"/>
          </w:tcPr>
          <w:p>
            <w:pPr>
              <w:topLinePunct/>
              <w:jc w:val="center"/>
              <w:rPr>
                <w:bCs/>
                <w:color w:val="000000"/>
                <w:szCs w:val="21"/>
              </w:rPr>
            </w:pPr>
            <w:r>
              <w:rPr>
                <w:bCs/>
                <w:color w:val="000000"/>
                <w:szCs w:val="21"/>
              </w:rPr>
              <w:t>定期冲圈、喷洒除臭剂</w:t>
            </w:r>
          </w:p>
        </w:tc>
        <w:tc>
          <w:tcPr>
            <w:tcW w:w="1466" w:type="dxa"/>
            <w:vMerge w:val="restart"/>
            <w:vAlign w:val="center"/>
          </w:tcPr>
          <w:p>
            <w:pPr>
              <w:topLinePunct/>
              <w:jc w:val="center"/>
              <w:rPr>
                <w:bCs/>
                <w:color w:val="000000"/>
                <w:szCs w:val="21"/>
              </w:rPr>
            </w:pPr>
            <w:r>
              <w:rPr>
                <w:bCs/>
                <w:color w:val="000000"/>
                <w:szCs w:val="21"/>
              </w:rPr>
              <w:t>NH</w:t>
            </w:r>
            <w:r>
              <w:rPr>
                <w:bCs/>
                <w:color w:val="000000"/>
                <w:szCs w:val="21"/>
                <w:vertAlign w:val="subscript"/>
              </w:rPr>
              <w:t>3</w:t>
            </w:r>
            <w:r>
              <w:rPr>
                <w:bCs/>
                <w:color w:val="000000"/>
                <w:szCs w:val="21"/>
              </w:rPr>
              <w:t>:</w:t>
            </w:r>
            <w:r>
              <w:rPr>
                <w:bCs/>
                <w:snapToGrid w:val="0"/>
                <w:spacing w:val="-4"/>
                <w:szCs w:val="21"/>
              </w:rPr>
              <w:t>1.</w:t>
            </w:r>
            <w:r>
              <w:rPr>
                <w:rFonts w:hint="eastAsia"/>
                <w:bCs/>
                <w:snapToGrid w:val="0"/>
                <w:spacing w:val="-4"/>
                <w:szCs w:val="21"/>
              </w:rPr>
              <w:t>433</w:t>
            </w:r>
            <w:r>
              <w:rPr>
                <w:bCs/>
                <w:color w:val="000000"/>
                <w:szCs w:val="21"/>
              </w:rPr>
              <w:t>t/a</w:t>
            </w:r>
          </w:p>
          <w:p>
            <w:pPr>
              <w:topLinePunct/>
              <w:jc w:val="center"/>
              <w:rPr>
                <w:bCs/>
                <w:color w:val="000000"/>
                <w:szCs w:val="21"/>
              </w:rPr>
            </w:pPr>
            <w:r>
              <w:rPr>
                <w:bCs/>
                <w:color w:val="000000"/>
                <w:szCs w:val="21"/>
              </w:rPr>
              <w:t>H</w:t>
            </w:r>
            <w:r>
              <w:rPr>
                <w:bCs/>
                <w:color w:val="000000"/>
                <w:szCs w:val="21"/>
                <w:vertAlign w:val="subscript"/>
              </w:rPr>
              <w:t>2</w:t>
            </w:r>
            <w:r>
              <w:rPr>
                <w:bCs/>
                <w:color w:val="000000"/>
                <w:szCs w:val="21"/>
              </w:rPr>
              <w:t>S :0.</w:t>
            </w:r>
            <w:r>
              <w:rPr>
                <w:rFonts w:hint="eastAsia"/>
                <w:bCs/>
                <w:color w:val="000000"/>
                <w:szCs w:val="21"/>
              </w:rPr>
              <w:t>10367</w:t>
            </w:r>
            <w:r>
              <w:rPr>
                <w:bCs/>
                <w:color w:val="000000"/>
                <w:szCs w:val="21"/>
              </w:rPr>
              <w:t>t/a</w:t>
            </w:r>
          </w:p>
        </w:tc>
        <w:tc>
          <w:tcPr>
            <w:tcW w:w="2745" w:type="dxa"/>
            <w:gridSpan w:val="2"/>
            <w:vAlign w:val="center"/>
          </w:tcPr>
          <w:p>
            <w:pPr>
              <w:tabs>
                <w:tab w:val="right" w:leader="dot" w:pos="8647"/>
              </w:tabs>
              <w:topLinePunct/>
              <w:jc w:val="center"/>
              <w:rPr>
                <w:bCs/>
                <w:color w:val="000000"/>
                <w:szCs w:val="21"/>
              </w:rPr>
            </w:pPr>
            <w:r>
              <w:rPr>
                <w:bCs/>
                <w:color w:val="000000"/>
                <w:szCs w:val="21"/>
              </w:rPr>
              <w:t>定期冲圈，喷洒除臭剂，除臭效率70%</w:t>
            </w:r>
          </w:p>
        </w:tc>
        <w:tc>
          <w:tcPr>
            <w:tcW w:w="352" w:type="dxa"/>
            <w:vMerge w:val="restart"/>
            <w:vAlign w:val="center"/>
          </w:tcPr>
          <w:p>
            <w:pPr>
              <w:tabs>
                <w:tab w:val="right" w:leader="dot" w:pos="8647"/>
              </w:tabs>
              <w:topLinePunct/>
              <w:jc w:val="center"/>
              <w:rPr>
                <w:bCs/>
                <w:color w:val="000000"/>
                <w:szCs w:val="21"/>
              </w:rPr>
            </w:pPr>
            <w:r>
              <w:rPr>
                <w:bCs/>
                <w:color w:val="000000"/>
                <w:szCs w:val="21"/>
              </w:rPr>
              <w:t>喷</w:t>
            </w:r>
          </w:p>
          <w:p>
            <w:pPr>
              <w:tabs>
                <w:tab w:val="right" w:leader="dot" w:pos="8647"/>
              </w:tabs>
              <w:topLinePunct/>
              <w:jc w:val="center"/>
              <w:rPr>
                <w:bCs/>
                <w:color w:val="000000"/>
                <w:szCs w:val="21"/>
              </w:rPr>
            </w:pPr>
            <w:r>
              <w:rPr>
                <w:bCs/>
                <w:color w:val="000000"/>
                <w:szCs w:val="21"/>
              </w:rPr>
              <w:t>雾</w:t>
            </w:r>
          </w:p>
          <w:p>
            <w:pPr>
              <w:tabs>
                <w:tab w:val="right" w:leader="dot" w:pos="8647"/>
              </w:tabs>
              <w:topLinePunct/>
              <w:jc w:val="center"/>
              <w:rPr>
                <w:bCs/>
                <w:color w:val="000000"/>
                <w:szCs w:val="21"/>
              </w:rPr>
            </w:pPr>
            <w:r>
              <w:rPr>
                <w:bCs/>
                <w:color w:val="000000"/>
                <w:szCs w:val="21"/>
              </w:rPr>
              <w:t>器</w:t>
            </w:r>
          </w:p>
          <w:p>
            <w:pPr>
              <w:tabs>
                <w:tab w:val="right" w:leader="dot" w:pos="8647"/>
              </w:tabs>
              <w:topLinePunct/>
              <w:jc w:val="center"/>
              <w:rPr>
                <w:bCs/>
                <w:color w:val="000000"/>
                <w:szCs w:val="21"/>
              </w:rPr>
            </w:pPr>
            <w:r>
              <w:rPr>
                <w:bCs/>
                <w:color w:val="000000"/>
                <w:szCs w:val="21"/>
              </w:rPr>
              <w:t>4</w:t>
            </w:r>
          </w:p>
          <w:p>
            <w:pPr>
              <w:tabs>
                <w:tab w:val="right" w:leader="dot" w:pos="8647"/>
              </w:tabs>
              <w:topLinePunct/>
              <w:jc w:val="center"/>
              <w:rPr>
                <w:bCs/>
                <w:color w:val="000000"/>
                <w:szCs w:val="21"/>
              </w:rPr>
            </w:pPr>
            <w:r>
              <w:rPr>
                <w:bCs/>
                <w:color w:val="000000"/>
                <w:szCs w:val="21"/>
              </w:rPr>
              <w:t>个</w:t>
            </w:r>
          </w:p>
        </w:tc>
        <w:tc>
          <w:tcPr>
            <w:tcW w:w="1058" w:type="dxa"/>
            <w:vMerge w:val="restart"/>
            <w:vAlign w:val="center"/>
          </w:tcPr>
          <w:p>
            <w:pPr>
              <w:tabs>
                <w:tab w:val="right" w:leader="dot" w:pos="8647"/>
              </w:tabs>
              <w:topLinePunct/>
              <w:jc w:val="center"/>
              <w:rPr>
                <w:bCs/>
                <w:color w:val="000000"/>
                <w:szCs w:val="21"/>
              </w:rPr>
            </w:pPr>
            <w:r>
              <w:rPr>
                <w:bCs/>
                <w:color w:val="000000"/>
                <w:szCs w:val="21"/>
              </w:rPr>
              <w:t>除臭剂由人工喷洒，除臭剂的喷洒频率为：前期连续喷洒3天，以后每隔5天喷洒一次</w:t>
            </w:r>
          </w:p>
        </w:tc>
        <w:tc>
          <w:tcPr>
            <w:tcW w:w="1875" w:type="dxa"/>
            <w:vMerge w:val="restart"/>
            <w:vAlign w:val="center"/>
          </w:tcPr>
          <w:p>
            <w:pPr>
              <w:topLinePunct/>
              <w:jc w:val="center"/>
              <w:rPr>
                <w:bCs/>
                <w:color w:val="000000"/>
                <w:szCs w:val="21"/>
              </w:rPr>
            </w:pPr>
            <w:r>
              <w:rPr>
                <w:bCs/>
                <w:color w:val="000000"/>
                <w:szCs w:val="21"/>
              </w:rPr>
              <w:t>《恶臭污染物排放标准》（GB14554-93）表1厂界标准值中二级标准要求（无组织）：NH</w:t>
            </w:r>
            <w:r>
              <w:rPr>
                <w:bCs/>
                <w:color w:val="000000"/>
                <w:szCs w:val="21"/>
                <w:vertAlign w:val="subscript"/>
              </w:rPr>
              <w:t>3</w:t>
            </w:r>
            <w:r>
              <w:rPr>
                <w:bCs/>
                <w:color w:val="000000"/>
                <w:szCs w:val="21"/>
              </w:rPr>
              <w:t>≤1.5 mg/m</w:t>
            </w:r>
            <w:r>
              <w:rPr>
                <w:bCs/>
                <w:color w:val="000000"/>
                <w:szCs w:val="21"/>
                <w:vertAlign w:val="superscript"/>
              </w:rPr>
              <w:t>3</w:t>
            </w:r>
            <w:r>
              <w:rPr>
                <w:bCs/>
                <w:color w:val="000000"/>
                <w:szCs w:val="21"/>
              </w:rPr>
              <w:t>、</w:t>
            </w:r>
          </w:p>
          <w:p>
            <w:pPr>
              <w:topLinePunct/>
              <w:jc w:val="center"/>
              <w:rPr>
                <w:bCs/>
                <w:color w:val="000000"/>
                <w:szCs w:val="21"/>
              </w:rPr>
            </w:pPr>
            <w:r>
              <w:rPr>
                <w:bCs/>
                <w:color w:val="000000"/>
                <w:szCs w:val="21"/>
              </w:rPr>
              <w:t>H</w:t>
            </w:r>
            <w:r>
              <w:rPr>
                <w:bCs/>
                <w:color w:val="000000"/>
                <w:szCs w:val="21"/>
                <w:vertAlign w:val="subscript"/>
              </w:rPr>
              <w:t>2</w:t>
            </w:r>
            <w:r>
              <w:rPr>
                <w:bCs/>
                <w:color w:val="000000"/>
                <w:szCs w:val="21"/>
              </w:rPr>
              <w:t>S≤0.06 mg/m</w:t>
            </w:r>
            <w:r>
              <w:rPr>
                <w:bCs/>
                <w:color w:val="000000"/>
                <w:szCs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continue"/>
            <w:vAlign w:val="center"/>
          </w:tcPr>
          <w:p>
            <w:pPr>
              <w:topLinePunct/>
              <w:jc w:val="center"/>
              <w:rPr>
                <w:bCs/>
                <w:color w:val="000000"/>
                <w:szCs w:val="21"/>
              </w:rPr>
            </w:pPr>
          </w:p>
        </w:tc>
        <w:tc>
          <w:tcPr>
            <w:tcW w:w="899" w:type="dxa"/>
            <w:gridSpan w:val="2"/>
            <w:vAlign w:val="center"/>
          </w:tcPr>
          <w:p>
            <w:pPr>
              <w:topLinePunct/>
              <w:jc w:val="center"/>
              <w:rPr>
                <w:bCs/>
                <w:color w:val="000000"/>
                <w:szCs w:val="21"/>
              </w:rPr>
            </w:pPr>
            <w:r>
              <w:rPr>
                <w:bCs/>
                <w:color w:val="000000"/>
                <w:szCs w:val="21"/>
              </w:rPr>
              <w:t>污水处理系统</w:t>
            </w:r>
          </w:p>
        </w:tc>
        <w:tc>
          <w:tcPr>
            <w:tcW w:w="2424" w:type="dxa"/>
            <w:gridSpan w:val="3"/>
            <w:vMerge w:val="continue"/>
            <w:vAlign w:val="center"/>
          </w:tcPr>
          <w:p>
            <w:pPr>
              <w:topLinePunct/>
              <w:jc w:val="center"/>
              <w:rPr>
                <w:bCs/>
                <w:color w:val="000000"/>
                <w:szCs w:val="21"/>
              </w:rPr>
            </w:pPr>
          </w:p>
        </w:tc>
        <w:tc>
          <w:tcPr>
            <w:tcW w:w="2070" w:type="dxa"/>
            <w:vAlign w:val="center"/>
          </w:tcPr>
          <w:p>
            <w:pPr>
              <w:topLinePunct/>
              <w:jc w:val="center"/>
              <w:rPr>
                <w:bCs/>
                <w:color w:val="000000"/>
                <w:szCs w:val="21"/>
              </w:rPr>
            </w:pPr>
            <w:r>
              <w:rPr>
                <w:bCs/>
                <w:color w:val="000000"/>
                <w:szCs w:val="21"/>
              </w:rPr>
              <w:t>喷洒除臭剂</w:t>
            </w:r>
          </w:p>
        </w:tc>
        <w:tc>
          <w:tcPr>
            <w:tcW w:w="1466" w:type="dxa"/>
            <w:vMerge w:val="continue"/>
            <w:vAlign w:val="center"/>
          </w:tcPr>
          <w:p>
            <w:pPr>
              <w:topLinePunct/>
              <w:jc w:val="center"/>
              <w:rPr>
                <w:bCs/>
                <w:color w:val="000000"/>
                <w:szCs w:val="21"/>
              </w:rPr>
            </w:pPr>
          </w:p>
        </w:tc>
        <w:tc>
          <w:tcPr>
            <w:tcW w:w="2745" w:type="dxa"/>
            <w:gridSpan w:val="2"/>
            <w:vAlign w:val="center"/>
          </w:tcPr>
          <w:p>
            <w:pPr>
              <w:tabs>
                <w:tab w:val="right" w:leader="dot" w:pos="8647"/>
              </w:tabs>
              <w:topLinePunct/>
              <w:adjustRightInd w:val="0"/>
              <w:snapToGrid w:val="0"/>
              <w:ind w:firstLine="105" w:firstLineChars="50"/>
              <w:jc w:val="center"/>
              <w:rPr>
                <w:bCs/>
                <w:color w:val="000000"/>
                <w:szCs w:val="21"/>
              </w:rPr>
            </w:pPr>
            <w:r>
              <w:rPr>
                <w:bCs/>
                <w:color w:val="000000"/>
                <w:szCs w:val="21"/>
              </w:rPr>
              <w:t>喷洒除臭剂，除臭效率70%</w:t>
            </w:r>
          </w:p>
        </w:tc>
        <w:tc>
          <w:tcPr>
            <w:tcW w:w="352" w:type="dxa"/>
            <w:vMerge w:val="continue"/>
            <w:vAlign w:val="center"/>
          </w:tcPr>
          <w:p>
            <w:pPr>
              <w:tabs>
                <w:tab w:val="right" w:leader="dot" w:pos="8647"/>
              </w:tabs>
              <w:topLinePunct/>
              <w:adjustRightInd w:val="0"/>
              <w:snapToGrid w:val="0"/>
              <w:ind w:firstLine="105" w:firstLineChars="50"/>
              <w:jc w:val="center"/>
              <w:rPr>
                <w:bCs/>
                <w:color w:val="000000"/>
                <w:szCs w:val="21"/>
              </w:rPr>
            </w:pPr>
          </w:p>
        </w:tc>
        <w:tc>
          <w:tcPr>
            <w:tcW w:w="1058" w:type="dxa"/>
            <w:vMerge w:val="continue"/>
            <w:vAlign w:val="center"/>
          </w:tcPr>
          <w:p>
            <w:pPr>
              <w:tabs>
                <w:tab w:val="right" w:leader="dot" w:pos="8647"/>
              </w:tabs>
              <w:topLinePunct/>
              <w:adjustRightInd w:val="0"/>
              <w:snapToGrid w:val="0"/>
              <w:ind w:firstLine="105" w:firstLineChars="50"/>
              <w:jc w:val="center"/>
              <w:rPr>
                <w:bCs/>
                <w:color w:val="000000"/>
                <w:szCs w:val="21"/>
              </w:rPr>
            </w:pPr>
          </w:p>
        </w:tc>
        <w:tc>
          <w:tcPr>
            <w:tcW w:w="1875" w:type="dxa"/>
            <w:vMerge w:val="continue"/>
            <w:vAlign w:val="center"/>
          </w:tcPr>
          <w:p>
            <w:pPr>
              <w:topLinePunct/>
              <w:jc w:val="center"/>
              <w:rPr>
                <w:bCs/>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continue"/>
            <w:vAlign w:val="center"/>
          </w:tcPr>
          <w:p>
            <w:pPr>
              <w:topLinePunct/>
              <w:jc w:val="center"/>
              <w:rPr>
                <w:bCs/>
                <w:color w:val="000000"/>
                <w:szCs w:val="21"/>
              </w:rPr>
            </w:pPr>
          </w:p>
        </w:tc>
        <w:tc>
          <w:tcPr>
            <w:tcW w:w="899" w:type="dxa"/>
            <w:gridSpan w:val="2"/>
            <w:vAlign w:val="center"/>
          </w:tcPr>
          <w:p>
            <w:pPr>
              <w:topLinePunct/>
              <w:jc w:val="center"/>
              <w:rPr>
                <w:bCs/>
                <w:color w:val="000000"/>
                <w:szCs w:val="21"/>
              </w:rPr>
            </w:pPr>
            <w:r>
              <w:rPr>
                <w:bCs/>
                <w:color w:val="000000"/>
                <w:szCs w:val="21"/>
              </w:rPr>
              <w:t>固粪处置区</w:t>
            </w:r>
          </w:p>
        </w:tc>
        <w:tc>
          <w:tcPr>
            <w:tcW w:w="2424" w:type="dxa"/>
            <w:gridSpan w:val="3"/>
            <w:vMerge w:val="continue"/>
            <w:vAlign w:val="center"/>
          </w:tcPr>
          <w:p>
            <w:pPr>
              <w:topLinePunct/>
              <w:jc w:val="center"/>
              <w:rPr>
                <w:bCs/>
                <w:color w:val="000000"/>
                <w:szCs w:val="21"/>
              </w:rPr>
            </w:pPr>
          </w:p>
        </w:tc>
        <w:tc>
          <w:tcPr>
            <w:tcW w:w="2070" w:type="dxa"/>
            <w:vAlign w:val="center"/>
          </w:tcPr>
          <w:p>
            <w:pPr>
              <w:topLinePunct/>
              <w:jc w:val="center"/>
              <w:rPr>
                <w:bCs/>
                <w:color w:val="000000"/>
                <w:szCs w:val="21"/>
              </w:rPr>
            </w:pPr>
            <w:r>
              <w:rPr>
                <w:bCs/>
                <w:color w:val="000000"/>
                <w:szCs w:val="21"/>
              </w:rPr>
              <w:t>设置顶棚，三周设置围挡，铲车翻堆机1台，喷洒除臭剂</w:t>
            </w:r>
          </w:p>
        </w:tc>
        <w:tc>
          <w:tcPr>
            <w:tcW w:w="1466" w:type="dxa"/>
            <w:vMerge w:val="continue"/>
            <w:vAlign w:val="center"/>
          </w:tcPr>
          <w:p>
            <w:pPr>
              <w:topLinePunct/>
              <w:jc w:val="center"/>
              <w:rPr>
                <w:bCs/>
                <w:color w:val="000000"/>
                <w:szCs w:val="21"/>
              </w:rPr>
            </w:pPr>
          </w:p>
        </w:tc>
        <w:tc>
          <w:tcPr>
            <w:tcW w:w="2745" w:type="dxa"/>
            <w:gridSpan w:val="2"/>
            <w:vAlign w:val="center"/>
          </w:tcPr>
          <w:p>
            <w:pPr>
              <w:tabs>
                <w:tab w:val="right" w:leader="dot" w:pos="8647"/>
              </w:tabs>
              <w:topLinePunct/>
              <w:adjustRightInd w:val="0"/>
              <w:snapToGrid w:val="0"/>
              <w:ind w:firstLine="105" w:firstLineChars="50"/>
              <w:jc w:val="center"/>
              <w:rPr>
                <w:bCs/>
                <w:color w:val="000000"/>
                <w:szCs w:val="21"/>
              </w:rPr>
            </w:pPr>
            <w:r>
              <w:rPr>
                <w:bCs/>
                <w:color w:val="000000"/>
                <w:szCs w:val="21"/>
              </w:rPr>
              <w:t>设置顶棚，三周设置围挡，，铲车翻堆机1台，喷洒除臭剂，除臭效率50%</w:t>
            </w:r>
          </w:p>
        </w:tc>
        <w:tc>
          <w:tcPr>
            <w:tcW w:w="352" w:type="dxa"/>
            <w:vMerge w:val="continue"/>
            <w:vAlign w:val="center"/>
          </w:tcPr>
          <w:p>
            <w:pPr>
              <w:tabs>
                <w:tab w:val="right" w:leader="dot" w:pos="8647"/>
              </w:tabs>
              <w:topLinePunct/>
              <w:adjustRightInd w:val="0"/>
              <w:snapToGrid w:val="0"/>
              <w:ind w:firstLine="105" w:firstLineChars="50"/>
              <w:jc w:val="center"/>
              <w:rPr>
                <w:bCs/>
                <w:color w:val="000000"/>
                <w:szCs w:val="21"/>
              </w:rPr>
            </w:pPr>
          </w:p>
        </w:tc>
        <w:tc>
          <w:tcPr>
            <w:tcW w:w="1058" w:type="dxa"/>
            <w:vAlign w:val="center"/>
          </w:tcPr>
          <w:p>
            <w:pPr>
              <w:tabs>
                <w:tab w:val="right" w:leader="dot" w:pos="8647"/>
              </w:tabs>
              <w:topLinePunct/>
              <w:adjustRightInd w:val="0"/>
              <w:snapToGrid w:val="0"/>
              <w:ind w:firstLine="105" w:firstLineChars="50"/>
              <w:jc w:val="center"/>
              <w:rPr>
                <w:bCs/>
                <w:color w:val="000000"/>
                <w:szCs w:val="21"/>
              </w:rPr>
            </w:pPr>
            <w:r>
              <w:rPr>
                <w:bCs/>
                <w:color w:val="000000"/>
                <w:szCs w:val="21"/>
              </w:rPr>
              <w:t>除臭剂的喷洒频率为：每次翻堆时喷洒</w:t>
            </w:r>
          </w:p>
        </w:tc>
        <w:tc>
          <w:tcPr>
            <w:tcW w:w="1875" w:type="dxa"/>
            <w:vMerge w:val="continue"/>
            <w:vAlign w:val="center"/>
          </w:tcPr>
          <w:p>
            <w:pPr>
              <w:topLinePunct/>
              <w:jc w:val="center"/>
              <w:rPr>
                <w:bCs/>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continue"/>
            <w:vAlign w:val="center"/>
          </w:tcPr>
          <w:p>
            <w:pPr>
              <w:topLinePunct/>
              <w:jc w:val="center"/>
              <w:rPr>
                <w:bCs/>
                <w:color w:val="000000"/>
                <w:szCs w:val="21"/>
              </w:rPr>
            </w:pPr>
          </w:p>
        </w:tc>
        <w:tc>
          <w:tcPr>
            <w:tcW w:w="899" w:type="dxa"/>
            <w:gridSpan w:val="2"/>
            <w:vAlign w:val="center"/>
          </w:tcPr>
          <w:p>
            <w:pPr>
              <w:topLinePunct/>
              <w:jc w:val="center"/>
              <w:rPr>
                <w:bCs/>
                <w:color w:val="000000"/>
                <w:szCs w:val="21"/>
              </w:rPr>
            </w:pPr>
            <w:r>
              <w:rPr>
                <w:bCs/>
                <w:color w:val="000000"/>
                <w:szCs w:val="21"/>
              </w:rPr>
              <w:t>沼液储存池</w:t>
            </w:r>
          </w:p>
        </w:tc>
        <w:tc>
          <w:tcPr>
            <w:tcW w:w="2424" w:type="dxa"/>
            <w:gridSpan w:val="3"/>
            <w:vMerge w:val="continue"/>
            <w:vAlign w:val="center"/>
          </w:tcPr>
          <w:p>
            <w:pPr>
              <w:topLinePunct/>
              <w:jc w:val="center"/>
              <w:rPr>
                <w:bCs/>
                <w:color w:val="000000"/>
                <w:szCs w:val="21"/>
              </w:rPr>
            </w:pPr>
          </w:p>
        </w:tc>
        <w:tc>
          <w:tcPr>
            <w:tcW w:w="2070" w:type="dxa"/>
            <w:vAlign w:val="center"/>
          </w:tcPr>
          <w:p>
            <w:pPr>
              <w:topLinePunct/>
              <w:jc w:val="center"/>
              <w:rPr>
                <w:bCs/>
                <w:color w:val="000000"/>
                <w:szCs w:val="21"/>
              </w:rPr>
            </w:pPr>
            <w:r>
              <w:rPr>
                <w:bCs/>
                <w:color w:val="000000"/>
                <w:szCs w:val="21"/>
              </w:rPr>
              <w:t>周边绿化</w:t>
            </w:r>
          </w:p>
        </w:tc>
        <w:tc>
          <w:tcPr>
            <w:tcW w:w="1466" w:type="dxa"/>
            <w:vMerge w:val="continue"/>
            <w:vAlign w:val="center"/>
          </w:tcPr>
          <w:p>
            <w:pPr>
              <w:topLinePunct/>
              <w:jc w:val="center"/>
              <w:rPr>
                <w:bCs/>
                <w:color w:val="000000"/>
                <w:szCs w:val="21"/>
              </w:rPr>
            </w:pPr>
          </w:p>
        </w:tc>
        <w:tc>
          <w:tcPr>
            <w:tcW w:w="4155" w:type="dxa"/>
            <w:gridSpan w:val="4"/>
            <w:vAlign w:val="center"/>
          </w:tcPr>
          <w:p>
            <w:pPr>
              <w:tabs>
                <w:tab w:val="right" w:leader="dot" w:pos="8647"/>
              </w:tabs>
              <w:topLinePunct/>
              <w:adjustRightInd w:val="0"/>
              <w:snapToGrid w:val="0"/>
              <w:spacing w:line="300" w:lineRule="exact"/>
              <w:jc w:val="center"/>
              <w:rPr>
                <w:bCs/>
                <w:color w:val="000000"/>
                <w:szCs w:val="21"/>
              </w:rPr>
            </w:pPr>
            <w:r>
              <w:rPr>
                <w:bCs/>
                <w:color w:val="000000"/>
                <w:szCs w:val="21"/>
              </w:rPr>
              <w:t>草地、灌木、乔木等间隔立体绿化</w:t>
            </w:r>
          </w:p>
        </w:tc>
        <w:tc>
          <w:tcPr>
            <w:tcW w:w="1875" w:type="dxa"/>
            <w:vMerge w:val="continue"/>
            <w:vAlign w:val="center"/>
          </w:tcPr>
          <w:p>
            <w:pPr>
              <w:topLinePunct/>
              <w:jc w:val="center"/>
              <w:rPr>
                <w:bCs/>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continue"/>
            <w:vAlign w:val="center"/>
          </w:tcPr>
          <w:p>
            <w:pPr>
              <w:topLinePunct/>
              <w:jc w:val="center"/>
              <w:rPr>
                <w:bCs/>
                <w:color w:val="000000"/>
                <w:szCs w:val="21"/>
              </w:rPr>
            </w:pPr>
          </w:p>
        </w:tc>
        <w:tc>
          <w:tcPr>
            <w:tcW w:w="899" w:type="dxa"/>
            <w:gridSpan w:val="2"/>
            <w:vAlign w:val="center"/>
          </w:tcPr>
          <w:p>
            <w:pPr>
              <w:topLinePunct/>
              <w:jc w:val="center"/>
              <w:rPr>
                <w:bCs/>
                <w:color w:val="000000"/>
                <w:szCs w:val="21"/>
              </w:rPr>
            </w:pPr>
            <w:r>
              <w:rPr>
                <w:bCs/>
                <w:color w:val="000000"/>
                <w:szCs w:val="21"/>
              </w:rPr>
              <w:t>沼气锅炉</w:t>
            </w:r>
          </w:p>
        </w:tc>
        <w:tc>
          <w:tcPr>
            <w:tcW w:w="1126" w:type="dxa"/>
            <w:gridSpan w:val="2"/>
            <w:vAlign w:val="center"/>
          </w:tcPr>
          <w:p>
            <w:pPr>
              <w:topLinePunct/>
              <w:jc w:val="center"/>
              <w:rPr>
                <w:bCs/>
                <w:color w:val="000000"/>
                <w:szCs w:val="21"/>
              </w:rPr>
            </w:pPr>
            <w:r>
              <w:rPr>
                <w:bCs/>
                <w:color w:val="000000"/>
                <w:szCs w:val="21"/>
              </w:rPr>
              <w:t>SO</w:t>
            </w:r>
            <w:r>
              <w:rPr>
                <w:bCs/>
                <w:color w:val="000000"/>
                <w:szCs w:val="21"/>
                <w:vertAlign w:val="subscript"/>
              </w:rPr>
              <w:t>2</w:t>
            </w:r>
            <w:r>
              <w:rPr>
                <w:bCs/>
                <w:color w:val="000000"/>
                <w:szCs w:val="21"/>
              </w:rPr>
              <w:t xml:space="preserve"> :</w:t>
            </w:r>
          </w:p>
          <w:p>
            <w:pPr>
              <w:topLinePunct/>
              <w:jc w:val="center"/>
              <w:rPr>
                <w:bCs/>
                <w:color w:val="000000"/>
                <w:szCs w:val="21"/>
              </w:rPr>
            </w:pPr>
            <w:r>
              <w:rPr>
                <w:bCs/>
                <w:color w:val="000000"/>
                <w:szCs w:val="21"/>
              </w:rPr>
              <w:t>0.0028t/a</w:t>
            </w:r>
          </w:p>
          <w:p>
            <w:pPr>
              <w:topLinePunct/>
              <w:jc w:val="center"/>
              <w:rPr>
                <w:bCs/>
                <w:color w:val="000000"/>
                <w:szCs w:val="21"/>
              </w:rPr>
            </w:pPr>
            <w:r>
              <w:rPr>
                <w:bCs/>
                <w:color w:val="000000"/>
                <w:szCs w:val="21"/>
              </w:rPr>
              <w:t>NO</w:t>
            </w:r>
            <w:r>
              <w:rPr>
                <w:bCs/>
                <w:color w:val="000000"/>
                <w:szCs w:val="21"/>
                <w:vertAlign w:val="subscript"/>
              </w:rPr>
              <w:t>X</w:t>
            </w:r>
            <w:r>
              <w:rPr>
                <w:bCs/>
                <w:color w:val="000000"/>
                <w:szCs w:val="21"/>
              </w:rPr>
              <w:t>：</w:t>
            </w:r>
          </w:p>
          <w:p>
            <w:pPr>
              <w:topLinePunct/>
              <w:jc w:val="center"/>
              <w:rPr>
                <w:bCs/>
                <w:color w:val="000000"/>
                <w:szCs w:val="21"/>
              </w:rPr>
            </w:pPr>
            <w:r>
              <w:rPr>
                <w:bCs/>
                <w:color w:val="000000"/>
                <w:szCs w:val="21"/>
              </w:rPr>
              <w:t>0.067 t/a</w:t>
            </w:r>
          </w:p>
        </w:tc>
        <w:tc>
          <w:tcPr>
            <w:tcW w:w="1298" w:type="dxa"/>
            <w:vAlign w:val="center"/>
          </w:tcPr>
          <w:p>
            <w:pPr>
              <w:topLinePunct/>
              <w:jc w:val="center"/>
              <w:rPr>
                <w:bCs/>
                <w:color w:val="000000"/>
                <w:szCs w:val="21"/>
              </w:rPr>
            </w:pPr>
            <w:r>
              <w:rPr>
                <w:bCs/>
                <w:color w:val="000000"/>
                <w:szCs w:val="21"/>
              </w:rPr>
              <w:t>SO</w:t>
            </w:r>
            <w:r>
              <w:rPr>
                <w:bCs/>
                <w:color w:val="000000"/>
                <w:szCs w:val="21"/>
                <w:vertAlign w:val="subscript"/>
              </w:rPr>
              <w:t>2</w:t>
            </w:r>
            <w:r>
              <w:rPr>
                <w:bCs/>
                <w:color w:val="000000"/>
                <w:szCs w:val="21"/>
              </w:rPr>
              <w:t xml:space="preserve"> :</w:t>
            </w:r>
          </w:p>
          <w:p>
            <w:pPr>
              <w:topLinePunct/>
              <w:jc w:val="center"/>
              <w:rPr>
                <w:bCs/>
                <w:color w:val="000000"/>
                <w:szCs w:val="21"/>
              </w:rPr>
            </w:pPr>
            <w:r>
              <w:rPr>
                <w:bCs/>
                <w:color w:val="000000"/>
                <w:szCs w:val="21"/>
              </w:rPr>
              <w:t>2.21mg/m</w:t>
            </w:r>
            <w:r>
              <w:rPr>
                <w:bCs/>
                <w:color w:val="000000"/>
                <w:szCs w:val="21"/>
                <w:vertAlign w:val="superscript"/>
              </w:rPr>
              <w:t>3</w:t>
            </w:r>
          </w:p>
          <w:p>
            <w:pPr>
              <w:topLinePunct/>
              <w:jc w:val="center"/>
              <w:rPr>
                <w:bCs/>
                <w:color w:val="000000"/>
                <w:szCs w:val="21"/>
              </w:rPr>
            </w:pPr>
            <w:r>
              <w:rPr>
                <w:bCs/>
                <w:color w:val="000000"/>
                <w:szCs w:val="21"/>
              </w:rPr>
              <w:t>NO</w:t>
            </w:r>
            <w:r>
              <w:rPr>
                <w:bCs/>
                <w:color w:val="000000"/>
                <w:szCs w:val="21"/>
                <w:vertAlign w:val="subscript"/>
              </w:rPr>
              <w:t>X</w:t>
            </w:r>
            <w:r>
              <w:rPr>
                <w:bCs/>
                <w:color w:val="000000"/>
                <w:szCs w:val="21"/>
              </w:rPr>
              <w:t>：15.78mg/m</w:t>
            </w:r>
            <w:r>
              <w:rPr>
                <w:bCs/>
                <w:color w:val="000000"/>
                <w:szCs w:val="21"/>
                <w:vertAlign w:val="superscript"/>
              </w:rPr>
              <w:t>3</w:t>
            </w:r>
          </w:p>
        </w:tc>
        <w:tc>
          <w:tcPr>
            <w:tcW w:w="2070" w:type="dxa"/>
            <w:vAlign w:val="center"/>
          </w:tcPr>
          <w:p>
            <w:pPr>
              <w:topLinePunct/>
              <w:jc w:val="center"/>
              <w:rPr>
                <w:bCs/>
                <w:color w:val="000000"/>
                <w:szCs w:val="21"/>
              </w:rPr>
            </w:pPr>
            <w:r>
              <w:rPr>
                <w:bCs/>
                <w:color w:val="000000"/>
                <w:sz w:val="24"/>
              </w:rPr>
              <w:t>高效低氮燃烧器+烟气二次燃烧技术</w:t>
            </w:r>
            <w:r>
              <w:rPr>
                <w:bCs/>
                <w:color w:val="000000"/>
                <w:szCs w:val="21"/>
              </w:rPr>
              <w:t>+8m高排气筒排放</w:t>
            </w:r>
          </w:p>
        </w:tc>
        <w:tc>
          <w:tcPr>
            <w:tcW w:w="1466" w:type="dxa"/>
            <w:vAlign w:val="center"/>
          </w:tcPr>
          <w:p>
            <w:pPr>
              <w:topLinePunct/>
              <w:jc w:val="center"/>
              <w:rPr>
                <w:bCs/>
                <w:color w:val="000000"/>
                <w:szCs w:val="21"/>
              </w:rPr>
            </w:pPr>
            <w:r>
              <w:rPr>
                <w:bCs/>
                <w:color w:val="000000"/>
                <w:szCs w:val="21"/>
              </w:rPr>
              <w:t>SO</w:t>
            </w:r>
            <w:r>
              <w:rPr>
                <w:bCs/>
                <w:color w:val="000000"/>
                <w:szCs w:val="21"/>
                <w:vertAlign w:val="subscript"/>
              </w:rPr>
              <w:t>2</w:t>
            </w:r>
            <w:r>
              <w:rPr>
                <w:bCs/>
                <w:color w:val="000000"/>
                <w:szCs w:val="21"/>
              </w:rPr>
              <w:t xml:space="preserve"> :</w:t>
            </w:r>
          </w:p>
          <w:p>
            <w:pPr>
              <w:topLinePunct/>
              <w:jc w:val="center"/>
              <w:rPr>
                <w:bCs/>
                <w:color w:val="000000"/>
                <w:szCs w:val="21"/>
              </w:rPr>
            </w:pPr>
            <w:r>
              <w:rPr>
                <w:bCs/>
                <w:color w:val="000000"/>
                <w:szCs w:val="21"/>
              </w:rPr>
              <w:t>2.21mg/m</w:t>
            </w:r>
            <w:r>
              <w:rPr>
                <w:bCs/>
                <w:color w:val="000000"/>
                <w:szCs w:val="21"/>
                <w:vertAlign w:val="superscript"/>
              </w:rPr>
              <w:t>3</w:t>
            </w:r>
          </w:p>
          <w:p>
            <w:pPr>
              <w:topLinePunct/>
              <w:jc w:val="center"/>
              <w:rPr>
                <w:bCs/>
                <w:color w:val="000000"/>
                <w:szCs w:val="21"/>
              </w:rPr>
            </w:pPr>
            <w:r>
              <w:rPr>
                <w:bCs/>
                <w:color w:val="000000"/>
                <w:szCs w:val="21"/>
              </w:rPr>
              <w:t>SO</w:t>
            </w:r>
            <w:r>
              <w:rPr>
                <w:bCs/>
                <w:color w:val="000000"/>
                <w:szCs w:val="21"/>
                <w:vertAlign w:val="subscript"/>
              </w:rPr>
              <w:t>2</w:t>
            </w:r>
            <w:r>
              <w:rPr>
                <w:bCs/>
                <w:color w:val="000000"/>
                <w:szCs w:val="21"/>
              </w:rPr>
              <w:t xml:space="preserve"> :0.0018t/a</w:t>
            </w:r>
          </w:p>
          <w:p>
            <w:pPr>
              <w:topLinePunct/>
              <w:jc w:val="center"/>
              <w:rPr>
                <w:bCs/>
                <w:color w:val="000000"/>
                <w:szCs w:val="21"/>
              </w:rPr>
            </w:pPr>
            <w:r>
              <w:rPr>
                <w:bCs/>
                <w:color w:val="000000"/>
                <w:szCs w:val="21"/>
              </w:rPr>
              <w:t xml:space="preserve"> NO</w:t>
            </w:r>
            <w:r>
              <w:rPr>
                <w:bCs/>
                <w:color w:val="000000"/>
                <w:szCs w:val="21"/>
                <w:vertAlign w:val="subscript"/>
              </w:rPr>
              <w:t>X</w:t>
            </w:r>
            <w:r>
              <w:rPr>
                <w:bCs/>
                <w:color w:val="000000"/>
                <w:szCs w:val="21"/>
              </w:rPr>
              <w:t>：15.78mg/m</w:t>
            </w:r>
            <w:r>
              <w:rPr>
                <w:bCs/>
                <w:color w:val="000000"/>
                <w:szCs w:val="21"/>
                <w:vertAlign w:val="superscript"/>
              </w:rPr>
              <w:t>3</w:t>
            </w:r>
          </w:p>
          <w:p>
            <w:pPr>
              <w:topLinePunct/>
              <w:jc w:val="center"/>
              <w:rPr>
                <w:bCs/>
                <w:color w:val="000000"/>
                <w:szCs w:val="21"/>
              </w:rPr>
            </w:pPr>
            <w:r>
              <w:rPr>
                <w:bCs/>
                <w:color w:val="000000"/>
                <w:szCs w:val="21"/>
              </w:rPr>
              <w:t>NO</w:t>
            </w:r>
            <w:r>
              <w:rPr>
                <w:bCs/>
                <w:color w:val="000000"/>
                <w:szCs w:val="21"/>
                <w:vertAlign w:val="subscript"/>
              </w:rPr>
              <w:t>X</w:t>
            </w:r>
            <w:r>
              <w:rPr>
                <w:bCs/>
                <w:color w:val="000000"/>
                <w:szCs w:val="21"/>
              </w:rPr>
              <w:t>：0.013 t/a</w:t>
            </w:r>
          </w:p>
        </w:tc>
        <w:tc>
          <w:tcPr>
            <w:tcW w:w="4155" w:type="dxa"/>
            <w:gridSpan w:val="4"/>
            <w:vAlign w:val="center"/>
          </w:tcPr>
          <w:p>
            <w:pPr>
              <w:topLinePunct/>
              <w:jc w:val="center"/>
              <w:rPr>
                <w:bCs/>
                <w:color w:val="000000"/>
                <w:szCs w:val="21"/>
              </w:rPr>
            </w:pPr>
            <w:r>
              <w:rPr>
                <w:bCs/>
                <w:color w:val="000000"/>
                <w:szCs w:val="21"/>
              </w:rPr>
              <w:t>1根8m高排气筒排放，排放口规范化，设置排放口标志</w:t>
            </w:r>
          </w:p>
        </w:tc>
        <w:tc>
          <w:tcPr>
            <w:tcW w:w="1875" w:type="dxa"/>
            <w:vAlign w:val="center"/>
          </w:tcPr>
          <w:p>
            <w:pPr>
              <w:topLinePunct/>
              <w:jc w:val="center"/>
              <w:rPr>
                <w:bCs/>
                <w:color w:val="000000"/>
                <w:szCs w:val="21"/>
              </w:rPr>
            </w:pPr>
            <w:r>
              <w:rPr>
                <w:bCs/>
                <w:color w:val="000000"/>
                <w:szCs w:val="21"/>
              </w:rPr>
              <w:t>《河南省2019年度锅炉综合整治方案》相关污染物排放限值要求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continue"/>
            <w:vAlign w:val="center"/>
          </w:tcPr>
          <w:p>
            <w:pPr>
              <w:topLinePunct/>
              <w:jc w:val="center"/>
              <w:rPr>
                <w:bCs/>
                <w:color w:val="000000"/>
                <w:szCs w:val="21"/>
              </w:rPr>
            </w:pPr>
          </w:p>
        </w:tc>
        <w:tc>
          <w:tcPr>
            <w:tcW w:w="899" w:type="dxa"/>
            <w:gridSpan w:val="2"/>
            <w:vAlign w:val="center"/>
          </w:tcPr>
          <w:p>
            <w:pPr>
              <w:topLinePunct/>
              <w:jc w:val="center"/>
              <w:rPr>
                <w:bCs/>
                <w:color w:val="000000"/>
                <w:szCs w:val="21"/>
              </w:rPr>
            </w:pPr>
            <w:r>
              <w:rPr>
                <w:bCs/>
                <w:color w:val="000000"/>
                <w:szCs w:val="21"/>
              </w:rPr>
              <w:t>食堂油烟</w:t>
            </w:r>
          </w:p>
        </w:tc>
        <w:tc>
          <w:tcPr>
            <w:tcW w:w="1126" w:type="dxa"/>
            <w:gridSpan w:val="2"/>
            <w:vAlign w:val="center"/>
          </w:tcPr>
          <w:p>
            <w:pPr>
              <w:topLinePunct/>
              <w:jc w:val="center"/>
              <w:rPr>
                <w:bCs/>
                <w:color w:val="000000"/>
                <w:szCs w:val="21"/>
              </w:rPr>
            </w:pPr>
            <w:r>
              <w:rPr>
                <w:bCs/>
                <w:color w:val="000000"/>
                <w:szCs w:val="21"/>
              </w:rPr>
              <w:t>0.01</w:t>
            </w:r>
            <w:r>
              <w:rPr>
                <w:rFonts w:hint="eastAsia"/>
                <w:bCs/>
                <w:color w:val="000000"/>
                <w:szCs w:val="21"/>
              </w:rPr>
              <w:t>3</w:t>
            </w:r>
            <w:r>
              <w:rPr>
                <w:bCs/>
                <w:color w:val="000000"/>
                <w:szCs w:val="21"/>
              </w:rPr>
              <w:t>t/a</w:t>
            </w:r>
          </w:p>
        </w:tc>
        <w:tc>
          <w:tcPr>
            <w:tcW w:w="1298" w:type="dxa"/>
            <w:vAlign w:val="center"/>
          </w:tcPr>
          <w:p>
            <w:pPr>
              <w:topLinePunct/>
              <w:jc w:val="center"/>
              <w:rPr>
                <w:bCs/>
                <w:color w:val="000000"/>
                <w:szCs w:val="21"/>
              </w:rPr>
            </w:pPr>
            <w:r>
              <w:rPr>
                <w:rFonts w:hint="eastAsia"/>
                <w:bCs/>
                <w:color w:val="000000"/>
                <w:szCs w:val="21"/>
              </w:rPr>
              <w:t>2.0</w:t>
            </w:r>
            <w:r>
              <w:rPr>
                <w:bCs/>
                <w:color w:val="000000"/>
                <w:szCs w:val="21"/>
              </w:rPr>
              <w:t>mg/m</w:t>
            </w:r>
            <w:r>
              <w:rPr>
                <w:bCs/>
                <w:color w:val="000000"/>
                <w:szCs w:val="21"/>
                <w:vertAlign w:val="superscript"/>
              </w:rPr>
              <w:t>3</w:t>
            </w:r>
          </w:p>
        </w:tc>
        <w:tc>
          <w:tcPr>
            <w:tcW w:w="2070" w:type="dxa"/>
            <w:vAlign w:val="center"/>
          </w:tcPr>
          <w:p>
            <w:pPr>
              <w:topLinePunct/>
              <w:jc w:val="center"/>
              <w:rPr>
                <w:bCs/>
                <w:color w:val="000000"/>
                <w:szCs w:val="21"/>
              </w:rPr>
            </w:pPr>
            <w:r>
              <w:rPr>
                <w:bCs/>
                <w:color w:val="000000"/>
                <w:szCs w:val="21"/>
              </w:rPr>
              <w:t>烟气经过处理效率为</w:t>
            </w:r>
            <w:r>
              <w:rPr>
                <w:rFonts w:hint="eastAsia"/>
                <w:bCs/>
                <w:color w:val="000000"/>
                <w:szCs w:val="21"/>
              </w:rPr>
              <w:t>90</w:t>
            </w:r>
            <w:r>
              <w:rPr>
                <w:bCs/>
                <w:color w:val="000000"/>
                <w:szCs w:val="21"/>
              </w:rPr>
              <w:t>%的油烟净化装置</w:t>
            </w:r>
          </w:p>
        </w:tc>
        <w:tc>
          <w:tcPr>
            <w:tcW w:w="1466" w:type="dxa"/>
            <w:vAlign w:val="center"/>
          </w:tcPr>
          <w:p>
            <w:pPr>
              <w:tabs>
                <w:tab w:val="right" w:leader="dot" w:pos="8647"/>
              </w:tabs>
              <w:topLinePunct/>
              <w:spacing w:line="320" w:lineRule="exact"/>
              <w:jc w:val="center"/>
              <w:rPr>
                <w:bCs/>
                <w:color w:val="000000"/>
                <w:szCs w:val="21"/>
              </w:rPr>
            </w:pPr>
            <w:r>
              <w:rPr>
                <w:bCs/>
                <w:color w:val="000000"/>
                <w:szCs w:val="21"/>
              </w:rPr>
              <w:t>0.001</w:t>
            </w:r>
            <w:r>
              <w:rPr>
                <w:rFonts w:hint="eastAsia"/>
                <w:bCs/>
                <w:color w:val="000000"/>
                <w:szCs w:val="21"/>
              </w:rPr>
              <w:t>3</w:t>
            </w:r>
            <w:r>
              <w:rPr>
                <w:bCs/>
                <w:color w:val="000000"/>
                <w:szCs w:val="21"/>
              </w:rPr>
              <w:t>t/a</w:t>
            </w:r>
          </w:p>
        </w:tc>
        <w:tc>
          <w:tcPr>
            <w:tcW w:w="4155" w:type="dxa"/>
            <w:gridSpan w:val="4"/>
            <w:vAlign w:val="center"/>
          </w:tcPr>
          <w:p>
            <w:pPr>
              <w:topLinePunct/>
              <w:jc w:val="center"/>
              <w:rPr>
                <w:bCs/>
                <w:color w:val="000000"/>
                <w:szCs w:val="21"/>
              </w:rPr>
            </w:pPr>
            <w:r>
              <w:rPr>
                <w:bCs/>
                <w:color w:val="000000"/>
                <w:szCs w:val="21"/>
              </w:rPr>
              <w:t>1套处理效率为90%的油烟净化装置</w:t>
            </w:r>
          </w:p>
        </w:tc>
        <w:tc>
          <w:tcPr>
            <w:tcW w:w="1875" w:type="dxa"/>
            <w:vAlign w:val="center"/>
          </w:tcPr>
          <w:p>
            <w:pPr>
              <w:topLinePunct/>
              <w:jc w:val="center"/>
              <w:rPr>
                <w:bCs/>
                <w:color w:val="000000"/>
                <w:szCs w:val="21"/>
              </w:rPr>
            </w:pPr>
            <w:r>
              <w:rPr>
                <w:bCs/>
                <w:color w:val="000000"/>
                <w:sz w:val="24"/>
              </w:rPr>
              <w:t>《餐饮业油烟污染物排放标准》(DB41/1604—2018)规定限值油烟1.5 mg/m</w:t>
            </w:r>
            <w:r>
              <w:rPr>
                <w:bCs/>
                <w:color w:val="000000"/>
                <w:sz w:val="24"/>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restart"/>
            <w:vAlign w:val="center"/>
          </w:tcPr>
          <w:p>
            <w:pPr>
              <w:topLinePunct/>
              <w:jc w:val="center"/>
              <w:rPr>
                <w:bCs/>
                <w:color w:val="000000"/>
                <w:szCs w:val="21"/>
              </w:rPr>
            </w:pPr>
            <w:r>
              <w:rPr>
                <w:bCs/>
                <w:color w:val="000000"/>
                <w:szCs w:val="21"/>
              </w:rPr>
              <w:t>固废</w:t>
            </w:r>
          </w:p>
        </w:tc>
        <w:tc>
          <w:tcPr>
            <w:tcW w:w="899" w:type="dxa"/>
            <w:gridSpan w:val="2"/>
            <w:vAlign w:val="center"/>
          </w:tcPr>
          <w:p>
            <w:pPr>
              <w:topLinePunct/>
              <w:jc w:val="center"/>
              <w:rPr>
                <w:bCs/>
                <w:color w:val="000000"/>
                <w:szCs w:val="21"/>
              </w:rPr>
            </w:pPr>
            <w:r>
              <w:rPr>
                <w:bCs/>
                <w:color w:val="000000"/>
                <w:szCs w:val="21"/>
              </w:rPr>
              <w:t>猪粪</w:t>
            </w:r>
          </w:p>
        </w:tc>
        <w:tc>
          <w:tcPr>
            <w:tcW w:w="2424" w:type="dxa"/>
            <w:gridSpan w:val="3"/>
            <w:vAlign w:val="center"/>
          </w:tcPr>
          <w:p>
            <w:pPr>
              <w:jc w:val="center"/>
              <w:rPr>
                <w:bCs/>
                <w:szCs w:val="21"/>
              </w:rPr>
            </w:pPr>
            <w:r>
              <w:rPr>
                <w:rFonts w:hint="eastAsia"/>
                <w:bCs/>
                <w:color w:val="000000"/>
                <w:szCs w:val="21"/>
              </w:rPr>
              <w:t>4163.09</w:t>
            </w:r>
            <w:r>
              <w:rPr>
                <w:bCs/>
                <w:color w:val="000000"/>
                <w:szCs w:val="21"/>
              </w:rPr>
              <w:t xml:space="preserve"> t/a</w:t>
            </w:r>
          </w:p>
        </w:tc>
        <w:tc>
          <w:tcPr>
            <w:tcW w:w="2070" w:type="dxa"/>
            <w:vAlign w:val="center"/>
          </w:tcPr>
          <w:p>
            <w:pPr>
              <w:topLinePunct/>
              <w:jc w:val="center"/>
              <w:rPr>
                <w:bCs/>
                <w:color w:val="000000"/>
                <w:szCs w:val="21"/>
              </w:rPr>
            </w:pPr>
            <w:r>
              <w:rPr>
                <w:bCs/>
                <w:color w:val="000000"/>
                <w:kern w:val="0"/>
                <w:szCs w:val="21"/>
              </w:rPr>
              <w:t>粪便送至固粪处置区处理</w:t>
            </w:r>
          </w:p>
        </w:tc>
        <w:tc>
          <w:tcPr>
            <w:tcW w:w="1466" w:type="dxa"/>
            <w:vAlign w:val="center"/>
          </w:tcPr>
          <w:p>
            <w:pPr>
              <w:topLinePunct/>
              <w:jc w:val="center"/>
              <w:rPr>
                <w:bCs/>
                <w:color w:val="000000"/>
                <w:szCs w:val="21"/>
              </w:rPr>
            </w:pPr>
            <w:r>
              <w:rPr>
                <w:bCs/>
                <w:color w:val="000000"/>
                <w:szCs w:val="21"/>
              </w:rPr>
              <w:t>/</w:t>
            </w:r>
          </w:p>
        </w:tc>
        <w:tc>
          <w:tcPr>
            <w:tcW w:w="4155" w:type="dxa"/>
            <w:gridSpan w:val="4"/>
            <w:vMerge w:val="restart"/>
            <w:vAlign w:val="center"/>
          </w:tcPr>
          <w:p>
            <w:pPr>
              <w:topLinePunct/>
              <w:jc w:val="center"/>
              <w:rPr>
                <w:bCs/>
                <w:color w:val="000000"/>
                <w:szCs w:val="21"/>
              </w:rPr>
            </w:pPr>
            <w:r>
              <w:rPr>
                <w:bCs/>
                <w:color w:val="000000"/>
                <w:szCs w:val="21"/>
              </w:rPr>
              <w:t>新建</w:t>
            </w:r>
            <w:r>
              <w:rPr>
                <w:bCs/>
                <w:color w:val="000000"/>
                <w:kern w:val="0"/>
                <w:szCs w:val="21"/>
              </w:rPr>
              <w:t>固粪处置区</w:t>
            </w:r>
            <w:r>
              <w:rPr>
                <w:bCs/>
                <w:color w:val="000000"/>
                <w:szCs w:val="21"/>
              </w:rPr>
              <w:t>，包括</w:t>
            </w:r>
            <w:r>
              <w:rPr>
                <w:rFonts w:hint="eastAsia"/>
                <w:bCs/>
                <w:color w:val="000000"/>
                <w:szCs w:val="21"/>
              </w:rPr>
              <w:t>728</w:t>
            </w:r>
            <w:r>
              <w:rPr>
                <w:bCs/>
                <w:color w:val="000000"/>
                <w:szCs w:val="21"/>
              </w:rPr>
              <w:t>m</w:t>
            </w:r>
            <w:r>
              <w:rPr>
                <w:bCs/>
                <w:color w:val="000000"/>
                <w:szCs w:val="21"/>
                <w:vertAlign w:val="superscript"/>
              </w:rPr>
              <w:t>2</w:t>
            </w:r>
            <w:r>
              <w:rPr>
                <w:bCs/>
                <w:color w:val="000000"/>
                <w:szCs w:val="21"/>
              </w:rPr>
              <w:t>固粪处置区。</w:t>
            </w:r>
          </w:p>
        </w:tc>
        <w:tc>
          <w:tcPr>
            <w:tcW w:w="1875" w:type="dxa"/>
            <w:vMerge w:val="restart"/>
            <w:vAlign w:val="center"/>
          </w:tcPr>
          <w:p>
            <w:pPr>
              <w:topLinePunct/>
              <w:jc w:val="center"/>
              <w:rPr>
                <w:bCs/>
                <w:color w:val="000000"/>
                <w:szCs w:val="21"/>
              </w:rPr>
            </w:pPr>
            <w:r>
              <w:rPr>
                <w:bCs/>
                <w:color w:val="000000"/>
                <w:szCs w:val="21"/>
              </w:rPr>
              <w:t>综合利用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continue"/>
            <w:vAlign w:val="center"/>
          </w:tcPr>
          <w:p>
            <w:pPr>
              <w:topLinePunct/>
              <w:jc w:val="center"/>
              <w:rPr>
                <w:bCs/>
                <w:color w:val="000000"/>
                <w:szCs w:val="21"/>
              </w:rPr>
            </w:pPr>
          </w:p>
        </w:tc>
        <w:tc>
          <w:tcPr>
            <w:tcW w:w="899" w:type="dxa"/>
            <w:gridSpan w:val="2"/>
            <w:vAlign w:val="center"/>
          </w:tcPr>
          <w:p>
            <w:pPr>
              <w:topLinePunct/>
              <w:jc w:val="center"/>
              <w:rPr>
                <w:bCs/>
                <w:color w:val="000000"/>
                <w:szCs w:val="21"/>
              </w:rPr>
            </w:pPr>
            <w:r>
              <w:rPr>
                <w:bCs/>
                <w:color w:val="000000"/>
                <w:szCs w:val="21"/>
              </w:rPr>
              <w:t>沼渣</w:t>
            </w:r>
          </w:p>
        </w:tc>
        <w:tc>
          <w:tcPr>
            <w:tcW w:w="2424" w:type="dxa"/>
            <w:gridSpan w:val="3"/>
            <w:vAlign w:val="center"/>
          </w:tcPr>
          <w:p>
            <w:pPr>
              <w:jc w:val="center"/>
              <w:rPr>
                <w:bCs/>
                <w:szCs w:val="21"/>
              </w:rPr>
            </w:pPr>
            <w:r>
              <w:rPr>
                <w:rFonts w:hint="eastAsia"/>
                <w:bCs/>
                <w:szCs w:val="21"/>
              </w:rPr>
              <w:t>1095</w:t>
            </w:r>
            <w:r>
              <w:rPr>
                <w:bCs/>
                <w:color w:val="000000"/>
                <w:szCs w:val="21"/>
              </w:rPr>
              <w:t xml:space="preserve"> t/a</w:t>
            </w:r>
          </w:p>
        </w:tc>
        <w:tc>
          <w:tcPr>
            <w:tcW w:w="2070" w:type="dxa"/>
            <w:vAlign w:val="center"/>
          </w:tcPr>
          <w:p>
            <w:pPr>
              <w:topLinePunct/>
              <w:jc w:val="center"/>
              <w:rPr>
                <w:bCs/>
                <w:color w:val="000000"/>
                <w:kern w:val="0"/>
                <w:szCs w:val="21"/>
              </w:rPr>
            </w:pPr>
            <w:r>
              <w:rPr>
                <w:bCs/>
                <w:color w:val="000000"/>
                <w:szCs w:val="21"/>
              </w:rPr>
              <w:t>晾晒后作为基肥外售</w:t>
            </w:r>
          </w:p>
        </w:tc>
        <w:tc>
          <w:tcPr>
            <w:tcW w:w="1466" w:type="dxa"/>
            <w:vAlign w:val="center"/>
          </w:tcPr>
          <w:p>
            <w:pPr>
              <w:topLinePunct/>
              <w:jc w:val="center"/>
              <w:rPr>
                <w:bCs/>
                <w:color w:val="000000"/>
                <w:szCs w:val="21"/>
              </w:rPr>
            </w:pPr>
            <w:r>
              <w:rPr>
                <w:bCs/>
                <w:color w:val="000000"/>
                <w:szCs w:val="21"/>
              </w:rPr>
              <w:t>/</w:t>
            </w:r>
          </w:p>
        </w:tc>
        <w:tc>
          <w:tcPr>
            <w:tcW w:w="4155" w:type="dxa"/>
            <w:gridSpan w:val="4"/>
            <w:vMerge w:val="continue"/>
            <w:vAlign w:val="center"/>
          </w:tcPr>
          <w:p>
            <w:pPr>
              <w:topLinePunct/>
              <w:jc w:val="center"/>
              <w:rPr>
                <w:bCs/>
                <w:color w:val="000000"/>
                <w:szCs w:val="21"/>
              </w:rPr>
            </w:pPr>
          </w:p>
        </w:tc>
        <w:tc>
          <w:tcPr>
            <w:tcW w:w="1875" w:type="dxa"/>
            <w:vMerge w:val="continue"/>
            <w:vAlign w:val="center"/>
          </w:tcPr>
          <w:p>
            <w:pPr>
              <w:topLinePunct/>
              <w:jc w:val="center"/>
              <w:rPr>
                <w:bCs/>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continue"/>
            <w:vAlign w:val="center"/>
          </w:tcPr>
          <w:p>
            <w:pPr>
              <w:topLinePunct/>
              <w:jc w:val="center"/>
              <w:rPr>
                <w:bCs/>
                <w:color w:val="000000"/>
                <w:szCs w:val="21"/>
              </w:rPr>
            </w:pPr>
          </w:p>
        </w:tc>
        <w:tc>
          <w:tcPr>
            <w:tcW w:w="899" w:type="dxa"/>
            <w:gridSpan w:val="2"/>
            <w:vAlign w:val="center"/>
          </w:tcPr>
          <w:p>
            <w:pPr>
              <w:topLinePunct/>
              <w:jc w:val="center"/>
              <w:rPr>
                <w:bCs/>
                <w:color w:val="000000"/>
                <w:szCs w:val="21"/>
              </w:rPr>
            </w:pPr>
            <w:r>
              <w:rPr>
                <w:bCs/>
                <w:color w:val="000000"/>
                <w:szCs w:val="21"/>
              </w:rPr>
              <w:t>废脱硫剂</w:t>
            </w:r>
          </w:p>
        </w:tc>
        <w:tc>
          <w:tcPr>
            <w:tcW w:w="2424" w:type="dxa"/>
            <w:gridSpan w:val="3"/>
            <w:vAlign w:val="center"/>
          </w:tcPr>
          <w:p>
            <w:pPr>
              <w:jc w:val="center"/>
              <w:rPr>
                <w:bCs/>
                <w:szCs w:val="21"/>
              </w:rPr>
            </w:pPr>
            <w:r>
              <w:rPr>
                <w:bCs/>
                <w:szCs w:val="21"/>
              </w:rPr>
              <w:t>0.5</w:t>
            </w:r>
            <w:r>
              <w:rPr>
                <w:bCs/>
                <w:color w:val="000000"/>
                <w:szCs w:val="21"/>
              </w:rPr>
              <w:t xml:space="preserve"> t/a</w:t>
            </w:r>
          </w:p>
        </w:tc>
        <w:tc>
          <w:tcPr>
            <w:tcW w:w="2070" w:type="dxa"/>
            <w:vAlign w:val="center"/>
          </w:tcPr>
          <w:p>
            <w:pPr>
              <w:topLinePunct/>
              <w:jc w:val="center"/>
              <w:rPr>
                <w:bCs/>
                <w:color w:val="000000"/>
                <w:szCs w:val="21"/>
              </w:rPr>
            </w:pPr>
            <w:r>
              <w:rPr>
                <w:bCs/>
                <w:color w:val="000000"/>
                <w:szCs w:val="21"/>
              </w:rPr>
              <w:t>在场区暂存后定期交由厂家回收</w:t>
            </w:r>
          </w:p>
        </w:tc>
        <w:tc>
          <w:tcPr>
            <w:tcW w:w="1466" w:type="dxa"/>
            <w:vAlign w:val="center"/>
          </w:tcPr>
          <w:p>
            <w:pPr>
              <w:topLinePunct/>
              <w:jc w:val="center"/>
              <w:rPr>
                <w:bCs/>
                <w:color w:val="000000"/>
                <w:szCs w:val="21"/>
              </w:rPr>
            </w:pPr>
            <w:r>
              <w:rPr>
                <w:bCs/>
                <w:color w:val="000000"/>
                <w:szCs w:val="21"/>
              </w:rPr>
              <w:t>/</w:t>
            </w:r>
          </w:p>
        </w:tc>
        <w:tc>
          <w:tcPr>
            <w:tcW w:w="4155" w:type="dxa"/>
            <w:gridSpan w:val="4"/>
            <w:vAlign w:val="center"/>
          </w:tcPr>
          <w:p>
            <w:pPr>
              <w:topLinePunct/>
              <w:jc w:val="center"/>
              <w:rPr>
                <w:bCs/>
                <w:color w:val="000000"/>
                <w:szCs w:val="21"/>
              </w:rPr>
            </w:pPr>
            <w:r>
              <w:rPr>
                <w:bCs/>
                <w:color w:val="000000"/>
                <w:szCs w:val="21"/>
              </w:rPr>
              <w:t>废脱硫剂暂存后定期交由厂家回收</w:t>
            </w:r>
          </w:p>
        </w:tc>
        <w:tc>
          <w:tcPr>
            <w:tcW w:w="1875" w:type="dxa"/>
            <w:vMerge w:val="restart"/>
            <w:vAlign w:val="center"/>
          </w:tcPr>
          <w:p>
            <w:pPr>
              <w:topLinePunct/>
              <w:jc w:val="center"/>
              <w:rPr>
                <w:bCs/>
                <w:color w:val="000000"/>
                <w:szCs w:val="21"/>
              </w:rPr>
            </w:pPr>
            <w:r>
              <w:rPr>
                <w:bCs/>
                <w:color w:val="000000"/>
                <w:szCs w:val="21"/>
              </w:rPr>
              <w:t>《一般工业固体废物贮存、污染控制标准》（GB18599-2001)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continue"/>
            <w:vAlign w:val="center"/>
          </w:tcPr>
          <w:p>
            <w:pPr>
              <w:topLinePunct/>
              <w:jc w:val="center"/>
              <w:rPr>
                <w:bCs/>
                <w:color w:val="000000"/>
                <w:szCs w:val="21"/>
              </w:rPr>
            </w:pPr>
          </w:p>
        </w:tc>
        <w:tc>
          <w:tcPr>
            <w:tcW w:w="899" w:type="dxa"/>
            <w:gridSpan w:val="2"/>
            <w:vAlign w:val="center"/>
          </w:tcPr>
          <w:p>
            <w:pPr>
              <w:topLinePunct/>
              <w:jc w:val="center"/>
              <w:rPr>
                <w:bCs/>
                <w:color w:val="000000"/>
                <w:szCs w:val="21"/>
              </w:rPr>
            </w:pPr>
            <w:r>
              <w:rPr>
                <w:bCs/>
                <w:color w:val="000000"/>
                <w:szCs w:val="21"/>
              </w:rPr>
              <w:t>生活垃圾</w:t>
            </w:r>
          </w:p>
        </w:tc>
        <w:tc>
          <w:tcPr>
            <w:tcW w:w="2424" w:type="dxa"/>
            <w:gridSpan w:val="3"/>
            <w:vAlign w:val="center"/>
          </w:tcPr>
          <w:p>
            <w:pPr>
              <w:jc w:val="center"/>
              <w:rPr>
                <w:bCs/>
                <w:szCs w:val="21"/>
              </w:rPr>
            </w:pPr>
            <w:r>
              <w:rPr>
                <w:rFonts w:hint="eastAsia"/>
                <w:bCs/>
                <w:szCs w:val="21"/>
              </w:rPr>
              <w:t>22.36</w:t>
            </w:r>
            <w:r>
              <w:rPr>
                <w:bCs/>
                <w:color w:val="000000"/>
                <w:szCs w:val="21"/>
              </w:rPr>
              <w:t xml:space="preserve"> t/a</w:t>
            </w:r>
          </w:p>
        </w:tc>
        <w:tc>
          <w:tcPr>
            <w:tcW w:w="2070" w:type="dxa"/>
            <w:vAlign w:val="center"/>
          </w:tcPr>
          <w:p>
            <w:pPr>
              <w:topLinePunct/>
              <w:jc w:val="center"/>
              <w:rPr>
                <w:bCs/>
                <w:color w:val="000000"/>
                <w:szCs w:val="21"/>
              </w:rPr>
            </w:pPr>
            <w:r>
              <w:rPr>
                <w:bCs/>
                <w:color w:val="000000"/>
                <w:szCs w:val="21"/>
              </w:rPr>
              <w:t>生活区设置若干垃圾桶</w:t>
            </w:r>
          </w:p>
        </w:tc>
        <w:tc>
          <w:tcPr>
            <w:tcW w:w="1466" w:type="dxa"/>
            <w:vAlign w:val="center"/>
          </w:tcPr>
          <w:p>
            <w:pPr>
              <w:topLinePunct/>
              <w:jc w:val="center"/>
              <w:rPr>
                <w:bCs/>
                <w:color w:val="000000"/>
                <w:szCs w:val="21"/>
              </w:rPr>
            </w:pPr>
            <w:r>
              <w:rPr>
                <w:bCs/>
                <w:color w:val="000000"/>
                <w:szCs w:val="21"/>
              </w:rPr>
              <w:t>/</w:t>
            </w:r>
          </w:p>
        </w:tc>
        <w:tc>
          <w:tcPr>
            <w:tcW w:w="4155" w:type="dxa"/>
            <w:gridSpan w:val="4"/>
            <w:vAlign w:val="center"/>
          </w:tcPr>
          <w:p>
            <w:pPr>
              <w:topLinePunct/>
              <w:jc w:val="center"/>
              <w:rPr>
                <w:bCs/>
                <w:color w:val="000000"/>
                <w:szCs w:val="21"/>
              </w:rPr>
            </w:pPr>
            <w:r>
              <w:rPr>
                <w:bCs/>
                <w:color w:val="000000"/>
                <w:szCs w:val="21"/>
              </w:rPr>
              <w:t>在生活区设置若干垃圾桶，定期由</w:t>
            </w:r>
            <w:r>
              <w:rPr>
                <w:rFonts w:hint="eastAsia"/>
                <w:bCs/>
                <w:color w:val="000000"/>
                <w:szCs w:val="21"/>
              </w:rPr>
              <w:t>东和店</w:t>
            </w:r>
            <w:r>
              <w:rPr>
                <w:bCs/>
                <w:color w:val="000000"/>
                <w:szCs w:val="21"/>
              </w:rPr>
              <w:t>镇环卫部门收运</w:t>
            </w:r>
          </w:p>
        </w:tc>
        <w:tc>
          <w:tcPr>
            <w:tcW w:w="1875" w:type="dxa"/>
            <w:vMerge w:val="continue"/>
            <w:vAlign w:val="center"/>
          </w:tcPr>
          <w:p>
            <w:pPr>
              <w:topLinePunct/>
              <w:jc w:val="center"/>
              <w:rPr>
                <w:bCs/>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continue"/>
            <w:vAlign w:val="center"/>
          </w:tcPr>
          <w:p>
            <w:pPr>
              <w:topLinePunct/>
              <w:jc w:val="center"/>
              <w:rPr>
                <w:bCs/>
                <w:color w:val="000000"/>
                <w:szCs w:val="21"/>
              </w:rPr>
            </w:pPr>
          </w:p>
        </w:tc>
        <w:tc>
          <w:tcPr>
            <w:tcW w:w="899" w:type="dxa"/>
            <w:gridSpan w:val="2"/>
            <w:vAlign w:val="center"/>
          </w:tcPr>
          <w:p>
            <w:pPr>
              <w:topLinePunct/>
              <w:jc w:val="center"/>
              <w:rPr>
                <w:bCs/>
                <w:color w:val="000000"/>
                <w:szCs w:val="21"/>
              </w:rPr>
            </w:pPr>
            <w:r>
              <w:rPr>
                <w:bCs/>
                <w:color w:val="000000"/>
                <w:szCs w:val="21"/>
              </w:rPr>
              <w:t>病死猪尸</w:t>
            </w:r>
          </w:p>
        </w:tc>
        <w:tc>
          <w:tcPr>
            <w:tcW w:w="2424" w:type="dxa"/>
            <w:gridSpan w:val="3"/>
            <w:vAlign w:val="center"/>
          </w:tcPr>
          <w:p>
            <w:pPr>
              <w:adjustRightInd w:val="0"/>
              <w:snapToGrid w:val="0"/>
              <w:spacing w:line="320" w:lineRule="exact"/>
              <w:jc w:val="center"/>
              <w:rPr>
                <w:bCs/>
                <w:szCs w:val="21"/>
              </w:rPr>
            </w:pPr>
            <w:r>
              <w:rPr>
                <w:rFonts w:hint="eastAsia"/>
                <w:bCs/>
                <w:szCs w:val="21"/>
              </w:rPr>
              <w:t>16.67</w:t>
            </w:r>
            <w:r>
              <w:rPr>
                <w:bCs/>
                <w:color w:val="000000"/>
                <w:szCs w:val="21"/>
              </w:rPr>
              <w:t xml:space="preserve"> t/a</w:t>
            </w:r>
          </w:p>
        </w:tc>
        <w:tc>
          <w:tcPr>
            <w:tcW w:w="2070" w:type="dxa"/>
            <w:vAlign w:val="center"/>
          </w:tcPr>
          <w:p>
            <w:pPr>
              <w:topLinePunct/>
              <w:jc w:val="center"/>
              <w:rPr>
                <w:bCs/>
                <w:color w:val="000000"/>
                <w:szCs w:val="21"/>
              </w:rPr>
            </w:pPr>
            <w:r>
              <w:rPr>
                <w:bCs/>
                <w:color w:val="000000"/>
                <w:szCs w:val="21"/>
              </w:rPr>
              <w:t>每天运送至</w:t>
            </w:r>
            <w:r>
              <w:rPr>
                <w:bCs/>
                <w:szCs w:val="21"/>
              </w:rPr>
              <w:t>场区内自建无害化处理中心</w:t>
            </w:r>
            <w:r>
              <w:rPr>
                <w:bCs/>
                <w:color w:val="000000"/>
                <w:szCs w:val="21"/>
              </w:rPr>
              <w:t>处置。</w:t>
            </w:r>
          </w:p>
        </w:tc>
        <w:tc>
          <w:tcPr>
            <w:tcW w:w="1466" w:type="dxa"/>
            <w:vAlign w:val="center"/>
          </w:tcPr>
          <w:p>
            <w:pPr>
              <w:topLinePunct/>
              <w:jc w:val="center"/>
              <w:rPr>
                <w:bCs/>
                <w:color w:val="000000"/>
                <w:szCs w:val="21"/>
              </w:rPr>
            </w:pPr>
            <w:r>
              <w:rPr>
                <w:bCs/>
                <w:color w:val="000000"/>
                <w:szCs w:val="21"/>
              </w:rPr>
              <w:t>/</w:t>
            </w:r>
          </w:p>
        </w:tc>
        <w:tc>
          <w:tcPr>
            <w:tcW w:w="4155" w:type="dxa"/>
            <w:gridSpan w:val="4"/>
            <w:vAlign w:val="center"/>
          </w:tcPr>
          <w:p>
            <w:pPr>
              <w:topLinePunct/>
              <w:jc w:val="center"/>
              <w:rPr>
                <w:bCs/>
                <w:color w:val="000000"/>
                <w:szCs w:val="21"/>
              </w:rPr>
            </w:pPr>
            <w:r>
              <w:rPr>
                <w:bCs/>
                <w:color w:val="000000"/>
                <w:szCs w:val="21"/>
              </w:rPr>
              <w:t>每天运送至</w:t>
            </w:r>
            <w:r>
              <w:rPr>
                <w:bCs/>
                <w:szCs w:val="21"/>
              </w:rPr>
              <w:t>场区内自建无害化处理中心</w:t>
            </w:r>
            <w:r>
              <w:rPr>
                <w:bCs/>
                <w:color w:val="000000"/>
                <w:szCs w:val="21"/>
              </w:rPr>
              <w:t>处置</w:t>
            </w:r>
            <w:bookmarkStart w:id="337" w:name="_GoBack"/>
            <w:bookmarkEnd w:id="337"/>
          </w:p>
        </w:tc>
        <w:tc>
          <w:tcPr>
            <w:tcW w:w="1875" w:type="dxa"/>
            <w:vMerge w:val="restart"/>
            <w:vAlign w:val="center"/>
          </w:tcPr>
          <w:p>
            <w:pPr>
              <w:topLinePunct/>
              <w:jc w:val="center"/>
              <w:rPr>
                <w:bCs/>
                <w:color w:val="000000"/>
                <w:szCs w:val="21"/>
              </w:rPr>
            </w:pPr>
            <w:r>
              <w:rPr>
                <w:bCs/>
                <w:color w:val="000000"/>
                <w:szCs w:val="21"/>
              </w:rPr>
              <w:t>《危险废物贮存污染控制标准》（GB18597-2001）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continue"/>
            <w:vAlign w:val="center"/>
          </w:tcPr>
          <w:p>
            <w:pPr>
              <w:topLinePunct/>
              <w:jc w:val="center"/>
              <w:rPr>
                <w:bCs/>
                <w:color w:val="000000"/>
                <w:szCs w:val="21"/>
              </w:rPr>
            </w:pPr>
          </w:p>
        </w:tc>
        <w:tc>
          <w:tcPr>
            <w:tcW w:w="899" w:type="dxa"/>
            <w:gridSpan w:val="2"/>
            <w:vAlign w:val="center"/>
          </w:tcPr>
          <w:p>
            <w:pPr>
              <w:topLinePunct/>
              <w:jc w:val="center"/>
              <w:rPr>
                <w:bCs/>
                <w:color w:val="000000"/>
                <w:szCs w:val="21"/>
              </w:rPr>
            </w:pPr>
            <w:r>
              <w:rPr>
                <w:bCs/>
                <w:color w:val="000000"/>
                <w:szCs w:val="21"/>
              </w:rPr>
              <w:t>医疗固废</w:t>
            </w:r>
          </w:p>
        </w:tc>
        <w:tc>
          <w:tcPr>
            <w:tcW w:w="2424" w:type="dxa"/>
            <w:gridSpan w:val="3"/>
            <w:vAlign w:val="center"/>
          </w:tcPr>
          <w:p>
            <w:pPr>
              <w:adjustRightInd w:val="0"/>
              <w:snapToGrid w:val="0"/>
              <w:spacing w:line="320" w:lineRule="exact"/>
              <w:jc w:val="center"/>
              <w:rPr>
                <w:bCs/>
                <w:szCs w:val="21"/>
              </w:rPr>
            </w:pPr>
            <w:r>
              <w:rPr>
                <w:bCs/>
                <w:szCs w:val="21"/>
              </w:rPr>
              <w:t>0.625</w:t>
            </w:r>
            <w:r>
              <w:rPr>
                <w:bCs/>
                <w:color w:val="000000"/>
                <w:szCs w:val="21"/>
              </w:rPr>
              <w:t xml:space="preserve"> t/a</w:t>
            </w:r>
          </w:p>
        </w:tc>
        <w:tc>
          <w:tcPr>
            <w:tcW w:w="2070" w:type="dxa"/>
            <w:vAlign w:val="center"/>
          </w:tcPr>
          <w:p>
            <w:pPr>
              <w:topLinePunct/>
              <w:jc w:val="center"/>
              <w:rPr>
                <w:bCs/>
                <w:color w:val="000000"/>
                <w:szCs w:val="21"/>
              </w:rPr>
            </w:pPr>
            <w:r>
              <w:rPr>
                <w:bCs/>
                <w:color w:val="000000"/>
                <w:szCs w:val="21"/>
              </w:rPr>
              <w:t>在危废暂存间暂存后，定期交由</w:t>
            </w:r>
            <w:r>
              <w:rPr>
                <w:bCs/>
                <w:color w:val="000000"/>
                <w:kern w:val="0"/>
                <w:szCs w:val="21"/>
              </w:rPr>
              <w:t>新蔡县中绿环保科技有限公司</w:t>
            </w:r>
            <w:r>
              <w:rPr>
                <w:bCs/>
                <w:color w:val="000000"/>
                <w:szCs w:val="21"/>
              </w:rPr>
              <w:t>处置</w:t>
            </w:r>
          </w:p>
        </w:tc>
        <w:tc>
          <w:tcPr>
            <w:tcW w:w="1466" w:type="dxa"/>
            <w:vAlign w:val="center"/>
          </w:tcPr>
          <w:p>
            <w:pPr>
              <w:topLinePunct/>
              <w:jc w:val="center"/>
              <w:rPr>
                <w:bCs/>
                <w:color w:val="000000"/>
                <w:szCs w:val="21"/>
              </w:rPr>
            </w:pPr>
            <w:r>
              <w:rPr>
                <w:bCs/>
                <w:color w:val="000000"/>
                <w:szCs w:val="21"/>
              </w:rPr>
              <w:t>/</w:t>
            </w:r>
          </w:p>
        </w:tc>
        <w:tc>
          <w:tcPr>
            <w:tcW w:w="4155" w:type="dxa"/>
            <w:gridSpan w:val="4"/>
            <w:vAlign w:val="center"/>
          </w:tcPr>
          <w:p>
            <w:pPr>
              <w:topLinePunct/>
              <w:jc w:val="center"/>
              <w:rPr>
                <w:bCs/>
                <w:color w:val="000000"/>
                <w:szCs w:val="21"/>
              </w:rPr>
            </w:pPr>
            <w:r>
              <w:rPr>
                <w:bCs/>
                <w:color w:val="000000"/>
                <w:szCs w:val="21"/>
              </w:rPr>
              <w:t>1个危废暂存间，6m</w:t>
            </w:r>
            <w:r>
              <w:rPr>
                <w:bCs/>
                <w:color w:val="000000"/>
                <w:szCs w:val="21"/>
                <w:vertAlign w:val="superscript"/>
              </w:rPr>
              <w:t>2</w:t>
            </w:r>
            <w:r>
              <w:rPr>
                <w:bCs/>
                <w:color w:val="000000"/>
                <w:szCs w:val="21"/>
              </w:rPr>
              <w:t>，位于场区西侧，具备“防渗漏、防扬散、防流失”三防措施，在明显处设置危险废物的警示标志</w:t>
            </w:r>
          </w:p>
        </w:tc>
        <w:tc>
          <w:tcPr>
            <w:tcW w:w="1875" w:type="dxa"/>
            <w:vMerge w:val="continue"/>
            <w:vAlign w:val="center"/>
          </w:tcPr>
          <w:p>
            <w:pPr>
              <w:topLinePunct/>
              <w:jc w:val="center"/>
              <w:rPr>
                <w:bCs/>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restart"/>
            <w:vAlign w:val="center"/>
          </w:tcPr>
          <w:p>
            <w:pPr>
              <w:topLinePunct/>
              <w:jc w:val="center"/>
              <w:rPr>
                <w:bCs/>
                <w:color w:val="000000"/>
                <w:szCs w:val="21"/>
              </w:rPr>
            </w:pPr>
            <w:r>
              <w:rPr>
                <w:bCs/>
                <w:color w:val="000000"/>
                <w:szCs w:val="21"/>
              </w:rPr>
              <w:t>噪声</w:t>
            </w:r>
          </w:p>
        </w:tc>
        <w:tc>
          <w:tcPr>
            <w:tcW w:w="899" w:type="dxa"/>
            <w:gridSpan w:val="2"/>
            <w:vAlign w:val="center"/>
          </w:tcPr>
          <w:p>
            <w:pPr>
              <w:topLinePunct/>
              <w:jc w:val="center"/>
              <w:rPr>
                <w:bCs/>
                <w:color w:val="000000"/>
                <w:szCs w:val="21"/>
              </w:rPr>
            </w:pPr>
            <w:r>
              <w:rPr>
                <w:bCs/>
                <w:color w:val="000000"/>
                <w:szCs w:val="21"/>
              </w:rPr>
              <w:t>猪舍、风机</w:t>
            </w:r>
          </w:p>
        </w:tc>
        <w:tc>
          <w:tcPr>
            <w:tcW w:w="2424" w:type="dxa"/>
            <w:gridSpan w:val="3"/>
            <w:vAlign w:val="center"/>
          </w:tcPr>
          <w:p>
            <w:pPr>
              <w:topLinePunct/>
              <w:jc w:val="center"/>
              <w:rPr>
                <w:bCs/>
                <w:color w:val="000000"/>
                <w:szCs w:val="21"/>
              </w:rPr>
            </w:pPr>
            <w:r>
              <w:rPr>
                <w:bCs/>
                <w:color w:val="000000"/>
                <w:szCs w:val="21"/>
              </w:rPr>
              <w:t>70~85dB(A)</w:t>
            </w:r>
          </w:p>
        </w:tc>
        <w:tc>
          <w:tcPr>
            <w:tcW w:w="2070" w:type="dxa"/>
            <w:vAlign w:val="center"/>
          </w:tcPr>
          <w:p>
            <w:pPr>
              <w:topLinePunct/>
              <w:jc w:val="center"/>
              <w:rPr>
                <w:bCs/>
                <w:color w:val="000000"/>
                <w:szCs w:val="21"/>
              </w:rPr>
            </w:pPr>
            <w:r>
              <w:rPr>
                <w:bCs/>
                <w:color w:val="000000"/>
                <w:szCs w:val="21"/>
              </w:rPr>
              <w:t>隔声、消声</w:t>
            </w:r>
          </w:p>
        </w:tc>
        <w:tc>
          <w:tcPr>
            <w:tcW w:w="1466" w:type="dxa"/>
            <w:vAlign w:val="center"/>
          </w:tcPr>
          <w:p>
            <w:pPr>
              <w:topLinePunct/>
              <w:jc w:val="center"/>
              <w:rPr>
                <w:bCs/>
                <w:color w:val="000000"/>
                <w:szCs w:val="21"/>
              </w:rPr>
            </w:pPr>
            <w:r>
              <w:rPr>
                <w:bCs/>
                <w:color w:val="000000"/>
                <w:szCs w:val="21"/>
              </w:rPr>
              <w:t>55~70 dB(A)</w:t>
            </w:r>
          </w:p>
        </w:tc>
        <w:tc>
          <w:tcPr>
            <w:tcW w:w="4155" w:type="dxa"/>
            <w:gridSpan w:val="4"/>
            <w:vMerge w:val="restart"/>
            <w:vAlign w:val="center"/>
          </w:tcPr>
          <w:p>
            <w:pPr>
              <w:widowControl/>
              <w:tabs>
                <w:tab w:val="right" w:leader="dot" w:pos="8647"/>
              </w:tabs>
              <w:topLinePunct/>
              <w:jc w:val="center"/>
              <w:rPr>
                <w:bCs/>
                <w:color w:val="000000"/>
                <w:szCs w:val="21"/>
              </w:rPr>
            </w:pPr>
            <w:r>
              <w:rPr>
                <w:bCs/>
                <w:color w:val="000000"/>
                <w:kern w:val="0"/>
                <w:szCs w:val="21"/>
              </w:rPr>
              <w:t>设备基础</w:t>
            </w:r>
            <w:r>
              <w:rPr>
                <w:bCs/>
                <w:color w:val="000000"/>
                <w:szCs w:val="21"/>
              </w:rPr>
              <w:t>减振</w:t>
            </w:r>
            <w:r>
              <w:rPr>
                <w:bCs/>
                <w:color w:val="000000"/>
                <w:kern w:val="0"/>
                <w:szCs w:val="21"/>
              </w:rPr>
              <w:t>，隔声消声降噪，</w:t>
            </w:r>
            <w:r>
              <w:rPr>
                <w:bCs/>
                <w:color w:val="000000"/>
                <w:szCs w:val="21"/>
              </w:rPr>
              <w:t>草地、灌木、乔木等间隔立体绿化</w:t>
            </w:r>
          </w:p>
        </w:tc>
        <w:tc>
          <w:tcPr>
            <w:tcW w:w="1875" w:type="dxa"/>
            <w:vMerge w:val="restart"/>
            <w:vAlign w:val="center"/>
          </w:tcPr>
          <w:p>
            <w:pPr>
              <w:topLinePunct/>
              <w:jc w:val="center"/>
              <w:rPr>
                <w:bCs/>
                <w:color w:val="000000"/>
                <w:szCs w:val="21"/>
              </w:rPr>
            </w:pPr>
            <w:r>
              <w:rPr>
                <w:bCs/>
                <w:color w:val="000000"/>
                <w:szCs w:val="21"/>
              </w:rPr>
              <w:t>工业企业厂界环境噪声排放标准》（GB12348—2008）2类标准昼间≤60dB（A）、夜间≤50 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continue"/>
            <w:vAlign w:val="center"/>
          </w:tcPr>
          <w:p>
            <w:pPr>
              <w:topLinePunct/>
              <w:jc w:val="center"/>
              <w:rPr>
                <w:bCs/>
                <w:color w:val="000000"/>
                <w:szCs w:val="21"/>
              </w:rPr>
            </w:pPr>
          </w:p>
        </w:tc>
        <w:tc>
          <w:tcPr>
            <w:tcW w:w="899" w:type="dxa"/>
            <w:gridSpan w:val="2"/>
            <w:vAlign w:val="center"/>
          </w:tcPr>
          <w:p>
            <w:pPr>
              <w:topLinePunct/>
              <w:jc w:val="center"/>
              <w:rPr>
                <w:bCs/>
                <w:color w:val="000000"/>
                <w:szCs w:val="21"/>
              </w:rPr>
            </w:pPr>
            <w:r>
              <w:rPr>
                <w:bCs/>
                <w:color w:val="000000"/>
                <w:szCs w:val="21"/>
              </w:rPr>
              <w:t>粪污处理区</w:t>
            </w:r>
          </w:p>
        </w:tc>
        <w:tc>
          <w:tcPr>
            <w:tcW w:w="2424" w:type="dxa"/>
            <w:gridSpan w:val="3"/>
            <w:vAlign w:val="center"/>
          </w:tcPr>
          <w:p>
            <w:pPr>
              <w:topLinePunct/>
              <w:jc w:val="center"/>
              <w:rPr>
                <w:bCs/>
                <w:color w:val="000000"/>
                <w:szCs w:val="21"/>
              </w:rPr>
            </w:pPr>
            <w:r>
              <w:rPr>
                <w:bCs/>
                <w:color w:val="000000"/>
                <w:szCs w:val="21"/>
              </w:rPr>
              <w:t>85 dB(A)</w:t>
            </w:r>
          </w:p>
        </w:tc>
        <w:tc>
          <w:tcPr>
            <w:tcW w:w="2070" w:type="dxa"/>
            <w:vAlign w:val="center"/>
          </w:tcPr>
          <w:p>
            <w:pPr>
              <w:topLinePunct/>
              <w:jc w:val="center"/>
              <w:rPr>
                <w:bCs/>
                <w:color w:val="000000"/>
                <w:szCs w:val="21"/>
              </w:rPr>
            </w:pPr>
            <w:r>
              <w:rPr>
                <w:bCs/>
                <w:color w:val="000000"/>
                <w:szCs w:val="21"/>
              </w:rPr>
              <w:t>隔声、减振</w:t>
            </w:r>
          </w:p>
        </w:tc>
        <w:tc>
          <w:tcPr>
            <w:tcW w:w="1466" w:type="dxa"/>
            <w:vAlign w:val="center"/>
          </w:tcPr>
          <w:p>
            <w:pPr>
              <w:topLinePunct/>
              <w:jc w:val="center"/>
              <w:rPr>
                <w:bCs/>
                <w:color w:val="000000"/>
                <w:szCs w:val="21"/>
              </w:rPr>
            </w:pPr>
            <w:r>
              <w:rPr>
                <w:bCs/>
                <w:color w:val="000000"/>
                <w:szCs w:val="21"/>
              </w:rPr>
              <w:t>65 dB(A)</w:t>
            </w:r>
          </w:p>
        </w:tc>
        <w:tc>
          <w:tcPr>
            <w:tcW w:w="4155" w:type="dxa"/>
            <w:gridSpan w:val="4"/>
            <w:vMerge w:val="continue"/>
            <w:vAlign w:val="center"/>
          </w:tcPr>
          <w:p>
            <w:pPr>
              <w:topLinePunct/>
              <w:jc w:val="center"/>
              <w:rPr>
                <w:bCs/>
                <w:color w:val="000000"/>
                <w:szCs w:val="21"/>
              </w:rPr>
            </w:pPr>
          </w:p>
        </w:tc>
        <w:tc>
          <w:tcPr>
            <w:tcW w:w="1875" w:type="dxa"/>
            <w:vMerge w:val="continue"/>
            <w:vAlign w:val="center"/>
          </w:tcPr>
          <w:p>
            <w:pPr>
              <w:topLinePunct/>
              <w:jc w:val="center"/>
              <w:rPr>
                <w:bCs/>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Align w:val="center"/>
          </w:tcPr>
          <w:p>
            <w:pPr>
              <w:topLinePunct/>
              <w:jc w:val="center"/>
              <w:rPr>
                <w:bCs/>
                <w:color w:val="000000"/>
                <w:szCs w:val="21"/>
              </w:rPr>
            </w:pPr>
            <w:r>
              <w:rPr>
                <w:bCs/>
                <w:color w:val="000000"/>
                <w:szCs w:val="21"/>
              </w:rPr>
              <w:t>风险</w:t>
            </w:r>
          </w:p>
        </w:tc>
        <w:tc>
          <w:tcPr>
            <w:tcW w:w="899" w:type="dxa"/>
            <w:gridSpan w:val="2"/>
            <w:vAlign w:val="center"/>
          </w:tcPr>
          <w:p>
            <w:pPr>
              <w:topLinePunct/>
              <w:jc w:val="center"/>
              <w:rPr>
                <w:bCs/>
                <w:color w:val="000000"/>
                <w:szCs w:val="21"/>
              </w:rPr>
            </w:pPr>
            <w:r>
              <w:rPr>
                <w:bCs/>
                <w:color w:val="000000"/>
                <w:szCs w:val="21"/>
              </w:rPr>
              <w:t>沼气储存、利用</w:t>
            </w:r>
          </w:p>
        </w:tc>
        <w:tc>
          <w:tcPr>
            <w:tcW w:w="2424" w:type="dxa"/>
            <w:gridSpan w:val="3"/>
            <w:vAlign w:val="center"/>
          </w:tcPr>
          <w:p>
            <w:pPr>
              <w:topLinePunct/>
              <w:jc w:val="center"/>
              <w:rPr>
                <w:bCs/>
                <w:color w:val="000000"/>
                <w:szCs w:val="21"/>
              </w:rPr>
            </w:pPr>
            <w:r>
              <w:rPr>
                <w:bCs/>
                <w:color w:val="000000"/>
                <w:szCs w:val="21"/>
              </w:rPr>
              <w:t>/</w:t>
            </w:r>
          </w:p>
        </w:tc>
        <w:tc>
          <w:tcPr>
            <w:tcW w:w="2070" w:type="dxa"/>
            <w:vAlign w:val="center"/>
          </w:tcPr>
          <w:p>
            <w:pPr>
              <w:topLinePunct/>
              <w:jc w:val="center"/>
              <w:rPr>
                <w:bCs/>
                <w:color w:val="000000"/>
                <w:szCs w:val="21"/>
              </w:rPr>
            </w:pPr>
            <w:r>
              <w:rPr>
                <w:bCs/>
                <w:color w:val="000000"/>
                <w:szCs w:val="21"/>
              </w:rPr>
              <w:t>消防器器材</w:t>
            </w:r>
          </w:p>
        </w:tc>
        <w:tc>
          <w:tcPr>
            <w:tcW w:w="1466" w:type="dxa"/>
            <w:vAlign w:val="center"/>
          </w:tcPr>
          <w:p>
            <w:pPr>
              <w:topLinePunct/>
              <w:jc w:val="center"/>
              <w:rPr>
                <w:bCs/>
                <w:color w:val="000000"/>
                <w:szCs w:val="21"/>
              </w:rPr>
            </w:pPr>
            <w:r>
              <w:rPr>
                <w:bCs/>
                <w:color w:val="000000"/>
                <w:szCs w:val="21"/>
              </w:rPr>
              <w:t>/</w:t>
            </w:r>
          </w:p>
        </w:tc>
        <w:tc>
          <w:tcPr>
            <w:tcW w:w="4155" w:type="dxa"/>
            <w:gridSpan w:val="4"/>
            <w:vAlign w:val="center"/>
          </w:tcPr>
          <w:p>
            <w:pPr>
              <w:topLinePunct/>
              <w:jc w:val="center"/>
              <w:rPr>
                <w:bCs/>
                <w:color w:val="000000"/>
                <w:szCs w:val="21"/>
              </w:rPr>
            </w:pPr>
            <w:r>
              <w:rPr>
                <w:bCs/>
                <w:color w:val="000000"/>
                <w:kern w:val="0"/>
                <w:szCs w:val="21"/>
              </w:rPr>
              <w:t>消防器材若干</w:t>
            </w:r>
          </w:p>
        </w:tc>
        <w:tc>
          <w:tcPr>
            <w:tcW w:w="1875" w:type="dxa"/>
            <w:vAlign w:val="center"/>
          </w:tcPr>
          <w:p>
            <w:pPr>
              <w:topLinePunct/>
              <w:jc w:val="center"/>
              <w:rPr>
                <w:bCs/>
                <w:color w:val="000000"/>
                <w:szCs w:val="21"/>
              </w:rPr>
            </w:pPr>
            <w:r>
              <w:rPr>
                <w:bCs/>
                <w:color w:val="00000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restart"/>
            <w:vAlign w:val="center"/>
          </w:tcPr>
          <w:p>
            <w:pPr>
              <w:topLinePunct/>
              <w:jc w:val="center"/>
              <w:rPr>
                <w:bCs/>
                <w:color w:val="000000"/>
                <w:szCs w:val="21"/>
              </w:rPr>
            </w:pPr>
            <w:r>
              <w:rPr>
                <w:bCs/>
                <w:color w:val="000000"/>
                <w:szCs w:val="21"/>
              </w:rPr>
              <w:t>防渗措施</w:t>
            </w:r>
          </w:p>
        </w:tc>
        <w:tc>
          <w:tcPr>
            <w:tcW w:w="899" w:type="dxa"/>
            <w:gridSpan w:val="2"/>
            <w:vAlign w:val="center"/>
          </w:tcPr>
          <w:p>
            <w:pPr>
              <w:topLinePunct/>
              <w:jc w:val="center"/>
              <w:rPr>
                <w:bCs/>
                <w:color w:val="000000"/>
                <w:szCs w:val="21"/>
              </w:rPr>
            </w:pPr>
            <w:r>
              <w:rPr>
                <w:bCs/>
                <w:color w:val="000000"/>
                <w:szCs w:val="21"/>
              </w:rPr>
              <w:t>沼液储存池防渗</w:t>
            </w:r>
          </w:p>
        </w:tc>
        <w:tc>
          <w:tcPr>
            <w:tcW w:w="2424" w:type="dxa"/>
            <w:gridSpan w:val="3"/>
            <w:vAlign w:val="center"/>
          </w:tcPr>
          <w:p>
            <w:pPr>
              <w:topLinePunct/>
              <w:jc w:val="center"/>
              <w:rPr>
                <w:bCs/>
                <w:color w:val="000000"/>
                <w:szCs w:val="21"/>
              </w:rPr>
            </w:pPr>
            <w:r>
              <w:rPr>
                <w:bCs/>
                <w:color w:val="000000"/>
                <w:szCs w:val="21"/>
              </w:rPr>
              <w:t>/</w:t>
            </w:r>
          </w:p>
        </w:tc>
        <w:tc>
          <w:tcPr>
            <w:tcW w:w="2070" w:type="dxa"/>
            <w:vAlign w:val="center"/>
          </w:tcPr>
          <w:p>
            <w:pPr>
              <w:topLinePunct/>
              <w:jc w:val="center"/>
              <w:rPr>
                <w:bCs/>
                <w:color w:val="000000"/>
                <w:kern w:val="0"/>
                <w:szCs w:val="21"/>
              </w:rPr>
            </w:pPr>
            <w:r>
              <w:rPr>
                <w:bCs/>
                <w:color w:val="000000"/>
                <w:szCs w:val="21"/>
              </w:rPr>
              <w:t>做好1.5MMHDPE防渗膜措施</w:t>
            </w:r>
          </w:p>
        </w:tc>
        <w:tc>
          <w:tcPr>
            <w:tcW w:w="1466" w:type="dxa"/>
            <w:vAlign w:val="center"/>
          </w:tcPr>
          <w:p>
            <w:pPr>
              <w:topLinePunct/>
              <w:jc w:val="center"/>
              <w:rPr>
                <w:bCs/>
                <w:color w:val="000000"/>
                <w:szCs w:val="21"/>
              </w:rPr>
            </w:pPr>
            <w:r>
              <w:rPr>
                <w:bCs/>
                <w:color w:val="000000"/>
                <w:szCs w:val="21"/>
              </w:rPr>
              <w:t>/</w:t>
            </w:r>
          </w:p>
        </w:tc>
        <w:tc>
          <w:tcPr>
            <w:tcW w:w="4155" w:type="dxa"/>
            <w:gridSpan w:val="4"/>
            <w:vAlign w:val="center"/>
          </w:tcPr>
          <w:p>
            <w:pPr>
              <w:topLinePunct/>
              <w:jc w:val="center"/>
              <w:rPr>
                <w:bCs/>
                <w:color w:val="000000"/>
                <w:kern w:val="0"/>
                <w:szCs w:val="21"/>
              </w:rPr>
            </w:pPr>
            <w:r>
              <w:rPr>
                <w:bCs/>
                <w:color w:val="000000"/>
                <w:szCs w:val="21"/>
              </w:rPr>
              <w:t>沼液储存池底部和池壁铺设HDPE膜＋素土夯实，容积64006m</w:t>
            </w:r>
            <w:r>
              <w:rPr>
                <w:bCs/>
                <w:color w:val="000000"/>
                <w:szCs w:val="21"/>
                <w:vertAlign w:val="superscript"/>
              </w:rPr>
              <w:t>3</w:t>
            </w:r>
          </w:p>
        </w:tc>
        <w:tc>
          <w:tcPr>
            <w:tcW w:w="1875" w:type="dxa"/>
            <w:vMerge w:val="restart"/>
            <w:vAlign w:val="center"/>
          </w:tcPr>
          <w:p>
            <w:pPr>
              <w:tabs>
                <w:tab w:val="right" w:leader="dot" w:pos="8647"/>
              </w:tabs>
              <w:topLinePunct/>
              <w:adjustRightInd w:val="0"/>
              <w:snapToGrid w:val="0"/>
              <w:jc w:val="center"/>
              <w:rPr>
                <w:bCs/>
                <w:color w:val="000000"/>
                <w:szCs w:val="21"/>
              </w:rPr>
            </w:pPr>
            <w:r>
              <w:rPr>
                <w:bCs/>
                <w:color w:val="000000"/>
                <w:szCs w:val="21"/>
              </w:rPr>
              <w:t>符合《规模化畜禽养殖场沼气工程设计规范》（NY/T1222）和《混凝土结构设计规范》（GB50010）的要求，具备“防渗、防雨、防溢”的三防措施。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continue"/>
            <w:vAlign w:val="center"/>
          </w:tcPr>
          <w:p>
            <w:pPr>
              <w:topLinePunct/>
              <w:jc w:val="center"/>
              <w:rPr>
                <w:bCs/>
                <w:color w:val="000000"/>
                <w:szCs w:val="21"/>
              </w:rPr>
            </w:pPr>
          </w:p>
        </w:tc>
        <w:tc>
          <w:tcPr>
            <w:tcW w:w="411" w:type="dxa"/>
            <w:vMerge w:val="restart"/>
            <w:vAlign w:val="center"/>
          </w:tcPr>
          <w:p>
            <w:pPr>
              <w:topLinePunct/>
              <w:jc w:val="center"/>
              <w:rPr>
                <w:bCs/>
                <w:color w:val="000000"/>
                <w:szCs w:val="21"/>
              </w:rPr>
            </w:pPr>
            <w:r>
              <w:rPr>
                <w:bCs/>
                <w:color w:val="000000"/>
                <w:szCs w:val="21"/>
              </w:rPr>
              <w:t>场区防渗</w:t>
            </w:r>
          </w:p>
        </w:tc>
        <w:tc>
          <w:tcPr>
            <w:tcW w:w="488" w:type="dxa"/>
            <w:vAlign w:val="center"/>
          </w:tcPr>
          <w:p>
            <w:pPr>
              <w:tabs>
                <w:tab w:val="right" w:leader="dot" w:pos="8647"/>
              </w:tabs>
              <w:topLinePunct/>
              <w:adjustRightInd w:val="0"/>
              <w:snapToGrid w:val="0"/>
              <w:jc w:val="center"/>
              <w:rPr>
                <w:bCs/>
                <w:color w:val="000000"/>
                <w:szCs w:val="21"/>
              </w:rPr>
            </w:pPr>
            <w:r>
              <w:rPr>
                <w:bCs/>
                <w:color w:val="000000"/>
                <w:szCs w:val="21"/>
              </w:rPr>
              <w:t>污水处理区</w:t>
            </w:r>
          </w:p>
        </w:tc>
        <w:tc>
          <w:tcPr>
            <w:tcW w:w="2424" w:type="dxa"/>
            <w:gridSpan w:val="3"/>
            <w:vAlign w:val="center"/>
          </w:tcPr>
          <w:p>
            <w:pPr>
              <w:topLinePunct/>
              <w:jc w:val="center"/>
              <w:rPr>
                <w:bCs/>
                <w:color w:val="000000"/>
                <w:szCs w:val="21"/>
              </w:rPr>
            </w:pPr>
            <w:r>
              <w:rPr>
                <w:bCs/>
                <w:color w:val="000000"/>
                <w:szCs w:val="21"/>
              </w:rPr>
              <w:t>/</w:t>
            </w:r>
          </w:p>
        </w:tc>
        <w:tc>
          <w:tcPr>
            <w:tcW w:w="2070" w:type="dxa"/>
            <w:vAlign w:val="center"/>
          </w:tcPr>
          <w:p>
            <w:pPr>
              <w:topLinePunct/>
              <w:jc w:val="center"/>
              <w:rPr>
                <w:bCs/>
                <w:color w:val="000000"/>
                <w:kern w:val="0"/>
                <w:szCs w:val="21"/>
              </w:rPr>
            </w:pPr>
            <w:r>
              <w:rPr>
                <w:bCs/>
                <w:color w:val="000000"/>
                <w:szCs w:val="21"/>
              </w:rPr>
              <w:t>严格做好混凝土措施</w:t>
            </w:r>
          </w:p>
        </w:tc>
        <w:tc>
          <w:tcPr>
            <w:tcW w:w="1466" w:type="dxa"/>
            <w:vAlign w:val="center"/>
          </w:tcPr>
          <w:p>
            <w:pPr>
              <w:topLinePunct/>
              <w:jc w:val="center"/>
              <w:rPr>
                <w:bCs/>
                <w:color w:val="000000"/>
                <w:szCs w:val="21"/>
              </w:rPr>
            </w:pPr>
            <w:r>
              <w:rPr>
                <w:bCs/>
                <w:color w:val="000000"/>
                <w:szCs w:val="21"/>
              </w:rPr>
              <w:t>/</w:t>
            </w:r>
          </w:p>
        </w:tc>
        <w:tc>
          <w:tcPr>
            <w:tcW w:w="4155" w:type="dxa"/>
            <w:gridSpan w:val="4"/>
            <w:vAlign w:val="center"/>
          </w:tcPr>
          <w:p>
            <w:pPr>
              <w:tabs>
                <w:tab w:val="right" w:leader="dot" w:pos="8647"/>
              </w:tabs>
              <w:topLinePunct/>
              <w:jc w:val="center"/>
              <w:rPr>
                <w:bCs/>
                <w:color w:val="000000"/>
                <w:szCs w:val="21"/>
              </w:rPr>
            </w:pPr>
            <w:r>
              <w:rPr>
                <w:bCs/>
                <w:color w:val="000000"/>
                <w:szCs w:val="21"/>
              </w:rPr>
              <w:t>盖泻湖沼气池采用HDPE膜防渗，总防渗等级达到4.19×10-9cm/s</w:t>
            </w:r>
          </w:p>
          <w:p>
            <w:pPr>
              <w:tabs>
                <w:tab w:val="right" w:leader="dot" w:pos="8647"/>
              </w:tabs>
              <w:topLinePunct/>
              <w:jc w:val="center"/>
              <w:rPr>
                <w:bCs/>
                <w:color w:val="000000"/>
                <w:szCs w:val="21"/>
              </w:rPr>
            </w:pPr>
            <w:r>
              <w:rPr>
                <w:bCs/>
                <w:color w:val="000000"/>
                <w:szCs w:val="21"/>
              </w:rPr>
              <w:t>养殖场区底部铺设混凝土</w:t>
            </w:r>
          </w:p>
        </w:tc>
        <w:tc>
          <w:tcPr>
            <w:tcW w:w="1875" w:type="dxa"/>
            <w:vMerge w:val="continue"/>
            <w:vAlign w:val="center"/>
          </w:tcPr>
          <w:p>
            <w:pPr>
              <w:topLinePunct/>
              <w:jc w:val="center"/>
              <w:rPr>
                <w:bCs/>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continue"/>
            <w:vAlign w:val="center"/>
          </w:tcPr>
          <w:p>
            <w:pPr>
              <w:topLinePunct/>
              <w:jc w:val="center"/>
              <w:rPr>
                <w:bCs/>
                <w:color w:val="000000"/>
                <w:szCs w:val="21"/>
              </w:rPr>
            </w:pPr>
          </w:p>
        </w:tc>
        <w:tc>
          <w:tcPr>
            <w:tcW w:w="411" w:type="dxa"/>
            <w:vMerge w:val="continue"/>
            <w:vAlign w:val="center"/>
          </w:tcPr>
          <w:p>
            <w:pPr>
              <w:topLinePunct/>
              <w:jc w:val="center"/>
              <w:rPr>
                <w:bCs/>
                <w:color w:val="000000"/>
                <w:szCs w:val="21"/>
              </w:rPr>
            </w:pPr>
          </w:p>
        </w:tc>
        <w:tc>
          <w:tcPr>
            <w:tcW w:w="488" w:type="dxa"/>
            <w:vAlign w:val="center"/>
          </w:tcPr>
          <w:p>
            <w:pPr>
              <w:tabs>
                <w:tab w:val="right" w:leader="dot" w:pos="8647"/>
              </w:tabs>
              <w:topLinePunct/>
              <w:adjustRightInd w:val="0"/>
              <w:snapToGrid w:val="0"/>
              <w:jc w:val="center"/>
              <w:rPr>
                <w:bCs/>
                <w:color w:val="000000"/>
                <w:szCs w:val="21"/>
              </w:rPr>
            </w:pPr>
            <w:r>
              <w:rPr>
                <w:bCs/>
                <w:color w:val="000000"/>
                <w:szCs w:val="21"/>
              </w:rPr>
              <w:t>养殖区</w:t>
            </w:r>
          </w:p>
        </w:tc>
        <w:tc>
          <w:tcPr>
            <w:tcW w:w="2424" w:type="dxa"/>
            <w:gridSpan w:val="3"/>
            <w:vAlign w:val="center"/>
          </w:tcPr>
          <w:p>
            <w:pPr>
              <w:topLinePunct/>
              <w:jc w:val="center"/>
              <w:rPr>
                <w:bCs/>
                <w:color w:val="000000"/>
                <w:szCs w:val="21"/>
              </w:rPr>
            </w:pPr>
            <w:r>
              <w:rPr>
                <w:bCs/>
                <w:color w:val="000000"/>
                <w:szCs w:val="21"/>
              </w:rPr>
              <w:t>/</w:t>
            </w:r>
          </w:p>
        </w:tc>
        <w:tc>
          <w:tcPr>
            <w:tcW w:w="2070" w:type="dxa"/>
            <w:vAlign w:val="center"/>
          </w:tcPr>
          <w:p>
            <w:pPr>
              <w:topLinePunct/>
              <w:jc w:val="center"/>
              <w:rPr>
                <w:bCs/>
                <w:color w:val="000000"/>
                <w:kern w:val="0"/>
                <w:szCs w:val="21"/>
              </w:rPr>
            </w:pPr>
            <w:r>
              <w:rPr>
                <w:bCs/>
                <w:color w:val="000000"/>
                <w:szCs w:val="21"/>
              </w:rPr>
              <w:t>严格做好混凝土措施</w:t>
            </w:r>
          </w:p>
        </w:tc>
        <w:tc>
          <w:tcPr>
            <w:tcW w:w="1466" w:type="dxa"/>
            <w:vAlign w:val="center"/>
          </w:tcPr>
          <w:p>
            <w:pPr>
              <w:topLinePunct/>
              <w:jc w:val="center"/>
              <w:rPr>
                <w:bCs/>
                <w:color w:val="000000"/>
                <w:szCs w:val="21"/>
              </w:rPr>
            </w:pPr>
            <w:r>
              <w:rPr>
                <w:bCs/>
                <w:color w:val="000000"/>
                <w:szCs w:val="21"/>
              </w:rPr>
              <w:t>/</w:t>
            </w:r>
          </w:p>
        </w:tc>
        <w:tc>
          <w:tcPr>
            <w:tcW w:w="4155" w:type="dxa"/>
            <w:gridSpan w:val="4"/>
            <w:vAlign w:val="center"/>
          </w:tcPr>
          <w:p>
            <w:pPr>
              <w:tabs>
                <w:tab w:val="right" w:leader="dot" w:pos="8647"/>
              </w:tabs>
              <w:topLinePunct/>
              <w:adjustRightInd w:val="0"/>
              <w:snapToGrid w:val="0"/>
              <w:jc w:val="center"/>
              <w:rPr>
                <w:bCs/>
                <w:color w:val="000000"/>
                <w:szCs w:val="21"/>
              </w:rPr>
            </w:pPr>
            <w:r>
              <w:rPr>
                <w:bCs/>
                <w:color w:val="000000"/>
                <w:szCs w:val="21"/>
              </w:rPr>
              <w:t xml:space="preserve">养殖场区底部铺设混凝土， </w:t>
            </w:r>
          </w:p>
        </w:tc>
        <w:tc>
          <w:tcPr>
            <w:tcW w:w="1875" w:type="dxa"/>
            <w:vMerge w:val="restart"/>
            <w:vAlign w:val="center"/>
          </w:tcPr>
          <w:p>
            <w:pPr>
              <w:topLinePunct/>
              <w:jc w:val="center"/>
              <w:rPr>
                <w:bCs/>
                <w:color w:val="000000"/>
                <w:szCs w:val="21"/>
              </w:rPr>
            </w:pPr>
            <w:r>
              <w:rPr>
                <w:bCs/>
                <w:color w:val="000000"/>
                <w:szCs w:val="21"/>
              </w:rPr>
              <w:t>满足《畜禽养殖业污染防治技术规范》（HJ/T81－2001）中畜禽粪便的贮存相关要求，应具备防渗、防风、防雨的“三防”措施。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Merge w:val="continue"/>
            <w:vAlign w:val="center"/>
          </w:tcPr>
          <w:p>
            <w:pPr>
              <w:topLinePunct/>
              <w:jc w:val="center"/>
              <w:rPr>
                <w:bCs/>
                <w:color w:val="000000"/>
                <w:szCs w:val="21"/>
              </w:rPr>
            </w:pPr>
          </w:p>
        </w:tc>
        <w:tc>
          <w:tcPr>
            <w:tcW w:w="411" w:type="dxa"/>
            <w:vMerge w:val="continue"/>
            <w:vAlign w:val="center"/>
          </w:tcPr>
          <w:p>
            <w:pPr>
              <w:topLinePunct/>
              <w:jc w:val="center"/>
              <w:rPr>
                <w:bCs/>
                <w:color w:val="000000"/>
                <w:szCs w:val="21"/>
              </w:rPr>
            </w:pPr>
          </w:p>
        </w:tc>
        <w:tc>
          <w:tcPr>
            <w:tcW w:w="488" w:type="dxa"/>
            <w:vAlign w:val="center"/>
          </w:tcPr>
          <w:p>
            <w:pPr>
              <w:tabs>
                <w:tab w:val="right" w:leader="dot" w:pos="8647"/>
              </w:tabs>
              <w:topLinePunct/>
              <w:adjustRightInd w:val="0"/>
              <w:snapToGrid w:val="0"/>
              <w:jc w:val="center"/>
              <w:rPr>
                <w:bCs/>
                <w:color w:val="000000"/>
                <w:szCs w:val="21"/>
              </w:rPr>
            </w:pPr>
            <w:r>
              <w:rPr>
                <w:bCs/>
                <w:color w:val="000000"/>
                <w:szCs w:val="21"/>
              </w:rPr>
              <w:t>固粪处置区</w:t>
            </w:r>
          </w:p>
        </w:tc>
        <w:tc>
          <w:tcPr>
            <w:tcW w:w="2424" w:type="dxa"/>
            <w:gridSpan w:val="3"/>
            <w:vAlign w:val="center"/>
          </w:tcPr>
          <w:p>
            <w:pPr>
              <w:topLinePunct/>
              <w:jc w:val="center"/>
              <w:rPr>
                <w:bCs/>
                <w:color w:val="000000"/>
                <w:szCs w:val="21"/>
              </w:rPr>
            </w:pPr>
            <w:r>
              <w:rPr>
                <w:bCs/>
                <w:color w:val="000000"/>
                <w:szCs w:val="21"/>
              </w:rPr>
              <w:t>/</w:t>
            </w:r>
          </w:p>
        </w:tc>
        <w:tc>
          <w:tcPr>
            <w:tcW w:w="2070" w:type="dxa"/>
            <w:vAlign w:val="center"/>
          </w:tcPr>
          <w:p>
            <w:pPr>
              <w:tabs>
                <w:tab w:val="right" w:leader="dot" w:pos="8647"/>
              </w:tabs>
              <w:topLinePunct/>
              <w:adjustRightInd w:val="0"/>
              <w:snapToGrid w:val="0"/>
              <w:jc w:val="center"/>
              <w:rPr>
                <w:bCs/>
                <w:color w:val="000000"/>
                <w:szCs w:val="21"/>
              </w:rPr>
            </w:pPr>
            <w:r>
              <w:rPr>
                <w:bCs/>
                <w:color w:val="000000"/>
                <w:szCs w:val="21"/>
              </w:rPr>
              <w:t>严格做好混凝土措施</w:t>
            </w:r>
          </w:p>
        </w:tc>
        <w:tc>
          <w:tcPr>
            <w:tcW w:w="1466" w:type="dxa"/>
            <w:vAlign w:val="center"/>
          </w:tcPr>
          <w:p>
            <w:pPr>
              <w:topLinePunct/>
              <w:jc w:val="center"/>
              <w:rPr>
                <w:bCs/>
                <w:color w:val="000000"/>
                <w:szCs w:val="21"/>
              </w:rPr>
            </w:pPr>
            <w:r>
              <w:rPr>
                <w:bCs/>
                <w:color w:val="000000"/>
                <w:szCs w:val="21"/>
              </w:rPr>
              <w:t>/</w:t>
            </w:r>
          </w:p>
        </w:tc>
        <w:tc>
          <w:tcPr>
            <w:tcW w:w="4155" w:type="dxa"/>
            <w:gridSpan w:val="4"/>
            <w:vAlign w:val="center"/>
          </w:tcPr>
          <w:p>
            <w:pPr>
              <w:tabs>
                <w:tab w:val="right" w:leader="dot" w:pos="8647"/>
              </w:tabs>
              <w:topLinePunct/>
              <w:adjustRightInd w:val="0"/>
              <w:snapToGrid w:val="0"/>
              <w:jc w:val="center"/>
              <w:rPr>
                <w:bCs/>
                <w:color w:val="000000"/>
                <w:szCs w:val="21"/>
              </w:rPr>
            </w:pPr>
            <w:r>
              <w:rPr>
                <w:bCs/>
                <w:color w:val="000000"/>
                <w:szCs w:val="21"/>
              </w:rPr>
              <w:t>地面铺设混凝土</w:t>
            </w:r>
          </w:p>
        </w:tc>
        <w:tc>
          <w:tcPr>
            <w:tcW w:w="1875" w:type="dxa"/>
            <w:vMerge w:val="continue"/>
            <w:vAlign w:val="center"/>
          </w:tcPr>
          <w:p>
            <w:pPr>
              <w:topLinePunct/>
              <w:jc w:val="center"/>
              <w:rPr>
                <w:bCs/>
                <w:color w:val="00000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Align w:val="center"/>
          </w:tcPr>
          <w:p>
            <w:pPr>
              <w:topLinePunct/>
              <w:jc w:val="center"/>
              <w:rPr>
                <w:bCs/>
                <w:color w:val="000000"/>
                <w:szCs w:val="21"/>
              </w:rPr>
            </w:pPr>
            <w:r>
              <w:rPr>
                <w:bCs/>
                <w:color w:val="000000"/>
                <w:szCs w:val="21"/>
              </w:rPr>
              <w:t>敏感目标</w:t>
            </w:r>
          </w:p>
        </w:tc>
        <w:tc>
          <w:tcPr>
            <w:tcW w:w="899" w:type="dxa"/>
            <w:gridSpan w:val="2"/>
            <w:vAlign w:val="center"/>
          </w:tcPr>
          <w:p>
            <w:pPr>
              <w:topLinePunct/>
              <w:jc w:val="center"/>
              <w:rPr>
                <w:bCs/>
                <w:color w:val="000000"/>
                <w:szCs w:val="21"/>
              </w:rPr>
            </w:pPr>
            <w:r>
              <w:rPr>
                <w:bCs/>
                <w:color w:val="000000"/>
                <w:szCs w:val="21"/>
              </w:rPr>
              <w:t>/</w:t>
            </w:r>
          </w:p>
        </w:tc>
        <w:tc>
          <w:tcPr>
            <w:tcW w:w="2424" w:type="dxa"/>
            <w:gridSpan w:val="3"/>
            <w:vAlign w:val="center"/>
          </w:tcPr>
          <w:p>
            <w:pPr>
              <w:topLinePunct/>
              <w:jc w:val="center"/>
              <w:rPr>
                <w:bCs/>
                <w:color w:val="000000"/>
                <w:szCs w:val="21"/>
              </w:rPr>
            </w:pPr>
            <w:r>
              <w:rPr>
                <w:bCs/>
                <w:color w:val="000000"/>
                <w:szCs w:val="21"/>
              </w:rPr>
              <w:t>/</w:t>
            </w:r>
          </w:p>
        </w:tc>
        <w:tc>
          <w:tcPr>
            <w:tcW w:w="2070" w:type="dxa"/>
            <w:vAlign w:val="center"/>
          </w:tcPr>
          <w:p>
            <w:pPr>
              <w:topLinePunct/>
              <w:jc w:val="center"/>
              <w:rPr>
                <w:bCs/>
                <w:color w:val="000000"/>
                <w:szCs w:val="21"/>
              </w:rPr>
            </w:pPr>
            <w:r>
              <w:rPr>
                <w:bCs/>
                <w:color w:val="000000"/>
                <w:szCs w:val="21"/>
              </w:rPr>
              <w:t>/</w:t>
            </w:r>
          </w:p>
        </w:tc>
        <w:tc>
          <w:tcPr>
            <w:tcW w:w="1466" w:type="dxa"/>
            <w:vAlign w:val="center"/>
          </w:tcPr>
          <w:p>
            <w:pPr>
              <w:topLinePunct/>
              <w:jc w:val="center"/>
              <w:rPr>
                <w:bCs/>
                <w:color w:val="000000"/>
                <w:szCs w:val="21"/>
              </w:rPr>
            </w:pPr>
            <w:r>
              <w:rPr>
                <w:bCs/>
                <w:color w:val="000000"/>
                <w:szCs w:val="21"/>
              </w:rPr>
              <w:t>/</w:t>
            </w:r>
          </w:p>
        </w:tc>
        <w:tc>
          <w:tcPr>
            <w:tcW w:w="4155" w:type="dxa"/>
            <w:gridSpan w:val="4"/>
            <w:vAlign w:val="center"/>
          </w:tcPr>
          <w:p>
            <w:pPr>
              <w:topLinePunct/>
              <w:jc w:val="center"/>
              <w:rPr>
                <w:bCs/>
                <w:color w:val="000000"/>
                <w:szCs w:val="21"/>
              </w:rPr>
            </w:pPr>
            <w:r>
              <w:rPr>
                <w:bCs/>
                <w:color w:val="000000"/>
                <w:szCs w:val="21"/>
              </w:rPr>
              <w:t>/</w:t>
            </w:r>
          </w:p>
        </w:tc>
        <w:tc>
          <w:tcPr>
            <w:tcW w:w="1875" w:type="dxa"/>
            <w:vAlign w:val="center"/>
          </w:tcPr>
          <w:p>
            <w:pPr>
              <w:topLinePunct/>
              <w:jc w:val="center"/>
              <w:rPr>
                <w:bCs/>
                <w:color w:val="000000"/>
                <w:szCs w:val="21"/>
              </w:rPr>
            </w:pPr>
            <w:r>
              <w:rPr>
                <w:bCs/>
                <w:color w:val="000000"/>
                <w:szCs w:val="21"/>
              </w:rPr>
              <w:t>《环境空气质量标准》GB3095-2012二级标准、</w:t>
            </w:r>
          </w:p>
          <w:p>
            <w:pPr>
              <w:topLinePunct/>
              <w:jc w:val="center"/>
              <w:rPr>
                <w:bCs/>
                <w:color w:val="000000"/>
                <w:szCs w:val="21"/>
              </w:rPr>
            </w:pPr>
            <w:r>
              <w:rPr>
                <w:color w:val="000000"/>
              </w:rPr>
              <w:t>《环境影响评价技术导则 大气环境（HJ2.2-2018）》中附录D</w:t>
            </w:r>
            <w:r>
              <w:rPr>
                <w:bCs/>
                <w:color w:val="000000"/>
                <w:szCs w:val="21"/>
              </w:rPr>
              <w:t>中居住区大气中有害物质的最高容许浓度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tblHeader/>
          <w:jc w:val="center"/>
        </w:trPr>
        <w:tc>
          <w:tcPr>
            <w:tcW w:w="479" w:type="dxa"/>
            <w:vAlign w:val="center"/>
          </w:tcPr>
          <w:p>
            <w:pPr>
              <w:topLinePunct/>
              <w:jc w:val="center"/>
              <w:rPr>
                <w:bCs/>
                <w:color w:val="000000"/>
                <w:szCs w:val="21"/>
              </w:rPr>
            </w:pPr>
            <w:r>
              <w:rPr>
                <w:bCs/>
                <w:color w:val="000000"/>
                <w:szCs w:val="21"/>
              </w:rPr>
              <w:t>厂界</w:t>
            </w:r>
          </w:p>
        </w:tc>
        <w:tc>
          <w:tcPr>
            <w:tcW w:w="899" w:type="dxa"/>
            <w:gridSpan w:val="2"/>
            <w:vAlign w:val="center"/>
          </w:tcPr>
          <w:p>
            <w:pPr>
              <w:topLinePunct/>
              <w:jc w:val="center"/>
              <w:rPr>
                <w:bCs/>
                <w:color w:val="000000"/>
                <w:szCs w:val="21"/>
              </w:rPr>
            </w:pPr>
            <w:r>
              <w:rPr>
                <w:bCs/>
                <w:color w:val="000000"/>
                <w:szCs w:val="21"/>
              </w:rPr>
              <w:t>/</w:t>
            </w:r>
          </w:p>
        </w:tc>
        <w:tc>
          <w:tcPr>
            <w:tcW w:w="2424" w:type="dxa"/>
            <w:gridSpan w:val="3"/>
            <w:vAlign w:val="center"/>
          </w:tcPr>
          <w:p>
            <w:pPr>
              <w:topLinePunct/>
              <w:jc w:val="center"/>
              <w:rPr>
                <w:bCs/>
                <w:color w:val="000000"/>
                <w:szCs w:val="21"/>
              </w:rPr>
            </w:pPr>
            <w:r>
              <w:rPr>
                <w:bCs/>
                <w:color w:val="000000"/>
                <w:szCs w:val="21"/>
              </w:rPr>
              <w:t>/</w:t>
            </w:r>
          </w:p>
        </w:tc>
        <w:tc>
          <w:tcPr>
            <w:tcW w:w="2070" w:type="dxa"/>
            <w:vAlign w:val="center"/>
          </w:tcPr>
          <w:p>
            <w:pPr>
              <w:topLinePunct/>
              <w:jc w:val="center"/>
              <w:rPr>
                <w:bCs/>
                <w:color w:val="000000"/>
                <w:szCs w:val="21"/>
              </w:rPr>
            </w:pPr>
            <w:r>
              <w:rPr>
                <w:bCs/>
                <w:color w:val="000000"/>
                <w:szCs w:val="21"/>
              </w:rPr>
              <w:t>/</w:t>
            </w:r>
          </w:p>
        </w:tc>
        <w:tc>
          <w:tcPr>
            <w:tcW w:w="1466" w:type="dxa"/>
            <w:vAlign w:val="center"/>
          </w:tcPr>
          <w:p>
            <w:pPr>
              <w:topLinePunct/>
              <w:jc w:val="center"/>
              <w:rPr>
                <w:bCs/>
                <w:color w:val="000000"/>
                <w:szCs w:val="21"/>
              </w:rPr>
            </w:pPr>
            <w:r>
              <w:rPr>
                <w:bCs/>
                <w:color w:val="000000"/>
                <w:szCs w:val="21"/>
              </w:rPr>
              <w:t>/</w:t>
            </w:r>
          </w:p>
        </w:tc>
        <w:tc>
          <w:tcPr>
            <w:tcW w:w="4155" w:type="dxa"/>
            <w:gridSpan w:val="4"/>
            <w:vAlign w:val="center"/>
          </w:tcPr>
          <w:p>
            <w:pPr>
              <w:topLinePunct/>
              <w:jc w:val="center"/>
              <w:rPr>
                <w:bCs/>
                <w:color w:val="000000"/>
                <w:szCs w:val="21"/>
              </w:rPr>
            </w:pPr>
            <w:r>
              <w:rPr>
                <w:bCs/>
                <w:color w:val="000000"/>
                <w:szCs w:val="21"/>
              </w:rPr>
              <w:t>/</w:t>
            </w:r>
          </w:p>
        </w:tc>
        <w:tc>
          <w:tcPr>
            <w:tcW w:w="1875" w:type="dxa"/>
            <w:vAlign w:val="center"/>
          </w:tcPr>
          <w:p>
            <w:pPr>
              <w:topLinePunct/>
              <w:jc w:val="center"/>
              <w:rPr>
                <w:bCs/>
                <w:color w:val="000000"/>
                <w:szCs w:val="21"/>
              </w:rPr>
            </w:pPr>
            <w:r>
              <w:rPr>
                <w:bCs/>
                <w:color w:val="000000"/>
                <w:szCs w:val="21"/>
              </w:rPr>
              <w:t>《恶臭污染物排放标准》（GB14554-93）表1中二级标准要求、《工业企业厂界环境噪声排放标准》（GB12348—2008）2类标准</w:t>
            </w:r>
          </w:p>
        </w:tc>
      </w:tr>
    </w:tbl>
    <w:p>
      <w:pPr>
        <w:keepNext/>
        <w:keepLines/>
        <w:spacing w:before="100" w:beforeAutospacing="1" w:after="100" w:afterAutospacing="1"/>
        <w:jc w:val="center"/>
        <w:outlineLvl w:val="0"/>
        <w:rPr>
          <w:color w:val="000000"/>
        </w:rPr>
        <w:sectPr>
          <w:pgSz w:w="16838" w:h="11906" w:orient="landscape"/>
          <w:pgMar w:top="1588" w:right="1985" w:bottom="1588" w:left="1701" w:header="851" w:footer="992" w:gutter="0"/>
          <w:cols w:space="720" w:num="1"/>
          <w:docGrid w:type="lines" w:linePitch="312" w:charSpace="0"/>
        </w:sectPr>
      </w:pPr>
    </w:p>
    <w:p>
      <w:pPr>
        <w:keepNext/>
        <w:keepLines/>
        <w:spacing w:before="100" w:beforeAutospacing="1" w:after="100" w:afterAutospacing="1"/>
        <w:jc w:val="center"/>
        <w:outlineLvl w:val="0"/>
        <w:rPr>
          <w:b/>
          <w:sz w:val="44"/>
          <w:szCs w:val="44"/>
        </w:rPr>
      </w:pPr>
      <w:bookmarkStart w:id="301" w:name="_Toc3019546"/>
      <w:bookmarkStart w:id="302" w:name="_Toc488572579"/>
      <w:bookmarkStart w:id="303" w:name="_Toc375206211"/>
      <w:r>
        <w:rPr>
          <w:b/>
          <w:sz w:val="44"/>
          <w:szCs w:val="44"/>
        </w:rPr>
        <w:t>第七章   环境经济损益分析</w:t>
      </w:r>
      <w:bookmarkEnd w:id="301"/>
      <w:bookmarkEnd w:id="302"/>
      <w:bookmarkEnd w:id="303"/>
    </w:p>
    <w:p>
      <w:pPr>
        <w:topLinePunct/>
        <w:spacing w:line="500" w:lineRule="exact"/>
        <w:ind w:firstLine="480" w:firstLineChars="200"/>
        <w:rPr>
          <w:color w:val="000000"/>
          <w:sz w:val="24"/>
        </w:rPr>
      </w:pPr>
      <w:r>
        <w:rPr>
          <w:color w:val="000000"/>
          <w:sz w:val="24"/>
        </w:rPr>
        <w:t>环境影响经济损益分析的主要任务是衡量项目的环保投资所能收到的环境效益和经济效益；建设项目应力争达到社会效益、环境效益、经济效益的统一，这样才能符合可持续发展的要求，实现经济的持续发展和环境质量的不断改善。项目属于畜牧养殖行业，它的建设在一定程度上会给周围环境带来一些负面影响，因此有必要进行经济效益、社会效益、环境效益的综合分析，使项目的建设论证更加充分可靠，工程的设计和实施更加完善，以实现社会的良性发展、经济的持续增长和环境质量的保持与改善。</w:t>
      </w:r>
    </w:p>
    <w:p>
      <w:pPr>
        <w:pStyle w:val="4"/>
        <w:spacing w:before="156" w:after="156"/>
        <w:rPr>
          <w:rFonts w:hAnsi="Times New Roman"/>
          <w:color w:val="000000"/>
        </w:rPr>
      </w:pPr>
      <w:bookmarkStart w:id="304" w:name="_Toc3019547"/>
      <w:bookmarkStart w:id="305" w:name="_Toc488572580"/>
      <w:r>
        <w:rPr>
          <w:rFonts w:hAnsi="Times New Roman"/>
          <w:color w:val="000000"/>
        </w:rPr>
        <w:t>7.1 环保投资估算</w:t>
      </w:r>
      <w:bookmarkEnd w:id="304"/>
      <w:bookmarkEnd w:id="305"/>
    </w:p>
    <w:p>
      <w:pPr>
        <w:topLinePunct/>
        <w:adjustRightInd w:val="0"/>
        <w:snapToGrid w:val="0"/>
        <w:spacing w:line="520" w:lineRule="exact"/>
        <w:ind w:firstLine="480" w:firstLineChars="200"/>
        <w:rPr>
          <w:color w:val="000000"/>
          <w:kern w:val="0"/>
          <w:sz w:val="24"/>
        </w:rPr>
      </w:pPr>
      <w:r>
        <w:rPr>
          <w:color w:val="000000"/>
          <w:kern w:val="0"/>
          <w:sz w:val="24"/>
        </w:rPr>
        <w:t>项目污染防治措施投资包括运行期的污染防治措施的总投资，预计该项费用总投资为6</w:t>
      </w:r>
      <w:r>
        <w:rPr>
          <w:rFonts w:hint="eastAsia"/>
          <w:color w:val="000000"/>
          <w:kern w:val="0"/>
          <w:sz w:val="24"/>
        </w:rPr>
        <w:t>54</w:t>
      </w:r>
      <w:r>
        <w:rPr>
          <w:color w:val="000000"/>
          <w:kern w:val="0"/>
          <w:sz w:val="24"/>
        </w:rPr>
        <w:t>万元，占总投资12000万元的比例为5.</w:t>
      </w:r>
      <w:r>
        <w:rPr>
          <w:rFonts w:hint="eastAsia"/>
          <w:color w:val="000000"/>
          <w:kern w:val="0"/>
          <w:sz w:val="24"/>
        </w:rPr>
        <w:t>45</w:t>
      </w:r>
      <w:r>
        <w:rPr>
          <w:color w:val="000000"/>
          <w:kern w:val="0"/>
          <w:sz w:val="24"/>
        </w:rPr>
        <w:t>%。具体见表5-17、表5-18。</w:t>
      </w:r>
    </w:p>
    <w:p>
      <w:pPr>
        <w:pStyle w:val="4"/>
        <w:spacing w:before="156" w:after="156"/>
        <w:rPr>
          <w:rFonts w:hAnsi="Times New Roman"/>
          <w:color w:val="000000"/>
        </w:rPr>
      </w:pPr>
      <w:bookmarkStart w:id="306" w:name="_Toc3019548"/>
      <w:bookmarkStart w:id="307" w:name="_Toc488572581"/>
      <w:r>
        <w:rPr>
          <w:rFonts w:hAnsi="Times New Roman"/>
          <w:color w:val="000000"/>
        </w:rPr>
        <w:t>7.2 环境影响经济损失分析</w:t>
      </w:r>
      <w:bookmarkEnd w:id="306"/>
      <w:bookmarkEnd w:id="307"/>
    </w:p>
    <w:p>
      <w:pPr>
        <w:topLinePunct/>
        <w:spacing w:line="600" w:lineRule="exact"/>
        <w:outlineLvl w:val="2"/>
        <w:rPr>
          <w:b/>
          <w:color w:val="000000"/>
          <w:sz w:val="24"/>
        </w:rPr>
      </w:pPr>
      <w:r>
        <w:rPr>
          <w:b/>
          <w:color w:val="000000"/>
          <w:sz w:val="24"/>
        </w:rPr>
        <w:t>7.2.1</w:t>
      </w:r>
      <w:r>
        <w:rPr>
          <w:b/>
          <w:bCs/>
          <w:color w:val="000000"/>
          <w:sz w:val="24"/>
        </w:rPr>
        <w:t>噪声影响经济损失</w:t>
      </w:r>
    </w:p>
    <w:p>
      <w:pPr>
        <w:topLinePunct/>
        <w:adjustRightInd w:val="0"/>
        <w:snapToGrid w:val="0"/>
        <w:spacing w:line="520" w:lineRule="exact"/>
        <w:ind w:firstLine="480" w:firstLineChars="200"/>
        <w:rPr>
          <w:color w:val="000000"/>
          <w:sz w:val="24"/>
        </w:rPr>
      </w:pPr>
      <w:r>
        <w:rPr>
          <w:color w:val="000000"/>
          <w:sz w:val="24"/>
        </w:rPr>
        <w:t>有关噪声影响的人群调查以及流行病学研究发现，在我国，生活在70dB（A）以上环境中居民的人均医疗费用比70dB（A）以下的同类地方高；噪声级在70dB（A）以上环境的居民有66.7%睡眠受到干扰，而睡眠受到干扰的职工会表现出生产效率有所下降。根据前面的噪声预测结果，在采取降噪措施前，本项目昼夜间噪声值均未达到70dB（A），因此本项目的建设不会引起噪声影响经济损失。</w:t>
      </w:r>
    </w:p>
    <w:p>
      <w:pPr>
        <w:topLinePunct/>
        <w:spacing w:line="600" w:lineRule="exact"/>
        <w:outlineLvl w:val="2"/>
        <w:rPr>
          <w:b/>
          <w:color w:val="000000"/>
          <w:sz w:val="24"/>
        </w:rPr>
      </w:pPr>
      <w:r>
        <w:rPr>
          <w:b/>
          <w:color w:val="000000"/>
          <w:sz w:val="24"/>
        </w:rPr>
        <w:t xml:space="preserve">7.2.2 </w:t>
      </w:r>
      <w:r>
        <w:rPr>
          <w:b/>
          <w:bCs/>
          <w:color w:val="000000"/>
          <w:sz w:val="24"/>
        </w:rPr>
        <w:t>环境空气影响经济损失</w:t>
      </w:r>
    </w:p>
    <w:p>
      <w:pPr>
        <w:topLinePunct/>
        <w:adjustRightInd w:val="0"/>
        <w:snapToGrid w:val="0"/>
        <w:spacing w:line="520" w:lineRule="exact"/>
        <w:ind w:firstLine="480" w:firstLineChars="200"/>
        <w:rPr>
          <w:color w:val="000000"/>
          <w:sz w:val="24"/>
        </w:rPr>
      </w:pPr>
      <w:r>
        <w:rPr>
          <w:color w:val="000000"/>
          <w:sz w:val="24"/>
        </w:rPr>
        <w:t>营运期项目的环境空气影响主要表现在场区产生的恶臭气体使周围居民的空气环境质量有所下降，有可能对居民健康产生一定的影响。但是目前尚无环境空气影响经济损失的定量计算方法，环境空气影响造成的损失还难以直接用货币衡量，因此，以下将对环境空气影响损失进行定性分析。</w:t>
      </w:r>
    </w:p>
    <w:p>
      <w:pPr>
        <w:pStyle w:val="25"/>
        <w:topLinePunct/>
        <w:spacing w:after="0" w:line="500" w:lineRule="exact"/>
        <w:ind w:left="0" w:leftChars="0" w:firstLine="480" w:firstLineChars="200"/>
        <w:rPr>
          <w:bCs/>
          <w:color w:val="000000"/>
          <w:sz w:val="24"/>
        </w:rPr>
      </w:pPr>
      <w:r>
        <w:rPr>
          <w:bCs/>
          <w:color w:val="000000"/>
          <w:sz w:val="24"/>
        </w:rPr>
        <w:t>恶臭的成分十分复杂，因家畜的种类、清粪方式、日粮组成、粪便和污水处理等不同而异，有机成分是硫醇类、胺类、吲哚、挥发性有机酸、酚类、醛类、酮类、醇类以及含氮杂环化合物等，无机成分主要是NH</w:t>
      </w:r>
      <w:r>
        <w:rPr>
          <w:bCs/>
          <w:color w:val="000000"/>
          <w:sz w:val="24"/>
          <w:vertAlign w:val="subscript"/>
        </w:rPr>
        <w:t>3</w:t>
      </w:r>
      <w:r>
        <w:rPr>
          <w:bCs/>
          <w:color w:val="000000"/>
          <w:sz w:val="24"/>
        </w:rPr>
        <w:t>和H</w:t>
      </w:r>
      <w:r>
        <w:rPr>
          <w:bCs/>
          <w:color w:val="000000"/>
          <w:sz w:val="24"/>
          <w:vertAlign w:val="subscript"/>
        </w:rPr>
        <w:t>2</w:t>
      </w:r>
      <w:r>
        <w:rPr>
          <w:bCs/>
          <w:color w:val="000000"/>
          <w:sz w:val="24"/>
        </w:rPr>
        <w:t>S。</w:t>
      </w:r>
    </w:p>
    <w:p>
      <w:pPr>
        <w:topLinePunct/>
        <w:spacing w:line="500" w:lineRule="exact"/>
        <w:ind w:firstLine="480" w:firstLineChars="200"/>
        <w:rPr>
          <w:color w:val="000000"/>
          <w:kern w:val="0"/>
          <w:sz w:val="24"/>
        </w:rPr>
      </w:pPr>
      <w:r>
        <w:rPr>
          <w:color w:val="000000"/>
          <w:sz w:val="24"/>
        </w:rPr>
        <w:t>本项目建设后，猪舍养殖、粪污处理等过程会产生恶臭气体，通过注意场区卫生、及时冲洗、添加除臭剂等措施可最大限度的减少恶臭气体的排放，另外利用场区内绿化植物及场区外大面积的农田吸收，对周围居民的影响可降至最低。</w:t>
      </w:r>
    </w:p>
    <w:p>
      <w:pPr>
        <w:topLinePunct/>
        <w:spacing w:line="600" w:lineRule="exact"/>
        <w:outlineLvl w:val="2"/>
        <w:rPr>
          <w:b/>
          <w:color w:val="000000"/>
          <w:sz w:val="24"/>
        </w:rPr>
      </w:pPr>
      <w:r>
        <w:rPr>
          <w:b/>
          <w:color w:val="000000"/>
          <w:sz w:val="24"/>
        </w:rPr>
        <w:t xml:space="preserve">7.2.3 </w:t>
      </w:r>
      <w:r>
        <w:rPr>
          <w:b/>
          <w:bCs/>
          <w:color w:val="000000"/>
          <w:sz w:val="24"/>
        </w:rPr>
        <w:t>水环境影响经济损失</w:t>
      </w:r>
    </w:p>
    <w:p>
      <w:pPr>
        <w:topLinePunct/>
        <w:adjustRightInd w:val="0"/>
        <w:snapToGrid w:val="0"/>
        <w:spacing w:line="520" w:lineRule="exact"/>
        <w:ind w:firstLine="480" w:firstLineChars="200"/>
        <w:rPr>
          <w:color w:val="000000"/>
          <w:kern w:val="0"/>
          <w:sz w:val="24"/>
        </w:rPr>
      </w:pPr>
      <w:r>
        <w:rPr>
          <w:color w:val="000000"/>
          <w:kern w:val="0"/>
          <w:sz w:val="24"/>
        </w:rPr>
        <w:t>营运期项目全场产生的污水主要是养殖废水和职工生活污水，全部通过管道输入污水处理站统一处理，之后作为农肥施肥周边农田，因此对环境的影响非常有限。在此，不再估算水污染造成的经济损失。</w:t>
      </w:r>
    </w:p>
    <w:p>
      <w:pPr>
        <w:topLinePunct/>
        <w:spacing w:line="600" w:lineRule="exact"/>
        <w:outlineLvl w:val="2"/>
        <w:rPr>
          <w:b/>
          <w:color w:val="000000"/>
          <w:sz w:val="24"/>
        </w:rPr>
      </w:pPr>
      <w:r>
        <w:rPr>
          <w:b/>
          <w:color w:val="000000"/>
          <w:sz w:val="24"/>
        </w:rPr>
        <w:t xml:space="preserve">7.2.4 </w:t>
      </w:r>
      <w:r>
        <w:rPr>
          <w:b/>
          <w:bCs/>
          <w:color w:val="000000"/>
          <w:sz w:val="24"/>
        </w:rPr>
        <w:t>生态环境影响经济损失</w:t>
      </w:r>
    </w:p>
    <w:p>
      <w:pPr>
        <w:topLinePunct/>
        <w:adjustRightInd w:val="0"/>
        <w:snapToGrid w:val="0"/>
        <w:spacing w:line="520" w:lineRule="exact"/>
        <w:ind w:firstLine="480" w:firstLineChars="200"/>
        <w:rPr>
          <w:color w:val="000000"/>
          <w:kern w:val="0"/>
          <w:sz w:val="24"/>
        </w:rPr>
      </w:pPr>
      <w:r>
        <w:rPr>
          <w:color w:val="000000"/>
          <w:kern w:val="0"/>
          <w:sz w:val="24"/>
        </w:rPr>
        <w:t>本项目的建设将破坏现有农田生态系统，铲除场区现有植被，使得现有植被的经济能力消失，但是项目建成后，新的系统会产生更好的经济效益，对原有生态环境的经济损失做出补偿。</w:t>
      </w:r>
    </w:p>
    <w:p>
      <w:pPr>
        <w:topLinePunct/>
        <w:spacing w:line="600" w:lineRule="exact"/>
        <w:outlineLvl w:val="2"/>
        <w:rPr>
          <w:b/>
          <w:color w:val="000000"/>
          <w:sz w:val="24"/>
        </w:rPr>
      </w:pPr>
      <w:r>
        <w:rPr>
          <w:b/>
          <w:color w:val="000000"/>
          <w:sz w:val="24"/>
        </w:rPr>
        <w:t xml:space="preserve">7.2.5 </w:t>
      </w:r>
      <w:r>
        <w:rPr>
          <w:b/>
          <w:bCs/>
          <w:color w:val="000000"/>
          <w:sz w:val="24"/>
          <w:szCs w:val="28"/>
        </w:rPr>
        <w:t>环保设备运行费用</w:t>
      </w:r>
    </w:p>
    <w:p>
      <w:pPr>
        <w:topLinePunct/>
        <w:spacing w:line="460" w:lineRule="exact"/>
        <w:ind w:firstLine="573"/>
        <w:rPr>
          <w:color w:val="000000"/>
          <w:sz w:val="24"/>
          <w:szCs w:val="28"/>
        </w:rPr>
      </w:pPr>
      <w:r>
        <w:rPr>
          <w:color w:val="000000"/>
          <w:sz w:val="24"/>
          <w:szCs w:val="28"/>
        </w:rPr>
        <w:t>本项目完成后，全场环保设施运行费用包括：电费，环保人员工资及设备折旧、维护费用。年运行费用16.12.5万元，运行费用估算见表7-1。</w:t>
      </w:r>
    </w:p>
    <w:p>
      <w:pPr>
        <w:topLinePunct/>
        <w:spacing w:line="500" w:lineRule="exact"/>
        <w:jc w:val="center"/>
        <w:rPr>
          <w:b/>
          <w:bCs/>
          <w:color w:val="000000"/>
          <w:szCs w:val="21"/>
        </w:rPr>
      </w:pPr>
      <w:r>
        <w:rPr>
          <w:b/>
          <w:bCs/>
          <w:color w:val="000000"/>
          <w:szCs w:val="21"/>
        </w:rPr>
        <w:t>表7-1    全场环保设施运行费用</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3"/>
        <w:gridCol w:w="2101"/>
        <w:gridCol w:w="2551"/>
        <w:gridCol w:w="34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b/>
                <w:color w:val="000000"/>
                <w:szCs w:val="21"/>
              </w:rPr>
            </w:pPr>
            <w:r>
              <w:rPr>
                <w:b/>
                <w:color w:val="000000"/>
                <w:kern w:val="0"/>
                <w:szCs w:val="21"/>
              </w:rPr>
              <w:t>序号</w:t>
            </w:r>
          </w:p>
        </w:tc>
        <w:tc>
          <w:tcPr>
            <w:tcW w:w="2101" w:type="dxa"/>
            <w:vAlign w:val="center"/>
          </w:tcPr>
          <w:p>
            <w:pPr>
              <w:topLinePunct/>
              <w:spacing w:line="360" w:lineRule="exact"/>
              <w:jc w:val="center"/>
              <w:rPr>
                <w:b/>
                <w:color w:val="000000"/>
                <w:szCs w:val="21"/>
              </w:rPr>
            </w:pPr>
            <w:r>
              <w:rPr>
                <w:b/>
                <w:color w:val="000000"/>
                <w:kern w:val="0"/>
                <w:szCs w:val="21"/>
              </w:rPr>
              <w:t>费用名称</w:t>
            </w:r>
          </w:p>
        </w:tc>
        <w:tc>
          <w:tcPr>
            <w:tcW w:w="2551" w:type="dxa"/>
            <w:vAlign w:val="center"/>
          </w:tcPr>
          <w:p>
            <w:pPr>
              <w:topLinePunct/>
              <w:spacing w:line="360" w:lineRule="exact"/>
              <w:jc w:val="center"/>
              <w:rPr>
                <w:b/>
                <w:color w:val="000000"/>
                <w:kern w:val="0"/>
                <w:szCs w:val="21"/>
              </w:rPr>
            </w:pPr>
            <w:r>
              <w:rPr>
                <w:b/>
                <w:color w:val="000000"/>
                <w:kern w:val="0"/>
                <w:szCs w:val="21"/>
              </w:rPr>
              <w:t>费用金额（万元/年）</w:t>
            </w:r>
          </w:p>
        </w:tc>
        <w:tc>
          <w:tcPr>
            <w:tcW w:w="3451" w:type="dxa"/>
            <w:vAlign w:val="center"/>
          </w:tcPr>
          <w:p>
            <w:pPr>
              <w:topLinePunct/>
              <w:spacing w:line="360" w:lineRule="exact"/>
              <w:jc w:val="center"/>
              <w:rPr>
                <w:b/>
                <w:color w:val="000000"/>
                <w:szCs w:val="21"/>
              </w:rPr>
            </w:pPr>
            <w:r>
              <w:rPr>
                <w:b/>
                <w:color w:val="000000"/>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color w:val="000000"/>
                <w:szCs w:val="21"/>
              </w:rPr>
            </w:pPr>
            <w:r>
              <w:rPr>
                <w:color w:val="000000"/>
                <w:kern w:val="0"/>
                <w:szCs w:val="21"/>
              </w:rPr>
              <w:t>1</w:t>
            </w:r>
          </w:p>
        </w:tc>
        <w:tc>
          <w:tcPr>
            <w:tcW w:w="2101" w:type="dxa"/>
            <w:vAlign w:val="center"/>
          </w:tcPr>
          <w:p>
            <w:pPr>
              <w:topLinePunct/>
              <w:spacing w:line="360" w:lineRule="exact"/>
              <w:jc w:val="center"/>
              <w:rPr>
                <w:color w:val="000000"/>
                <w:szCs w:val="21"/>
              </w:rPr>
            </w:pPr>
            <w:r>
              <w:rPr>
                <w:color w:val="000000"/>
                <w:kern w:val="0"/>
                <w:szCs w:val="21"/>
              </w:rPr>
              <w:t>电费</w:t>
            </w:r>
          </w:p>
        </w:tc>
        <w:tc>
          <w:tcPr>
            <w:tcW w:w="2551" w:type="dxa"/>
            <w:vAlign w:val="center"/>
          </w:tcPr>
          <w:p>
            <w:pPr>
              <w:topLinePunct/>
              <w:spacing w:line="360" w:lineRule="exact"/>
              <w:jc w:val="center"/>
              <w:rPr>
                <w:color w:val="000000"/>
                <w:szCs w:val="21"/>
              </w:rPr>
            </w:pPr>
            <w:r>
              <w:rPr>
                <w:color w:val="000000"/>
                <w:szCs w:val="21"/>
              </w:rPr>
              <w:t>9</w:t>
            </w:r>
          </w:p>
        </w:tc>
        <w:tc>
          <w:tcPr>
            <w:tcW w:w="3451" w:type="dxa"/>
            <w:vAlign w:val="center"/>
          </w:tcPr>
          <w:p>
            <w:pPr>
              <w:topLinePunct/>
              <w:spacing w:line="360" w:lineRule="exact"/>
              <w:jc w:val="center"/>
              <w:rPr>
                <w:color w:val="000000"/>
                <w:szCs w:val="21"/>
              </w:rPr>
            </w:pPr>
            <w:r>
              <w:rPr>
                <w:color w:val="000000"/>
                <w:szCs w:val="21"/>
              </w:rPr>
              <w:t>112.5万kwh/年，单价0.6元/Kwh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color w:val="000000"/>
                <w:kern w:val="0"/>
                <w:szCs w:val="21"/>
              </w:rPr>
            </w:pPr>
            <w:r>
              <w:rPr>
                <w:color w:val="000000"/>
                <w:kern w:val="0"/>
                <w:szCs w:val="21"/>
              </w:rPr>
              <w:t>2</w:t>
            </w:r>
          </w:p>
        </w:tc>
        <w:tc>
          <w:tcPr>
            <w:tcW w:w="2101" w:type="dxa"/>
            <w:vAlign w:val="center"/>
          </w:tcPr>
          <w:p>
            <w:pPr>
              <w:topLinePunct/>
              <w:spacing w:line="360" w:lineRule="exact"/>
              <w:jc w:val="center"/>
              <w:rPr>
                <w:color w:val="000000"/>
                <w:kern w:val="0"/>
                <w:szCs w:val="21"/>
              </w:rPr>
            </w:pPr>
            <w:r>
              <w:rPr>
                <w:color w:val="000000"/>
                <w:kern w:val="0"/>
                <w:szCs w:val="21"/>
              </w:rPr>
              <w:t>工人工资</w:t>
            </w:r>
          </w:p>
        </w:tc>
        <w:tc>
          <w:tcPr>
            <w:tcW w:w="2551" w:type="dxa"/>
            <w:vAlign w:val="center"/>
          </w:tcPr>
          <w:p>
            <w:pPr>
              <w:topLinePunct/>
              <w:spacing w:line="360" w:lineRule="exact"/>
              <w:jc w:val="center"/>
              <w:rPr>
                <w:color w:val="000000"/>
                <w:szCs w:val="21"/>
              </w:rPr>
            </w:pPr>
            <w:r>
              <w:rPr>
                <w:color w:val="000000"/>
                <w:szCs w:val="21"/>
              </w:rPr>
              <w:t>6</w:t>
            </w:r>
          </w:p>
        </w:tc>
        <w:tc>
          <w:tcPr>
            <w:tcW w:w="3451" w:type="dxa"/>
            <w:vAlign w:val="center"/>
          </w:tcPr>
          <w:p>
            <w:pPr>
              <w:topLinePunct/>
              <w:spacing w:line="360" w:lineRule="exact"/>
              <w:jc w:val="center"/>
              <w:rPr>
                <w:color w:val="000000"/>
                <w:kern w:val="0"/>
                <w:szCs w:val="21"/>
              </w:rPr>
            </w:pPr>
            <w:r>
              <w:rPr>
                <w:color w:val="000000"/>
                <w:kern w:val="0"/>
                <w:szCs w:val="21"/>
              </w:rPr>
              <w:t>2人，</w:t>
            </w:r>
            <w:r>
              <w:rPr>
                <w:bCs/>
                <w:color w:val="000000"/>
                <w:szCs w:val="21"/>
              </w:rPr>
              <w:t>人员工资3万元/人·年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color w:val="000000"/>
                <w:kern w:val="0"/>
                <w:szCs w:val="21"/>
              </w:rPr>
            </w:pPr>
            <w:r>
              <w:rPr>
                <w:color w:val="000000"/>
                <w:kern w:val="0"/>
                <w:szCs w:val="21"/>
              </w:rPr>
              <w:t>3</w:t>
            </w:r>
          </w:p>
        </w:tc>
        <w:tc>
          <w:tcPr>
            <w:tcW w:w="2101" w:type="dxa"/>
            <w:vAlign w:val="center"/>
          </w:tcPr>
          <w:p>
            <w:pPr>
              <w:topLinePunct/>
              <w:spacing w:line="360" w:lineRule="exact"/>
              <w:jc w:val="center"/>
              <w:rPr>
                <w:color w:val="000000"/>
                <w:kern w:val="0"/>
                <w:szCs w:val="21"/>
              </w:rPr>
            </w:pPr>
            <w:r>
              <w:rPr>
                <w:color w:val="000000"/>
                <w:kern w:val="0"/>
                <w:szCs w:val="21"/>
              </w:rPr>
              <w:t>设备折旧、维护</w:t>
            </w:r>
          </w:p>
        </w:tc>
        <w:tc>
          <w:tcPr>
            <w:tcW w:w="2551" w:type="dxa"/>
            <w:vAlign w:val="center"/>
          </w:tcPr>
          <w:p>
            <w:pPr>
              <w:topLinePunct/>
              <w:spacing w:line="360" w:lineRule="exact"/>
              <w:jc w:val="center"/>
              <w:rPr>
                <w:bCs/>
                <w:color w:val="000000"/>
                <w:szCs w:val="21"/>
              </w:rPr>
            </w:pPr>
            <w:r>
              <w:rPr>
                <w:bCs/>
                <w:color w:val="000000"/>
                <w:szCs w:val="21"/>
              </w:rPr>
              <w:t>1.5</w:t>
            </w:r>
          </w:p>
        </w:tc>
        <w:tc>
          <w:tcPr>
            <w:tcW w:w="3451" w:type="dxa"/>
            <w:vAlign w:val="center"/>
          </w:tcPr>
          <w:p>
            <w:pPr>
              <w:topLinePunct/>
              <w:spacing w:line="360" w:lineRule="exact"/>
              <w:jc w:val="center"/>
              <w:rPr>
                <w:bCs/>
                <w:color w:val="000000"/>
                <w:szCs w:val="21"/>
              </w:rPr>
            </w:pPr>
            <w:r>
              <w:rPr>
                <w:color w:val="000000"/>
                <w:szCs w:val="21"/>
              </w:rPr>
              <w:t>总投资30万元，按20年折旧期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3" w:type="dxa"/>
            <w:vAlign w:val="center"/>
          </w:tcPr>
          <w:p>
            <w:pPr>
              <w:topLinePunct/>
              <w:spacing w:line="360" w:lineRule="exact"/>
              <w:jc w:val="center"/>
              <w:rPr>
                <w:color w:val="000000"/>
                <w:szCs w:val="21"/>
              </w:rPr>
            </w:pPr>
            <w:r>
              <w:rPr>
                <w:color w:val="000000"/>
                <w:szCs w:val="21"/>
              </w:rPr>
              <w:t>4</w:t>
            </w:r>
          </w:p>
        </w:tc>
        <w:tc>
          <w:tcPr>
            <w:tcW w:w="2101" w:type="dxa"/>
            <w:vAlign w:val="center"/>
          </w:tcPr>
          <w:p>
            <w:pPr>
              <w:topLinePunct/>
              <w:spacing w:line="360" w:lineRule="exact"/>
              <w:jc w:val="center"/>
              <w:rPr>
                <w:color w:val="000000"/>
                <w:szCs w:val="21"/>
              </w:rPr>
            </w:pPr>
            <w:r>
              <w:rPr>
                <w:color w:val="000000"/>
                <w:kern w:val="0"/>
                <w:szCs w:val="21"/>
              </w:rPr>
              <w:t>合计</w:t>
            </w:r>
          </w:p>
        </w:tc>
        <w:tc>
          <w:tcPr>
            <w:tcW w:w="2551" w:type="dxa"/>
            <w:vAlign w:val="center"/>
          </w:tcPr>
          <w:p>
            <w:pPr>
              <w:topLinePunct/>
              <w:spacing w:line="360" w:lineRule="exact"/>
              <w:jc w:val="center"/>
              <w:rPr>
                <w:color w:val="000000"/>
                <w:szCs w:val="21"/>
              </w:rPr>
            </w:pPr>
            <w:r>
              <w:rPr>
                <w:color w:val="000000"/>
                <w:szCs w:val="21"/>
              </w:rPr>
              <w:t>16.5</w:t>
            </w:r>
          </w:p>
        </w:tc>
        <w:tc>
          <w:tcPr>
            <w:tcW w:w="3451" w:type="dxa"/>
            <w:vAlign w:val="center"/>
          </w:tcPr>
          <w:p>
            <w:pPr>
              <w:topLinePunct/>
              <w:spacing w:line="360" w:lineRule="exact"/>
              <w:jc w:val="center"/>
              <w:rPr>
                <w:color w:val="000000"/>
                <w:szCs w:val="21"/>
              </w:rPr>
            </w:pPr>
            <w:r>
              <w:rPr>
                <w:color w:val="000000"/>
                <w:szCs w:val="21"/>
              </w:rPr>
              <w:t>/</w:t>
            </w:r>
          </w:p>
        </w:tc>
      </w:tr>
    </w:tbl>
    <w:p>
      <w:pPr>
        <w:topLinePunct/>
        <w:spacing w:line="500" w:lineRule="exact"/>
        <w:ind w:firstLine="573"/>
        <w:rPr>
          <w:color w:val="000000"/>
          <w:sz w:val="24"/>
          <w:szCs w:val="28"/>
        </w:rPr>
      </w:pPr>
      <w:r>
        <w:rPr>
          <w:color w:val="000000"/>
          <w:sz w:val="24"/>
          <w:szCs w:val="28"/>
        </w:rPr>
        <w:t>本次完成后，全场年利润总额为</w:t>
      </w:r>
      <w:r>
        <w:rPr>
          <w:color w:val="000000"/>
          <w:sz w:val="24"/>
        </w:rPr>
        <w:t>2595.30</w:t>
      </w:r>
      <w:r>
        <w:rPr>
          <w:color w:val="000000"/>
          <w:sz w:val="24"/>
          <w:szCs w:val="28"/>
        </w:rPr>
        <w:t>万元，环保设施运行年费用为16.5万，占年利润总额的0.64%，本项目环保设施运行费用合理。</w:t>
      </w:r>
    </w:p>
    <w:p>
      <w:pPr>
        <w:pStyle w:val="4"/>
        <w:spacing w:before="156" w:after="156"/>
        <w:rPr>
          <w:rFonts w:hAnsi="Times New Roman"/>
          <w:color w:val="000000"/>
        </w:rPr>
      </w:pPr>
      <w:bookmarkStart w:id="308" w:name="_Toc375206212"/>
      <w:bookmarkStart w:id="309" w:name="_Toc3019549"/>
      <w:bookmarkStart w:id="310" w:name="_Toc488572582"/>
      <w:r>
        <w:rPr>
          <w:rFonts w:hAnsi="Times New Roman"/>
          <w:color w:val="000000"/>
        </w:rPr>
        <w:t xml:space="preserve">7.3 </w:t>
      </w:r>
      <w:bookmarkEnd w:id="308"/>
      <w:r>
        <w:rPr>
          <w:rFonts w:hAnsi="Times New Roman"/>
          <w:color w:val="000000"/>
        </w:rPr>
        <w:t>经济效益分析</w:t>
      </w:r>
      <w:bookmarkEnd w:id="309"/>
      <w:bookmarkEnd w:id="310"/>
    </w:p>
    <w:p>
      <w:pPr>
        <w:topLinePunct/>
        <w:spacing w:line="500" w:lineRule="exact"/>
        <w:ind w:firstLine="480" w:firstLineChars="200"/>
        <w:rPr>
          <w:color w:val="000000"/>
          <w:sz w:val="24"/>
        </w:rPr>
      </w:pPr>
      <w:r>
        <w:rPr>
          <w:color w:val="000000"/>
          <w:sz w:val="24"/>
        </w:rPr>
        <w:t>本项目为生猪养殖项目，工程总投资为12000万元，包括猪舍、污染治理工程及辅助生产设施等。工程主要经济指标见表7-2。</w:t>
      </w:r>
    </w:p>
    <w:p>
      <w:pPr>
        <w:topLinePunct/>
        <w:spacing w:line="500" w:lineRule="exact"/>
        <w:ind w:firstLine="422" w:firstLineChars="200"/>
        <w:jc w:val="center"/>
        <w:rPr>
          <w:b/>
          <w:color w:val="000000"/>
          <w:szCs w:val="21"/>
        </w:rPr>
      </w:pPr>
      <w:r>
        <w:rPr>
          <w:b/>
          <w:color w:val="000000"/>
          <w:szCs w:val="21"/>
        </w:rPr>
        <w:t>表7-2工程主要技术经济指标表</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075"/>
        <w:gridCol w:w="1447"/>
        <w:gridCol w:w="2163"/>
        <w:gridCol w:w="20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02" w:type="dxa"/>
            <w:vAlign w:val="center"/>
          </w:tcPr>
          <w:p>
            <w:pPr>
              <w:topLinePunct/>
              <w:adjustRightInd w:val="0"/>
              <w:snapToGrid w:val="0"/>
              <w:spacing w:line="320" w:lineRule="exact"/>
              <w:jc w:val="center"/>
              <w:rPr>
                <w:b/>
                <w:color w:val="000000"/>
                <w:szCs w:val="21"/>
              </w:rPr>
            </w:pPr>
            <w:r>
              <w:rPr>
                <w:b/>
                <w:color w:val="000000"/>
                <w:szCs w:val="21"/>
              </w:rPr>
              <w:t>序号</w:t>
            </w:r>
          </w:p>
        </w:tc>
        <w:tc>
          <w:tcPr>
            <w:tcW w:w="2075" w:type="dxa"/>
            <w:vAlign w:val="center"/>
          </w:tcPr>
          <w:p>
            <w:pPr>
              <w:topLinePunct/>
              <w:adjustRightInd w:val="0"/>
              <w:snapToGrid w:val="0"/>
              <w:spacing w:line="320" w:lineRule="exact"/>
              <w:jc w:val="center"/>
              <w:rPr>
                <w:b/>
                <w:color w:val="000000"/>
                <w:szCs w:val="21"/>
              </w:rPr>
            </w:pPr>
            <w:r>
              <w:rPr>
                <w:b/>
                <w:color w:val="000000"/>
                <w:szCs w:val="21"/>
              </w:rPr>
              <w:t>指标名称</w:t>
            </w:r>
          </w:p>
        </w:tc>
        <w:tc>
          <w:tcPr>
            <w:tcW w:w="1447" w:type="dxa"/>
            <w:vAlign w:val="center"/>
          </w:tcPr>
          <w:p>
            <w:pPr>
              <w:topLinePunct/>
              <w:adjustRightInd w:val="0"/>
              <w:snapToGrid w:val="0"/>
              <w:spacing w:line="320" w:lineRule="exact"/>
              <w:jc w:val="center"/>
              <w:rPr>
                <w:b/>
                <w:color w:val="000000"/>
                <w:szCs w:val="21"/>
              </w:rPr>
            </w:pPr>
            <w:r>
              <w:rPr>
                <w:b/>
                <w:color w:val="000000"/>
                <w:szCs w:val="21"/>
              </w:rPr>
              <w:t>单位</w:t>
            </w:r>
          </w:p>
        </w:tc>
        <w:tc>
          <w:tcPr>
            <w:tcW w:w="2163" w:type="dxa"/>
            <w:vAlign w:val="center"/>
          </w:tcPr>
          <w:p>
            <w:pPr>
              <w:topLinePunct/>
              <w:adjustRightInd w:val="0"/>
              <w:snapToGrid w:val="0"/>
              <w:spacing w:line="320" w:lineRule="exact"/>
              <w:jc w:val="center"/>
              <w:rPr>
                <w:b/>
                <w:color w:val="000000"/>
                <w:szCs w:val="21"/>
              </w:rPr>
            </w:pPr>
            <w:r>
              <w:rPr>
                <w:b/>
                <w:color w:val="000000"/>
                <w:szCs w:val="21"/>
              </w:rPr>
              <w:t>总体工程</w:t>
            </w:r>
          </w:p>
        </w:tc>
        <w:tc>
          <w:tcPr>
            <w:tcW w:w="2059" w:type="dxa"/>
            <w:vAlign w:val="center"/>
          </w:tcPr>
          <w:p>
            <w:pPr>
              <w:topLinePunct/>
              <w:adjustRightInd w:val="0"/>
              <w:snapToGrid w:val="0"/>
              <w:spacing w:line="320" w:lineRule="exact"/>
              <w:jc w:val="center"/>
              <w:rPr>
                <w:b/>
                <w:color w:val="000000"/>
                <w:szCs w:val="21"/>
              </w:rPr>
            </w:pPr>
            <w:r>
              <w:rPr>
                <w:b/>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Align w:val="center"/>
          </w:tcPr>
          <w:p>
            <w:pPr>
              <w:topLinePunct/>
              <w:adjustRightInd w:val="0"/>
              <w:snapToGrid w:val="0"/>
              <w:spacing w:line="320" w:lineRule="exact"/>
              <w:jc w:val="center"/>
              <w:rPr>
                <w:color w:val="000000"/>
                <w:szCs w:val="21"/>
              </w:rPr>
            </w:pPr>
            <w:r>
              <w:rPr>
                <w:color w:val="000000"/>
                <w:szCs w:val="21"/>
              </w:rPr>
              <w:t>1</w:t>
            </w:r>
          </w:p>
        </w:tc>
        <w:tc>
          <w:tcPr>
            <w:tcW w:w="2075" w:type="dxa"/>
            <w:vAlign w:val="center"/>
          </w:tcPr>
          <w:p>
            <w:pPr>
              <w:topLinePunct/>
              <w:adjustRightInd w:val="0"/>
              <w:snapToGrid w:val="0"/>
              <w:spacing w:line="320" w:lineRule="exact"/>
              <w:jc w:val="center"/>
              <w:rPr>
                <w:color w:val="000000"/>
                <w:szCs w:val="21"/>
              </w:rPr>
            </w:pPr>
            <w:r>
              <w:rPr>
                <w:color w:val="000000"/>
                <w:szCs w:val="21"/>
              </w:rPr>
              <w:t>项目总投资</w:t>
            </w:r>
          </w:p>
        </w:tc>
        <w:tc>
          <w:tcPr>
            <w:tcW w:w="1447" w:type="dxa"/>
            <w:vAlign w:val="center"/>
          </w:tcPr>
          <w:p>
            <w:pPr>
              <w:topLinePunct/>
              <w:adjustRightInd w:val="0"/>
              <w:snapToGrid w:val="0"/>
              <w:spacing w:line="320" w:lineRule="exact"/>
              <w:jc w:val="center"/>
              <w:rPr>
                <w:color w:val="000000"/>
                <w:szCs w:val="21"/>
              </w:rPr>
            </w:pPr>
            <w:r>
              <w:rPr>
                <w:color w:val="000000"/>
                <w:szCs w:val="21"/>
              </w:rPr>
              <w:t>万元</w:t>
            </w:r>
          </w:p>
        </w:tc>
        <w:tc>
          <w:tcPr>
            <w:tcW w:w="2163" w:type="dxa"/>
            <w:vAlign w:val="bottom"/>
          </w:tcPr>
          <w:p>
            <w:pPr>
              <w:jc w:val="center"/>
              <w:rPr>
                <w:color w:val="000000"/>
                <w:sz w:val="24"/>
              </w:rPr>
            </w:pPr>
            <w:r>
              <w:rPr>
                <w:rFonts w:hint="eastAsia"/>
                <w:color w:val="000000"/>
                <w:sz w:val="22"/>
              </w:rPr>
              <w:t>12000</w:t>
            </w:r>
          </w:p>
        </w:tc>
        <w:tc>
          <w:tcPr>
            <w:tcW w:w="2059" w:type="dxa"/>
            <w:vAlign w:val="center"/>
          </w:tcPr>
          <w:p>
            <w:pPr>
              <w:topLinePunct/>
              <w:adjustRightInd w:val="0"/>
              <w:snapToGrid w:val="0"/>
              <w:spacing w:line="320" w:lineRule="exact"/>
              <w:jc w:val="center"/>
              <w:rPr>
                <w:color w:val="000000"/>
                <w:szCs w:val="21"/>
              </w:rPr>
            </w:pPr>
            <w:r>
              <w:rPr>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Align w:val="center"/>
          </w:tcPr>
          <w:p>
            <w:pPr>
              <w:topLinePunct/>
              <w:adjustRightInd w:val="0"/>
              <w:snapToGrid w:val="0"/>
              <w:spacing w:line="320" w:lineRule="exact"/>
              <w:jc w:val="center"/>
              <w:rPr>
                <w:color w:val="000000"/>
                <w:szCs w:val="21"/>
              </w:rPr>
            </w:pPr>
            <w:r>
              <w:rPr>
                <w:color w:val="000000"/>
                <w:szCs w:val="21"/>
              </w:rPr>
              <w:t>2</w:t>
            </w:r>
          </w:p>
        </w:tc>
        <w:tc>
          <w:tcPr>
            <w:tcW w:w="2075" w:type="dxa"/>
            <w:vAlign w:val="center"/>
          </w:tcPr>
          <w:p>
            <w:pPr>
              <w:topLinePunct/>
              <w:adjustRightInd w:val="0"/>
              <w:snapToGrid w:val="0"/>
              <w:spacing w:line="320" w:lineRule="exact"/>
              <w:jc w:val="center"/>
              <w:rPr>
                <w:color w:val="000000"/>
                <w:szCs w:val="21"/>
              </w:rPr>
            </w:pPr>
            <w:r>
              <w:rPr>
                <w:color w:val="000000"/>
                <w:szCs w:val="21"/>
              </w:rPr>
              <w:t>年利润总额</w:t>
            </w:r>
          </w:p>
        </w:tc>
        <w:tc>
          <w:tcPr>
            <w:tcW w:w="1447" w:type="dxa"/>
            <w:vAlign w:val="center"/>
          </w:tcPr>
          <w:p>
            <w:pPr>
              <w:topLinePunct/>
              <w:adjustRightInd w:val="0"/>
              <w:snapToGrid w:val="0"/>
              <w:spacing w:line="320" w:lineRule="exact"/>
              <w:jc w:val="center"/>
              <w:rPr>
                <w:color w:val="000000"/>
                <w:szCs w:val="21"/>
              </w:rPr>
            </w:pPr>
            <w:r>
              <w:rPr>
                <w:color w:val="000000"/>
                <w:szCs w:val="21"/>
              </w:rPr>
              <w:t>万元</w:t>
            </w:r>
          </w:p>
        </w:tc>
        <w:tc>
          <w:tcPr>
            <w:tcW w:w="2163" w:type="dxa"/>
            <w:vAlign w:val="bottom"/>
          </w:tcPr>
          <w:p>
            <w:pPr>
              <w:jc w:val="center"/>
              <w:rPr>
                <w:color w:val="000000"/>
                <w:szCs w:val="21"/>
              </w:rPr>
            </w:pPr>
            <w:r>
              <w:rPr>
                <w:rFonts w:hint="eastAsia"/>
                <w:color w:val="000000"/>
                <w:szCs w:val="21"/>
              </w:rPr>
              <w:t>3517.2</w:t>
            </w:r>
          </w:p>
        </w:tc>
        <w:tc>
          <w:tcPr>
            <w:tcW w:w="2059" w:type="dxa"/>
            <w:vAlign w:val="center"/>
          </w:tcPr>
          <w:p>
            <w:pPr>
              <w:topLinePunct/>
              <w:adjustRightInd w:val="0"/>
              <w:snapToGrid w:val="0"/>
              <w:spacing w:line="320" w:lineRule="exact"/>
              <w:jc w:val="center"/>
              <w:rPr>
                <w:color w:val="000000"/>
                <w:szCs w:val="21"/>
              </w:rPr>
            </w:pPr>
            <w:r>
              <w:rPr>
                <w:color w:val="000000"/>
                <w:szCs w:val="21"/>
              </w:rPr>
              <w:t>以第七年为例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Align w:val="center"/>
          </w:tcPr>
          <w:p>
            <w:pPr>
              <w:topLinePunct/>
              <w:adjustRightInd w:val="0"/>
              <w:snapToGrid w:val="0"/>
              <w:spacing w:line="320" w:lineRule="exact"/>
              <w:jc w:val="center"/>
              <w:rPr>
                <w:color w:val="000000"/>
                <w:szCs w:val="21"/>
              </w:rPr>
            </w:pPr>
            <w:r>
              <w:rPr>
                <w:color w:val="000000"/>
                <w:szCs w:val="21"/>
              </w:rPr>
              <w:t>3</w:t>
            </w:r>
          </w:p>
        </w:tc>
        <w:tc>
          <w:tcPr>
            <w:tcW w:w="2075" w:type="dxa"/>
            <w:vAlign w:val="center"/>
          </w:tcPr>
          <w:p>
            <w:pPr>
              <w:topLinePunct/>
              <w:adjustRightInd w:val="0"/>
              <w:snapToGrid w:val="0"/>
              <w:spacing w:line="320" w:lineRule="exact"/>
              <w:jc w:val="center"/>
              <w:rPr>
                <w:color w:val="000000"/>
                <w:szCs w:val="21"/>
              </w:rPr>
            </w:pPr>
            <w:r>
              <w:rPr>
                <w:color w:val="000000"/>
                <w:szCs w:val="21"/>
              </w:rPr>
              <w:t>净现值</w:t>
            </w:r>
          </w:p>
        </w:tc>
        <w:tc>
          <w:tcPr>
            <w:tcW w:w="1447" w:type="dxa"/>
            <w:vAlign w:val="center"/>
          </w:tcPr>
          <w:p>
            <w:pPr>
              <w:topLinePunct/>
              <w:adjustRightInd w:val="0"/>
              <w:snapToGrid w:val="0"/>
              <w:spacing w:line="320" w:lineRule="exact"/>
              <w:jc w:val="center"/>
              <w:rPr>
                <w:color w:val="000000"/>
                <w:szCs w:val="21"/>
              </w:rPr>
            </w:pPr>
            <w:r>
              <w:rPr>
                <w:color w:val="000000"/>
                <w:szCs w:val="21"/>
              </w:rPr>
              <w:t>万元</w:t>
            </w:r>
          </w:p>
        </w:tc>
        <w:tc>
          <w:tcPr>
            <w:tcW w:w="2163" w:type="dxa"/>
            <w:vAlign w:val="bottom"/>
          </w:tcPr>
          <w:p>
            <w:pPr>
              <w:jc w:val="center"/>
              <w:rPr>
                <w:color w:val="000000"/>
                <w:szCs w:val="21"/>
              </w:rPr>
            </w:pPr>
            <w:r>
              <w:rPr>
                <w:rFonts w:hint="eastAsia"/>
                <w:color w:val="000000"/>
                <w:szCs w:val="21"/>
              </w:rPr>
              <w:t>4551.7</w:t>
            </w:r>
          </w:p>
        </w:tc>
        <w:tc>
          <w:tcPr>
            <w:tcW w:w="2059" w:type="dxa"/>
            <w:vAlign w:val="center"/>
          </w:tcPr>
          <w:p>
            <w:pPr>
              <w:topLinePunct/>
              <w:adjustRightInd w:val="0"/>
              <w:snapToGrid w:val="0"/>
              <w:spacing w:line="320" w:lineRule="exact"/>
              <w:jc w:val="center"/>
              <w:rPr>
                <w:color w:val="000000"/>
                <w:szCs w:val="21"/>
              </w:rPr>
            </w:pPr>
            <w:r>
              <w:rPr>
                <w:color w:val="000000"/>
                <w:szCs w:val="21"/>
              </w:rPr>
              <w:t>税后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Align w:val="center"/>
          </w:tcPr>
          <w:p>
            <w:pPr>
              <w:topLinePunct/>
              <w:adjustRightInd w:val="0"/>
              <w:snapToGrid w:val="0"/>
              <w:spacing w:line="320" w:lineRule="exact"/>
              <w:jc w:val="center"/>
              <w:rPr>
                <w:color w:val="000000"/>
                <w:szCs w:val="21"/>
              </w:rPr>
            </w:pPr>
            <w:r>
              <w:rPr>
                <w:color w:val="000000"/>
                <w:szCs w:val="21"/>
              </w:rPr>
              <w:t>4</w:t>
            </w:r>
          </w:p>
        </w:tc>
        <w:tc>
          <w:tcPr>
            <w:tcW w:w="2075" w:type="dxa"/>
            <w:vAlign w:val="center"/>
          </w:tcPr>
          <w:p>
            <w:pPr>
              <w:topLinePunct/>
              <w:adjustRightInd w:val="0"/>
              <w:snapToGrid w:val="0"/>
              <w:spacing w:line="320" w:lineRule="exact"/>
              <w:jc w:val="center"/>
              <w:rPr>
                <w:color w:val="000000"/>
                <w:szCs w:val="21"/>
              </w:rPr>
            </w:pPr>
            <w:r>
              <w:rPr>
                <w:color w:val="000000"/>
                <w:szCs w:val="21"/>
              </w:rPr>
              <w:t>内部收益率</w:t>
            </w:r>
          </w:p>
        </w:tc>
        <w:tc>
          <w:tcPr>
            <w:tcW w:w="1447" w:type="dxa"/>
            <w:vAlign w:val="center"/>
          </w:tcPr>
          <w:p>
            <w:pPr>
              <w:topLinePunct/>
              <w:adjustRightInd w:val="0"/>
              <w:snapToGrid w:val="0"/>
              <w:spacing w:line="320" w:lineRule="exact"/>
              <w:jc w:val="center"/>
              <w:rPr>
                <w:color w:val="000000"/>
                <w:szCs w:val="21"/>
              </w:rPr>
            </w:pPr>
            <w:r>
              <w:rPr>
                <w:color w:val="000000"/>
                <w:szCs w:val="21"/>
              </w:rPr>
              <w:t>%</w:t>
            </w:r>
          </w:p>
        </w:tc>
        <w:tc>
          <w:tcPr>
            <w:tcW w:w="2163" w:type="dxa"/>
            <w:vAlign w:val="bottom"/>
          </w:tcPr>
          <w:p>
            <w:pPr>
              <w:jc w:val="center"/>
              <w:rPr>
                <w:color w:val="000000"/>
                <w:szCs w:val="21"/>
              </w:rPr>
            </w:pPr>
            <w:r>
              <w:rPr>
                <w:rFonts w:hint="eastAsia"/>
                <w:color w:val="000000"/>
                <w:szCs w:val="21"/>
              </w:rPr>
              <w:t>27.8</w:t>
            </w:r>
          </w:p>
        </w:tc>
        <w:tc>
          <w:tcPr>
            <w:tcW w:w="2059" w:type="dxa"/>
            <w:vAlign w:val="center"/>
          </w:tcPr>
          <w:p>
            <w:pPr>
              <w:topLinePunct/>
              <w:adjustRightInd w:val="0"/>
              <w:snapToGrid w:val="0"/>
              <w:spacing w:line="320" w:lineRule="exact"/>
              <w:jc w:val="center"/>
              <w:rPr>
                <w:color w:val="000000"/>
                <w:szCs w:val="21"/>
              </w:rPr>
            </w:pPr>
            <w:r>
              <w:rPr>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2" w:type="dxa"/>
            <w:vAlign w:val="center"/>
          </w:tcPr>
          <w:p>
            <w:pPr>
              <w:topLinePunct/>
              <w:adjustRightInd w:val="0"/>
              <w:snapToGrid w:val="0"/>
              <w:spacing w:line="320" w:lineRule="exact"/>
              <w:jc w:val="center"/>
              <w:rPr>
                <w:color w:val="000000"/>
                <w:szCs w:val="21"/>
              </w:rPr>
            </w:pPr>
            <w:r>
              <w:rPr>
                <w:color w:val="000000"/>
                <w:szCs w:val="21"/>
              </w:rPr>
              <w:t>5</w:t>
            </w:r>
          </w:p>
        </w:tc>
        <w:tc>
          <w:tcPr>
            <w:tcW w:w="2075" w:type="dxa"/>
            <w:vAlign w:val="center"/>
          </w:tcPr>
          <w:p>
            <w:pPr>
              <w:topLinePunct/>
              <w:adjustRightInd w:val="0"/>
              <w:snapToGrid w:val="0"/>
              <w:spacing w:line="320" w:lineRule="exact"/>
              <w:jc w:val="center"/>
              <w:rPr>
                <w:color w:val="000000"/>
                <w:szCs w:val="21"/>
              </w:rPr>
            </w:pPr>
            <w:r>
              <w:rPr>
                <w:color w:val="000000"/>
                <w:szCs w:val="21"/>
              </w:rPr>
              <w:t>全部投资回收期</w:t>
            </w:r>
          </w:p>
        </w:tc>
        <w:tc>
          <w:tcPr>
            <w:tcW w:w="1447" w:type="dxa"/>
            <w:vAlign w:val="center"/>
          </w:tcPr>
          <w:p>
            <w:pPr>
              <w:topLinePunct/>
              <w:adjustRightInd w:val="0"/>
              <w:snapToGrid w:val="0"/>
              <w:spacing w:line="320" w:lineRule="exact"/>
              <w:jc w:val="center"/>
              <w:rPr>
                <w:color w:val="000000"/>
                <w:szCs w:val="21"/>
              </w:rPr>
            </w:pPr>
            <w:r>
              <w:rPr>
                <w:color w:val="000000"/>
                <w:szCs w:val="21"/>
              </w:rPr>
              <w:t>年</w:t>
            </w:r>
          </w:p>
        </w:tc>
        <w:tc>
          <w:tcPr>
            <w:tcW w:w="2163" w:type="dxa"/>
            <w:vAlign w:val="center"/>
          </w:tcPr>
          <w:p>
            <w:pPr>
              <w:jc w:val="center"/>
              <w:rPr>
                <w:color w:val="000000"/>
                <w:szCs w:val="21"/>
              </w:rPr>
            </w:pPr>
            <w:r>
              <w:rPr>
                <w:rFonts w:hint="eastAsia"/>
                <w:color w:val="000000"/>
                <w:szCs w:val="21"/>
              </w:rPr>
              <w:t>3.59</w:t>
            </w:r>
          </w:p>
        </w:tc>
        <w:tc>
          <w:tcPr>
            <w:tcW w:w="2059" w:type="dxa"/>
            <w:vAlign w:val="center"/>
          </w:tcPr>
          <w:p>
            <w:pPr>
              <w:topLinePunct/>
              <w:adjustRightInd w:val="0"/>
              <w:snapToGrid w:val="0"/>
              <w:spacing w:line="320" w:lineRule="exact"/>
              <w:jc w:val="center"/>
              <w:rPr>
                <w:color w:val="000000"/>
                <w:szCs w:val="21"/>
              </w:rPr>
            </w:pPr>
            <w:r>
              <w:rPr>
                <w:color w:val="000000"/>
                <w:szCs w:val="21"/>
              </w:rPr>
              <w:t>税后，含建设期</w:t>
            </w:r>
            <w:r>
              <w:rPr>
                <w:rFonts w:hint="eastAsia"/>
                <w:color w:val="000000"/>
                <w:szCs w:val="21"/>
              </w:rPr>
              <w:t>0.8</w:t>
            </w:r>
            <w:r>
              <w:rPr>
                <w:color w:val="000000"/>
                <w:szCs w:val="21"/>
              </w:rPr>
              <w:t>年</w:t>
            </w:r>
          </w:p>
        </w:tc>
      </w:tr>
    </w:tbl>
    <w:p>
      <w:pPr>
        <w:topLinePunct/>
        <w:spacing w:line="500" w:lineRule="exact"/>
        <w:ind w:firstLine="480" w:firstLineChars="200"/>
        <w:rPr>
          <w:color w:val="000000"/>
          <w:sz w:val="24"/>
        </w:rPr>
      </w:pPr>
      <w:r>
        <w:rPr>
          <w:color w:val="000000"/>
          <w:sz w:val="24"/>
        </w:rPr>
        <w:t>由表7-2可以看出，该项目投资回收期较短，投资利润率高，具有较强的盈利能力，从工程的经济效益分析，该项目可行。</w:t>
      </w:r>
    </w:p>
    <w:p>
      <w:pPr>
        <w:topLinePunct/>
        <w:spacing w:line="500" w:lineRule="exact"/>
        <w:ind w:firstLine="480" w:firstLineChars="200"/>
        <w:rPr>
          <w:color w:val="000000"/>
          <w:sz w:val="24"/>
        </w:rPr>
      </w:pPr>
      <w:r>
        <w:rPr>
          <w:color w:val="000000"/>
          <w:sz w:val="24"/>
        </w:rPr>
        <w:t>此外，本工程的建设具有产业链效益，能够带动一方经济的快速发展，并能促进饲料加工、种植业、养殖业等相关行业的发展。</w:t>
      </w:r>
    </w:p>
    <w:p>
      <w:pPr>
        <w:pStyle w:val="4"/>
        <w:spacing w:before="156" w:after="156"/>
        <w:rPr>
          <w:rFonts w:hAnsi="Times New Roman"/>
          <w:color w:val="000000"/>
        </w:rPr>
      </w:pPr>
      <w:bookmarkStart w:id="311" w:name="_Toc3019550"/>
      <w:bookmarkStart w:id="312" w:name="_Toc375206213"/>
      <w:bookmarkStart w:id="313" w:name="_Toc488572583"/>
      <w:r>
        <w:rPr>
          <w:rFonts w:hAnsi="Times New Roman"/>
          <w:color w:val="000000"/>
        </w:rPr>
        <w:t>7.4 环境效益分析</w:t>
      </w:r>
      <w:bookmarkEnd w:id="311"/>
      <w:bookmarkEnd w:id="312"/>
      <w:bookmarkEnd w:id="313"/>
    </w:p>
    <w:p>
      <w:pPr>
        <w:topLinePunct/>
        <w:spacing w:line="500" w:lineRule="exact"/>
        <w:ind w:firstLine="480" w:firstLineChars="200"/>
        <w:rPr>
          <w:color w:val="000000"/>
          <w:sz w:val="24"/>
        </w:rPr>
      </w:pPr>
      <w:r>
        <w:rPr>
          <w:color w:val="000000"/>
          <w:sz w:val="24"/>
        </w:rPr>
        <w:t>该项目将畜禽的粪便综合利用，做到了废物利用，变废为宝，从根本上降低了污染源，大大减轻了对周边地区的环境压力。既美化了养殖场的自然环境，消除了臭味，防止了蚊蝇孳生，又改善了周边地区的生态环境，有利于农业的可持续发展，促进项目地区水土资源的合理利用和生态环境的良性循环，使项目地区规划科学、布局合理，为项目地区无公害、有机农业生产和可持续发展提供了良好的物资基础。</w:t>
      </w:r>
    </w:p>
    <w:p>
      <w:pPr>
        <w:topLinePunct/>
        <w:spacing w:line="500" w:lineRule="exact"/>
        <w:ind w:firstLine="480" w:firstLineChars="200"/>
        <w:rPr>
          <w:color w:val="000000"/>
          <w:sz w:val="24"/>
        </w:rPr>
      </w:pPr>
      <w:r>
        <w:rPr>
          <w:color w:val="000000"/>
          <w:kern w:val="0"/>
          <w:sz w:val="24"/>
        </w:rPr>
        <w:t>项目环保投资为</w:t>
      </w:r>
      <w:r>
        <w:rPr>
          <w:rFonts w:hint="eastAsia"/>
          <w:color w:val="000000"/>
          <w:kern w:val="0"/>
          <w:sz w:val="24"/>
        </w:rPr>
        <w:t>654万</w:t>
      </w:r>
      <w:r>
        <w:rPr>
          <w:color w:val="000000"/>
          <w:kern w:val="0"/>
          <w:sz w:val="24"/>
        </w:rPr>
        <w:t>元，占总投资12000万元的比例为</w:t>
      </w:r>
      <w:r>
        <w:rPr>
          <w:rFonts w:hint="eastAsia"/>
          <w:color w:val="000000"/>
          <w:kern w:val="0"/>
          <w:sz w:val="24"/>
        </w:rPr>
        <w:t>5.45%</w:t>
      </w:r>
      <w:r>
        <w:rPr>
          <w:color w:val="000000"/>
          <w:kern w:val="0"/>
          <w:sz w:val="24"/>
        </w:rPr>
        <w:t>。</w:t>
      </w:r>
      <w:r>
        <w:rPr>
          <w:color w:val="000000"/>
          <w:sz w:val="24"/>
        </w:rPr>
        <w:t>通过各项污染防治措施的实施和清洁生产技术的落实，可做到养殖区废水最大程度的综合利用和固体废弃物的资源化利用，可取得良好的环境效益。项目环境效益分析见表7-3。</w:t>
      </w:r>
    </w:p>
    <w:p>
      <w:pPr>
        <w:topLinePunct/>
        <w:spacing w:beforeLines="50" w:afterLines="50"/>
        <w:ind w:firstLine="422" w:firstLineChars="200"/>
        <w:jc w:val="center"/>
        <w:rPr>
          <w:b/>
          <w:color w:val="000000"/>
          <w:szCs w:val="21"/>
        </w:rPr>
      </w:pPr>
      <w:r>
        <w:rPr>
          <w:b/>
          <w:color w:val="000000"/>
          <w:szCs w:val="21"/>
        </w:rPr>
        <w:t>表7-3   项目环境效益分析表</w:t>
      </w:r>
    </w:p>
    <w:tbl>
      <w:tblPr>
        <w:tblStyle w:val="44"/>
        <w:tblW w:w="894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67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75" w:type="dxa"/>
            <w:vAlign w:val="center"/>
          </w:tcPr>
          <w:p>
            <w:pPr>
              <w:topLinePunct/>
              <w:adjustRightInd w:val="0"/>
              <w:snapToGrid w:val="0"/>
              <w:spacing w:line="320" w:lineRule="exact"/>
              <w:jc w:val="center"/>
              <w:rPr>
                <w:b/>
                <w:color w:val="000000"/>
              </w:rPr>
            </w:pPr>
            <w:r>
              <w:rPr>
                <w:b/>
                <w:color w:val="000000"/>
              </w:rPr>
              <w:t>序号</w:t>
            </w:r>
          </w:p>
        </w:tc>
        <w:tc>
          <w:tcPr>
            <w:tcW w:w="1560" w:type="dxa"/>
            <w:vAlign w:val="center"/>
          </w:tcPr>
          <w:p>
            <w:pPr>
              <w:topLinePunct/>
              <w:adjustRightInd w:val="0"/>
              <w:snapToGrid w:val="0"/>
              <w:spacing w:line="320" w:lineRule="exact"/>
              <w:jc w:val="center"/>
              <w:rPr>
                <w:b/>
                <w:color w:val="000000"/>
              </w:rPr>
            </w:pPr>
            <w:r>
              <w:rPr>
                <w:b/>
                <w:color w:val="000000"/>
              </w:rPr>
              <w:t>项目</w:t>
            </w:r>
          </w:p>
        </w:tc>
        <w:tc>
          <w:tcPr>
            <w:tcW w:w="6711" w:type="dxa"/>
            <w:vAlign w:val="center"/>
          </w:tcPr>
          <w:p>
            <w:pPr>
              <w:topLinePunct/>
              <w:adjustRightInd w:val="0"/>
              <w:snapToGrid w:val="0"/>
              <w:spacing w:line="320" w:lineRule="exact"/>
              <w:jc w:val="center"/>
              <w:rPr>
                <w:b/>
                <w:color w:val="000000"/>
              </w:rPr>
            </w:pPr>
            <w:r>
              <w:rPr>
                <w:b/>
                <w:color w:val="000000"/>
              </w:rPr>
              <w:t>环境效益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topLinePunct/>
              <w:adjustRightInd w:val="0"/>
              <w:snapToGrid w:val="0"/>
              <w:spacing w:line="320" w:lineRule="exact"/>
              <w:jc w:val="center"/>
              <w:rPr>
                <w:color w:val="000000"/>
              </w:rPr>
            </w:pPr>
            <w:r>
              <w:rPr>
                <w:color w:val="000000"/>
              </w:rPr>
              <w:t>1</w:t>
            </w:r>
          </w:p>
        </w:tc>
        <w:tc>
          <w:tcPr>
            <w:tcW w:w="1560" w:type="dxa"/>
            <w:vAlign w:val="center"/>
          </w:tcPr>
          <w:p>
            <w:pPr>
              <w:topLinePunct/>
              <w:adjustRightInd w:val="0"/>
              <w:snapToGrid w:val="0"/>
              <w:spacing w:line="320" w:lineRule="exact"/>
              <w:jc w:val="center"/>
              <w:rPr>
                <w:color w:val="000000"/>
              </w:rPr>
            </w:pPr>
            <w:r>
              <w:rPr>
                <w:color w:val="000000"/>
              </w:rPr>
              <w:t>废水沼气化处理工程</w:t>
            </w:r>
          </w:p>
        </w:tc>
        <w:tc>
          <w:tcPr>
            <w:tcW w:w="6711" w:type="dxa"/>
            <w:vAlign w:val="center"/>
          </w:tcPr>
          <w:p>
            <w:pPr>
              <w:topLinePunct/>
              <w:adjustRightInd w:val="0"/>
              <w:snapToGrid w:val="0"/>
              <w:spacing w:line="320" w:lineRule="exact"/>
              <w:rPr>
                <w:color w:val="000000"/>
              </w:rPr>
            </w:pPr>
            <w:r>
              <w:rPr>
                <w:color w:val="000000"/>
                <w:szCs w:val="21"/>
              </w:rPr>
              <w:t>厌氧无害化处理后，沼液储存池暂存，定期还田利用；沼气用于食堂燃料，多余部分锅炉使用；沼渣用于制作有机肥基肥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topLinePunct/>
              <w:adjustRightInd w:val="0"/>
              <w:snapToGrid w:val="0"/>
              <w:spacing w:line="320" w:lineRule="exact"/>
              <w:jc w:val="center"/>
              <w:rPr>
                <w:color w:val="000000"/>
              </w:rPr>
            </w:pPr>
            <w:r>
              <w:rPr>
                <w:color w:val="000000"/>
              </w:rPr>
              <w:t>2</w:t>
            </w:r>
          </w:p>
        </w:tc>
        <w:tc>
          <w:tcPr>
            <w:tcW w:w="1560" w:type="dxa"/>
            <w:vAlign w:val="center"/>
          </w:tcPr>
          <w:p>
            <w:pPr>
              <w:topLinePunct/>
              <w:adjustRightInd w:val="0"/>
              <w:snapToGrid w:val="0"/>
              <w:spacing w:line="320" w:lineRule="exact"/>
              <w:jc w:val="center"/>
              <w:rPr>
                <w:color w:val="000000"/>
              </w:rPr>
            </w:pPr>
            <w:r>
              <w:rPr>
                <w:color w:val="000000"/>
              </w:rPr>
              <w:t>猪粪、沼渣综合利用</w:t>
            </w:r>
          </w:p>
        </w:tc>
        <w:tc>
          <w:tcPr>
            <w:tcW w:w="6711" w:type="dxa"/>
            <w:vAlign w:val="center"/>
          </w:tcPr>
          <w:p>
            <w:pPr>
              <w:topLinePunct/>
              <w:adjustRightInd w:val="0"/>
              <w:snapToGrid w:val="0"/>
              <w:spacing w:line="320" w:lineRule="exact"/>
              <w:rPr>
                <w:color w:val="000000"/>
              </w:rPr>
            </w:pPr>
            <w:r>
              <w:rPr>
                <w:color w:val="000000"/>
                <w:szCs w:val="21"/>
              </w:rPr>
              <w:t>无害化处理后，制作固体有机肥基肥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topLinePunct/>
              <w:adjustRightInd w:val="0"/>
              <w:snapToGrid w:val="0"/>
              <w:spacing w:line="320" w:lineRule="exact"/>
              <w:jc w:val="center"/>
              <w:rPr>
                <w:color w:val="000000"/>
              </w:rPr>
            </w:pPr>
            <w:r>
              <w:rPr>
                <w:color w:val="000000"/>
              </w:rPr>
              <w:t>3</w:t>
            </w:r>
          </w:p>
        </w:tc>
        <w:tc>
          <w:tcPr>
            <w:tcW w:w="1560" w:type="dxa"/>
            <w:vAlign w:val="center"/>
          </w:tcPr>
          <w:p>
            <w:pPr>
              <w:topLinePunct/>
              <w:spacing w:line="320" w:lineRule="exact"/>
              <w:jc w:val="center"/>
              <w:rPr>
                <w:color w:val="000000"/>
                <w:szCs w:val="21"/>
              </w:rPr>
            </w:pPr>
            <w:r>
              <w:rPr>
                <w:color w:val="000000"/>
                <w:szCs w:val="21"/>
              </w:rPr>
              <w:t>沼气回收、处理、利用</w:t>
            </w:r>
          </w:p>
        </w:tc>
        <w:tc>
          <w:tcPr>
            <w:tcW w:w="6711" w:type="dxa"/>
            <w:vAlign w:val="center"/>
          </w:tcPr>
          <w:p>
            <w:pPr>
              <w:topLinePunct/>
              <w:spacing w:line="320" w:lineRule="exact"/>
              <w:jc w:val="left"/>
              <w:rPr>
                <w:color w:val="000000"/>
                <w:szCs w:val="21"/>
              </w:rPr>
            </w:pPr>
            <w:r>
              <w:rPr>
                <w:color w:val="000000"/>
                <w:szCs w:val="21"/>
              </w:rPr>
              <w:t>减少废气排放，实现资源的回收利用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topLinePunct/>
              <w:adjustRightInd w:val="0"/>
              <w:snapToGrid w:val="0"/>
              <w:spacing w:line="320" w:lineRule="exact"/>
              <w:jc w:val="center"/>
              <w:rPr>
                <w:color w:val="000000"/>
              </w:rPr>
            </w:pPr>
            <w:r>
              <w:rPr>
                <w:color w:val="000000"/>
              </w:rPr>
              <w:t>4</w:t>
            </w:r>
          </w:p>
        </w:tc>
        <w:tc>
          <w:tcPr>
            <w:tcW w:w="1560" w:type="dxa"/>
            <w:vAlign w:val="center"/>
          </w:tcPr>
          <w:p>
            <w:pPr>
              <w:topLinePunct/>
              <w:adjustRightInd w:val="0"/>
              <w:snapToGrid w:val="0"/>
              <w:spacing w:line="320" w:lineRule="exact"/>
              <w:jc w:val="center"/>
              <w:rPr>
                <w:color w:val="000000"/>
              </w:rPr>
            </w:pPr>
            <w:r>
              <w:rPr>
                <w:color w:val="000000"/>
              </w:rPr>
              <w:t>废气处理</w:t>
            </w:r>
          </w:p>
        </w:tc>
        <w:tc>
          <w:tcPr>
            <w:tcW w:w="6711" w:type="dxa"/>
            <w:vAlign w:val="center"/>
          </w:tcPr>
          <w:p>
            <w:pPr>
              <w:topLinePunct/>
              <w:adjustRightInd w:val="0"/>
              <w:snapToGrid w:val="0"/>
              <w:spacing w:line="320" w:lineRule="exact"/>
              <w:rPr>
                <w:color w:val="000000"/>
              </w:rPr>
            </w:pPr>
            <w:r>
              <w:rPr>
                <w:color w:val="000000"/>
              </w:rPr>
              <w:t>恶臭采用除臭措施处理后，实现达标排放；无害化处理中心废气采用冷凝处理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topLinePunct/>
              <w:adjustRightInd w:val="0"/>
              <w:snapToGrid w:val="0"/>
              <w:spacing w:line="320" w:lineRule="exact"/>
              <w:jc w:val="center"/>
              <w:rPr>
                <w:color w:val="000000"/>
              </w:rPr>
            </w:pPr>
            <w:r>
              <w:rPr>
                <w:color w:val="000000"/>
              </w:rPr>
              <w:t>5</w:t>
            </w:r>
          </w:p>
        </w:tc>
        <w:tc>
          <w:tcPr>
            <w:tcW w:w="1560" w:type="dxa"/>
            <w:vAlign w:val="center"/>
          </w:tcPr>
          <w:p>
            <w:pPr>
              <w:topLinePunct/>
              <w:adjustRightInd w:val="0"/>
              <w:snapToGrid w:val="0"/>
              <w:spacing w:line="320" w:lineRule="exact"/>
              <w:jc w:val="center"/>
              <w:rPr>
                <w:color w:val="000000"/>
              </w:rPr>
            </w:pPr>
            <w:r>
              <w:rPr>
                <w:color w:val="000000"/>
              </w:rPr>
              <w:t>噪声处理</w:t>
            </w:r>
          </w:p>
        </w:tc>
        <w:tc>
          <w:tcPr>
            <w:tcW w:w="6711" w:type="dxa"/>
            <w:vAlign w:val="center"/>
          </w:tcPr>
          <w:p>
            <w:pPr>
              <w:topLinePunct/>
              <w:adjustRightInd w:val="0"/>
              <w:snapToGrid w:val="0"/>
              <w:spacing w:line="320" w:lineRule="exact"/>
              <w:rPr>
                <w:color w:val="000000"/>
              </w:rPr>
            </w:pPr>
            <w:r>
              <w:rPr>
                <w:color w:val="000000"/>
              </w:rPr>
              <w:t>采用设备基础减振及场房隔声等降噪措施，实现达标排放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5" w:type="dxa"/>
            <w:vAlign w:val="center"/>
          </w:tcPr>
          <w:p>
            <w:pPr>
              <w:topLinePunct/>
              <w:adjustRightInd w:val="0"/>
              <w:snapToGrid w:val="0"/>
              <w:spacing w:line="320" w:lineRule="exact"/>
              <w:jc w:val="center"/>
              <w:rPr>
                <w:color w:val="000000"/>
              </w:rPr>
            </w:pPr>
            <w:r>
              <w:rPr>
                <w:color w:val="000000"/>
              </w:rPr>
              <w:t>6</w:t>
            </w:r>
          </w:p>
        </w:tc>
        <w:tc>
          <w:tcPr>
            <w:tcW w:w="1560" w:type="dxa"/>
            <w:vAlign w:val="center"/>
          </w:tcPr>
          <w:p>
            <w:pPr>
              <w:topLinePunct/>
              <w:adjustRightInd w:val="0"/>
              <w:snapToGrid w:val="0"/>
              <w:spacing w:line="320" w:lineRule="exact"/>
              <w:jc w:val="center"/>
              <w:rPr>
                <w:color w:val="000000"/>
              </w:rPr>
            </w:pPr>
            <w:r>
              <w:rPr>
                <w:color w:val="000000"/>
                <w:szCs w:val="21"/>
              </w:rPr>
              <w:t>雨污分流及“三防”措施</w:t>
            </w:r>
          </w:p>
        </w:tc>
        <w:tc>
          <w:tcPr>
            <w:tcW w:w="6711" w:type="dxa"/>
            <w:vAlign w:val="center"/>
          </w:tcPr>
          <w:p>
            <w:pPr>
              <w:topLinePunct/>
              <w:adjustRightInd w:val="0"/>
              <w:snapToGrid w:val="0"/>
              <w:spacing w:line="320" w:lineRule="exact"/>
              <w:rPr>
                <w:color w:val="000000"/>
              </w:rPr>
            </w:pPr>
            <w:r>
              <w:rPr>
                <w:color w:val="000000"/>
              </w:rPr>
              <w:t>经过</w:t>
            </w:r>
            <w:r>
              <w:rPr>
                <w:color w:val="000000"/>
                <w:szCs w:val="21"/>
              </w:rPr>
              <w:t>防渗和设置围堰防溢处置等措施后，不会对地下水、地表水及土壤造成直接污染</w:t>
            </w:r>
          </w:p>
        </w:tc>
      </w:tr>
    </w:tbl>
    <w:p>
      <w:pPr>
        <w:topLinePunct/>
        <w:spacing w:line="500" w:lineRule="exact"/>
        <w:ind w:firstLine="480" w:firstLineChars="200"/>
        <w:rPr>
          <w:color w:val="000000"/>
          <w:sz w:val="24"/>
        </w:rPr>
      </w:pPr>
      <w:r>
        <w:rPr>
          <w:color w:val="000000"/>
          <w:sz w:val="24"/>
        </w:rPr>
        <w:t>通过表7-3可以看出，项目的环保投入减少了废水及固废等污染物的排放，合理地调整了生产过程中的相互关系，使一个生产过程中的排泄物（废弃物）转变为另一个生产过程的输入物（原料资源），从而实现农业生产的无废弃物过程（零排放目标），即废弃物资源化过程。从环境保护和资源利用的角度出发，走规模处理和综合利用的道路，不仅能够促进畜禽养殖业的进一步发展，而且具有较好的环境效益。</w:t>
      </w:r>
    </w:p>
    <w:p>
      <w:pPr>
        <w:pStyle w:val="4"/>
        <w:spacing w:before="156" w:after="156"/>
        <w:rPr>
          <w:rFonts w:hAnsi="Times New Roman"/>
          <w:color w:val="000000"/>
        </w:rPr>
      </w:pPr>
      <w:bookmarkStart w:id="314" w:name="_Toc375206214"/>
      <w:bookmarkStart w:id="315" w:name="_Toc488572584"/>
      <w:bookmarkStart w:id="316" w:name="_Toc3019551"/>
      <w:r>
        <w:rPr>
          <w:rFonts w:hAnsi="Times New Roman"/>
          <w:color w:val="000000"/>
        </w:rPr>
        <w:t>7.5 社会效益分析</w:t>
      </w:r>
      <w:bookmarkEnd w:id="314"/>
      <w:bookmarkEnd w:id="315"/>
      <w:bookmarkEnd w:id="316"/>
    </w:p>
    <w:p>
      <w:pPr>
        <w:topLinePunct/>
        <w:spacing w:line="500" w:lineRule="exact"/>
        <w:ind w:firstLine="480" w:firstLineChars="200"/>
        <w:rPr>
          <w:color w:val="000000"/>
          <w:sz w:val="24"/>
        </w:rPr>
      </w:pPr>
      <w:r>
        <w:rPr>
          <w:color w:val="000000"/>
          <w:sz w:val="24"/>
        </w:rPr>
        <w:t>本项目全场的社会效益主要表现在以下几个方面：</w:t>
      </w:r>
    </w:p>
    <w:p>
      <w:pPr>
        <w:topLinePunct/>
        <w:spacing w:line="500" w:lineRule="exact"/>
        <w:ind w:firstLine="480" w:firstLineChars="200"/>
        <w:rPr>
          <w:color w:val="000000"/>
          <w:sz w:val="24"/>
        </w:rPr>
      </w:pPr>
      <w:r>
        <w:rPr>
          <w:color w:val="000000"/>
          <w:sz w:val="24"/>
        </w:rPr>
        <w:t>（1）该项目的实施促进了养殖场的良性发展，增强了建设单位的市场竞争力。本项目全场利用养殖场尿液生成沼气用于食堂燃料，降低能源费用，实现以沼气设施为核心的物流循环和能源自供系统。养殖场的废物得到资源化的利用，促进了项目单位循环经济和生态经济的良性发展。同时，项目单位具有一定的生猪销售市场，养殖场的污染治理，实现了清洁养殖，为生猪的良性繁育创造了较好卫生环境，增强了市场竞争力。</w:t>
      </w:r>
    </w:p>
    <w:p>
      <w:pPr>
        <w:topLinePunct/>
        <w:spacing w:line="500" w:lineRule="exact"/>
        <w:ind w:firstLine="480" w:firstLineChars="200"/>
        <w:rPr>
          <w:color w:val="000000"/>
          <w:sz w:val="24"/>
        </w:rPr>
      </w:pPr>
      <w:r>
        <w:rPr>
          <w:color w:val="000000"/>
          <w:sz w:val="24"/>
        </w:rPr>
        <w:t>（2）项目的清洁生产措施，很大程度上节约了资源和能源，起到了“节能、降耗、减污、增效”的作用，符合国家产业政策和环保治理要求。</w:t>
      </w:r>
    </w:p>
    <w:p>
      <w:pPr>
        <w:topLinePunct/>
        <w:spacing w:line="500" w:lineRule="exact"/>
        <w:ind w:firstLine="480" w:firstLineChars="200"/>
        <w:rPr>
          <w:color w:val="000000"/>
          <w:sz w:val="24"/>
        </w:rPr>
      </w:pPr>
      <w:r>
        <w:rPr>
          <w:color w:val="000000"/>
          <w:sz w:val="24"/>
        </w:rPr>
        <w:t>（3）该项目未来的标准化、规模化建设将形成农村能源产业，由此所需的技术、管理队伍可就地吸纳农村剩余劳动力，有利于维护农村社会稳定，对提高人民生活水平起到积极作用。</w:t>
      </w:r>
    </w:p>
    <w:p>
      <w:pPr>
        <w:topLinePunct/>
        <w:spacing w:line="500" w:lineRule="exact"/>
        <w:ind w:firstLine="480" w:firstLineChars="200"/>
        <w:rPr>
          <w:color w:val="000000"/>
          <w:sz w:val="24"/>
        </w:rPr>
      </w:pPr>
      <w:r>
        <w:rPr>
          <w:color w:val="000000"/>
          <w:sz w:val="24"/>
        </w:rPr>
        <w:t>（4）项目的建设可拉动周边畜禽养殖业、肉制品加工业、饲料加工业等行业的快速发展，同时为周围种植业提供了大量优质肥料，降低了化肥、农药在农产品生产中的使用量，为无公害农产品生产提供了有利条件，有利于促进周围农村产业结构调整。</w:t>
      </w:r>
    </w:p>
    <w:p>
      <w:pPr>
        <w:topLinePunct/>
        <w:spacing w:line="500" w:lineRule="exact"/>
        <w:ind w:firstLine="480" w:firstLineChars="200"/>
        <w:rPr>
          <w:color w:val="000000"/>
          <w:sz w:val="24"/>
        </w:rPr>
      </w:pPr>
      <w:r>
        <w:rPr>
          <w:color w:val="000000"/>
          <w:sz w:val="24"/>
        </w:rPr>
        <w:t>（5）项目投产后，可增加当地财政收入，提高当地社会经济发展水平，对区域社会稳定发挥了较强作用。</w:t>
      </w:r>
    </w:p>
    <w:p>
      <w:pPr>
        <w:topLinePunct/>
        <w:spacing w:line="500" w:lineRule="exact"/>
        <w:ind w:firstLine="480" w:firstLineChars="200"/>
        <w:rPr>
          <w:color w:val="000000"/>
          <w:sz w:val="24"/>
        </w:rPr>
      </w:pPr>
      <w:r>
        <w:rPr>
          <w:color w:val="000000"/>
          <w:sz w:val="24"/>
        </w:rPr>
        <w:t>综合以上分析，项目具有较好经济、环境和社会效益，它的建成，将能够拉动地方经济的快速发展；废物资源化利用，将促进人类与社会的和谐发展。</w:t>
      </w:r>
    </w:p>
    <w:p>
      <w:pPr>
        <w:pStyle w:val="4"/>
        <w:spacing w:before="156" w:after="156"/>
        <w:rPr>
          <w:rFonts w:hAnsi="Times New Roman"/>
          <w:color w:val="000000"/>
        </w:rPr>
      </w:pPr>
      <w:bookmarkStart w:id="317" w:name="_Toc375206215"/>
      <w:bookmarkStart w:id="318" w:name="_Toc3019552"/>
      <w:bookmarkStart w:id="319" w:name="_Toc488572585"/>
      <w:r>
        <w:rPr>
          <w:rFonts w:hAnsi="Times New Roman"/>
          <w:color w:val="000000"/>
        </w:rPr>
        <w:t xml:space="preserve">7.6 </w:t>
      </w:r>
      <w:bookmarkEnd w:id="317"/>
      <w:r>
        <w:rPr>
          <w:rFonts w:hAnsi="Times New Roman"/>
          <w:color w:val="000000"/>
        </w:rPr>
        <w:t>生态效益</w:t>
      </w:r>
      <w:bookmarkEnd w:id="318"/>
      <w:bookmarkEnd w:id="319"/>
    </w:p>
    <w:p>
      <w:pPr>
        <w:topLinePunct/>
        <w:spacing w:line="500" w:lineRule="exact"/>
        <w:ind w:firstLine="480" w:firstLineChars="200"/>
        <w:rPr>
          <w:color w:val="000000"/>
          <w:sz w:val="24"/>
        </w:rPr>
      </w:pPr>
      <w:r>
        <w:rPr>
          <w:color w:val="000000"/>
          <w:sz w:val="24"/>
        </w:rPr>
        <w:t>项目完成后，养殖场将建成以种植业为基础，养殖业为主体，沼气为纽带，促进物质能量良性循环的生态养殖场，明显改善区域内农业生态环境，有利农业可持续发展。</w:t>
      </w:r>
    </w:p>
    <w:p>
      <w:pPr>
        <w:topLinePunct/>
        <w:spacing w:line="500" w:lineRule="exact"/>
        <w:ind w:firstLine="480" w:firstLineChars="200"/>
        <w:rPr>
          <w:color w:val="000000"/>
          <w:sz w:val="24"/>
        </w:rPr>
      </w:pPr>
      <w:r>
        <w:rPr>
          <w:color w:val="000000"/>
          <w:sz w:val="24"/>
        </w:rPr>
        <w:t>猪粪、沼渣生产有机农肥，沼液作为肥水综合利用，沼气是清洁能源，替代燃煤作食堂燃料，可减少大气污染物排放。</w:t>
      </w:r>
    </w:p>
    <w:p>
      <w:pPr>
        <w:topLinePunct/>
        <w:spacing w:line="500" w:lineRule="exact"/>
        <w:ind w:firstLine="480" w:firstLineChars="200"/>
        <w:rPr>
          <w:b/>
          <w:bCs/>
          <w:color w:val="000000"/>
          <w:szCs w:val="21"/>
        </w:rPr>
      </w:pPr>
      <w:r>
        <w:rPr>
          <w:color w:val="000000"/>
          <w:sz w:val="24"/>
        </w:rPr>
        <w:t>长期大量使用化肥，不仅导致土壤板结，土壤肥力下降，而且对环境和农作物产生污染。项目投产后，提供优质有机肥料，可减少化肥、农药用量，改善土壤理化性状。同时利用沼液节约水资源的利用，沼液本身具有防治病虫害的作用，能提高作物品质，有利于农作物增产、增收，促进农作物增产、增收，有利生产无公害农产品，保障食品安全。</w:t>
      </w:r>
    </w:p>
    <w:p>
      <w:pPr>
        <w:pStyle w:val="4"/>
        <w:spacing w:before="156" w:after="156"/>
        <w:rPr>
          <w:rFonts w:hAnsi="Times New Roman"/>
          <w:color w:val="000000"/>
        </w:rPr>
      </w:pPr>
      <w:bookmarkStart w:id="320" w:name="_Toc375206216"/>
      <w:bookmarkStart w:id="321" w:name="_Toc488572586"/>
      <w:bookmarkStart w:id="322" w:name="_Toc3019553"/>
      <w:r>
        <w:rPr>
          <w:rFonts w:hAnsi="Times New Roman"/>
          <w:color w:val="000000"/>
        </w:rPr>
        <w:t xml:space="preserve">7.7 </w:t>
      </w:r>
      <w:bookmarkEnd w:id="320"/>
      <w:r>
        <w:rPr>
          <w:rFonts w:hAnsi="Times New Roman"/>
          <w:color w:val="000000"/>
        </w:rPr>
        <w:t>分析结论</w:t>
      </w:r>
      <w:bookmarkEnd w:id="321"/>
      <w:bookmarkEnd w:id="322"/>
    </w:p>
    <w:p>
      <w:pPr>
        <w:topLinePunct/>
        <w:spacing w:line="500" w:lineRule="exact"/>
        <w:ind w:firstLine="480" w:firstLineChars="200"/>
        <w:rPr>
          <w:color w:val="000000"/>
          <w:sz w:val="24"/>
        </w:rPr>
      </w:pPr>
      <w:r>
        <w:rPr>
          <w:color w:val="000000"/>
          <w:sz w:val="24"/>
        </w:rPr>
        <w:t>综合以上分析，本项目具有较好经济、环境和社会效益，它的建成，将能够拉动地方经济的快速发展；废物资源化利用，将促进人类与社会的和谐发展。</w:t>
      </w:r>
    </w:p>
    <w:p>
      <w:pPr>
        <w:topLinePunct/>
        <w:rPr>
          <w:color w:val="000000"/>
        </w:rPr>
        <w:sectPr>
          <w:pgSz w:w="11906" w:h="16838"/>
          <w:pgMar w:top="1701" w:right="1588" w:bottom="1985" w:left="1588" w:header="851" w:footer="992" w:gutter="0"/>
          <w:cols w:space="720" w:num="1"/>
          <w:docGrid w:type="lines" w:linePitch="312" w:charSpace="0"/>
        </w:sectPr>
      </w:pPr>
    </w:p>
    <w:p>
      <w:pPr>
        <w:keepNext/>
        <w:keepLines/>
        <w:spacing w:before="100" w:beforeAutospacing="1" w:after="100" w:afterAutospacing="1"/>
        <w:jc w:val="center"/>
        <w:outlineLvl w:val="0"/>
        <w:rPr>
          <w:b/>
          <w:sz w:val="44"/>
          <w:szCs w:val="44"/>
        </w:rPr>
      </w:pPr>
      <w:bookmarkStart w:id="323" w:name="_Toc3019554"/>
      <w:bookmarkStart w:id="324" w:name="_Toc488572587"/>
      <w:r>
        <w:rPr>
          <w:b/>
          <w:sz w:val="44"/>
          <w:szCs w:val="44"/>
        </w:rPr>
        <w:t>第八章 场址选择及场区平面布置合理性分析</w:t>
      </w:r>
      <w:bookmarkEnd w:id="323"/>
      <w:bookmarkEnd w:id="324"/>
    </w:p>
    <w:p>
      <w:pPr>
        <w:pStyle w:val="4"/>
        <w:spacing w:before="156" w:after="156"/>
        <w:rPr>
          <w:rFonts w:hAnsi="Times New Roman"/>
          <w:color w:val="000000"/>
        </w:rPr>
      </w:pPr>
      <w:bookmarkStart w:id="325" w:name="_Toc3019555"/>
      <w:bookmarkStart w:id="326" w:name="_Toc488572588"/>
      <w:r>
        <w:rPr>
          <w:rFonts w:hAnsi="Times New Roman"/>
          <w:color w:val="000000"/>
        </w:rPr>
        <w:t>8.1 场址可行性分析</w:t>
      </w:r>
      <w:bookmarkEnd w:id="325"/>
      <w:bookmarkEnd w:id="326"/>
    </w:p>
    <w:p>
      <w:pPr>
        <w:spacing w:line="600" w:lineRule="exact"/>
        <w:outlineLvl w:val="2"/>
        <w:rPr>
          <w:b/>
          <w:bCs w:val="0"/>
          <w:color w:val="000000"/>
          <w:sz w:val="24"/>
          <w:u w:val="single"/>
        </w:rPr>
      </w:pPr>
      <w:r>
        <w:rPr>
          <w:b/>
          <w:bCs w:val="0"/>
          <w:color w:val="000000"/>
          <w:sz w:val="24"/>
          <w:u w:val="single"/>
        </w:rPr>
        <w:t>8.1.1 规划相符性分析</w:t>
      </w:r>
    </w:p>
    <w:p>
      <w:pPr>
        <w:spacing w:line="520" w:lineRule="exact"/>
        <w:ind w:firstLine="482" w:firstLineChars="200"/>
        <w:rPr>
          <w:b/>
          <w:bCs w:val="0"/>
          <w:color w:val="000000"/>
          <w:sz w:val="24"/>
          <w:u w:val="single"/>
        </w:rPr>
      </w:pPr>
      <w:r>
        <w:rPr>
          <w:b/>
          <w:bCs w:val="0"/>
          <w:color w:val="000000"/>
          <w:sz w:val="24"/>
          <w:u w:val="single"/>
        </w:rPr>
        <w:t>（1）平舆县城市总体发展规划（2010-2030）</w:t>
      </w:r>
    </w:p>
    <w:p>
      <w:pPr>
        <w:spacing w:line="500" w:lineRule="exact"/>
        <w:ind w:firstLine="482" w:firstLineChars="200"/>
        <w:jc w:val="left"/>
        <w:rPr>
          <w:b/>
          <w:bCs w:val="0"/>
          <w:color w:val="000000"/>
          <w:sz w:val="24"/>
          <w:u w:val="single"/>
        </w:rPr>
      </w:pPr>
      <w:r>
        <w:rPr>
          <w:b/>
          <w:bCs w:val="0"/>
          <w:color w:val="000000"/>
          <w:sz w:val="24"/>
          <w:u w:val="single"/>
        </w:rPr>
        <w:t>本项目位于平舆县</w:t>
      </w:r>
      <w:r>
        <w:rPr>
          <w:rFonts w:hint="eastAsia"/>
          <w:b/>
          <w:bCs w:val="0"/>
          <w:color w:val="000000"/>
          <w:sz w:val="24"/>
          <w:u w:val="single"/>
        </w:rPr>
        <w:t>东和店镇邢岗村</w:t>
      </w:r>
      <w:r>
        <w:rPr>
          <w:b/>
          <w:bCs w:val="0"/>
          <w:color w:val="000000"/>
          <w:sz w:val="24"/>
          <w:u w:val="single"/>
        </w:rPr>
        <w:t>，不在平舆县城市总体发展规划（2010-2030）范围内，故本次项目的建设不违背平舆县城市总体发展规划（2010-2030）。</w:t>
      </w:r>
    </w:p>
    <w:p>
      <w:pPr>
        <w:spacing w:line="520" w:lineRule="exact"/>
        <w:ind w:firstLine="482" w:firstLineChars="200"/>
        <w:rPr>
          <w:b/>
          <w:bCs w:val="0"/>
          <w:color w:val="000000"/>
          <w:sz w:val="24"/>
          <w:u w:val="single"/>
        </w:rPr>
      </w:pPr>
      <w:r>
        <w:rPr>
          <w:b/>
          <w:bCs w:val="0"/>
          <w:color w:val="000000"/>
          <w:sz w:val="24"/>
          <w:u w:val="single"/>
        </w:rPr>
        <w:t>（2）土地利用规划</w:t>
      </w:r>
    </w:p>
    <w:p>
      <w:pPr>
        <w:spacing w:line="500" w:lineRule="exact"/>
        <w:ind w:firstLine="482" w:firstLineChars="200"/>
        <w:rPr>
          <w:b/>
          <w:bCs w:val="0"/>
          <w:color w:val="000000"/>
          <w:sz w:val="24"/>
          <w:u w:val="single"/>
        </w:rPr>
      </w:pPr>
      <w:r>
        <w:rPr>
          <w:b/>
          <w:bCs w:val="0"/>
          <w:color w:val="000000"/>
          <w:sz w:val="24"/>
          <w:u w:val="single"/>
        </w:rPr>
        <w:t>本项目拟建场址位于平舆县</w:t>
      </w:r>
      <w:r>
        <w:rPr>
          <w:rFonts w:hint="eastAsia"/>
          <w:b/>
          <w:bCs w:val="0"/>
          <w:color w:val="000000"/>
          <w:sz w:val="24"/>
          <w:u w:val="single"/>
        </w:rPr>
        <w:t>东和店镇邢岗村</w:t>
      </w:r>
      <w:r>
        <w:rPr>
          <w:b/>
          <w:bCs w:val="0"/>
          <w:color w:val="000000"/>
          <w:sz w:val="24"/>
          <w:u w:val="single"/>
        </w:rPr>
        <w:t>，本项目占地为一般农用地，项目用地符合平舆县</w:t>
      </w:r>
      <w:r>
        <w:rPr>
          <w:rFonts w:hint="eastAsia"/>
          <w:b/>
          <w:bCs w:val="0"/>
          <w:color w:val="000000" w:themeColor="text1"/>
          <w:sz w:val="24"/>
          <w:szCs w:val="28"/>
          <w:u w:val="single"/>
        </w:rPr>
        <w:t>东和店镇</w:t>
      </w:r>
      <w:r>
        <w:rPr>
          <w:b/>
          <w:bCs w:val="0"/>
          <w:color w:val="000000"/>
          <w:sz w:val="24"/>
          <w:u w:val="single"/>
        </w:rPr>
        <w:t>建设总体规划要求。平舆县国土局证明见附件4，</w:t>
      </w:r>
      <w:r>
        <w:rPr>
          <w:rFonts w:hint="eastAsia"/>
          <w:b/>
          <w:bCs w:val="0"/>
          <w:color w:val="000000"/>
          <w:sz w:val="24"/>
          <w:u w:val="single"/>
        </w:rPr>
        <w:t>东和店</w:t>
      </w:r>
      <w:r>
        <w:rPr>
          <w:b/>
          <w:bCs w:val="0"/>
          <w:color w:val="000000"/>
          <w:sz w:val="24"/>
          <w:u w:val="single"/>
        </w:rPr>
        <w:t>镇村镇规划发展中心证明见附件5。</w:t>
      </w:r>
    </w:p>
    <w:p>
      <w:pPr>
        <w:spacing w:line="520" w:lineRule="exact"/>
        <w:ind w:firstLine="482" w:firstLineChars="200"/>
        <w:rPr>
          <w:b/>
          <w:bCs w:val="0"/>
          <w:color w:val="000000"/>
          <w:sz w:val="24"/>
          <w:u w:val="single"/>
        </w:rPr>
      </w:pPr>
      <w:r>
        <w:rPr>
          <w:b/>
          <w:bCs w:val="0"/>
          <w:color w:val="000000"/>
          <w:sz w:val="24"/>
          <w:u w:val="single"/>
        </w:rPr>
        <w:t>（3）《平舆县“十三五”畜牧业发展规划》</w:t>
      </w:r>
    </w:p>
    <w:p>
      <w:pPr>
        <w:spacing w:line="520" w:lineRule="exact"/>
        <w:ind w:firstLine="482" w:firstLineChars="200"/>
        <w:rPr>
          <w:b/>
          <w:bCs w:val="0"/>
          <w:color w:val="000000"/>
          <w:sz w:val="24"/>
          <w:u w:val="single"/>
        </w:rPr>
      </w:pPr>
      <w:r>
        <w:rPr>
          <w:b/>
          <w:bCs w:val="0"/>
          <w:color w:val="000000"/>
          <w:sz w:val="24"/>
          <w:u w:val="single"/>
        </w:rPr>
        <w:t>本项目位于平舆县</w:t>
      </w:r>
      <w:r>
        <w:rPr>
          <w:rFonts w:hint="eastAsia"/>
          <w:b/>
          <w:bCs w:val="0"/>
          <w:color w:val="000000"/>
          <w:sz w:val="24"/>
          <w:u w:val="single"/>
        </w:rPr>
        <w:t>东和店镇邢岗村</w:t>
      </w:r>
      <w:r>
        <w:rPr>
          <w:b/>
          <w:bCs w:val="0"/>
          <w:color w:val="000000"/>
          <w:sz w:val="24"/>
          <w:u w:val="single"/>
        </w:rPr>
        <w:t>，为生猪养殖项目，项目选址符合平舆县“十三五”畜牧业发展规划畜禽养殖区域布局，因此其建设与平舆县“十三五”畜牧业发展规划是相符的，农业农村局关于本项目符合畜牧业发展规划的证明见附件6。</w:t>
      </w:r>
    </w:p>
    <w:p>
      <w:pPr>
        <w:spacing w:line="520" w:lineRule="exact"/>
        <w:ind w:firstLine="482" w:firstLineChars="200"/>
        <w:rPr>
          <w:b/>
          <w:bCs w:val="0"/>
          <w:color w:val="000000"/>
          <w:sz w:val="24"/>
          <w:u w:val="single"/>
        </w:rPr>
      </w:pPr>
      <w:r>
        <w:rPr>
          <w:b/>
          <w:bCs w:val="0"/>
          <w:color w:val="000000"/>
          <w:sz w:val="24"/>
          <w:u w:val="single"/>
        </w:rPr>
        <w:t>（4）平舆县饮用水水源地保护区划</w:t>
      </w:r>
    </w:p>
    <w:p>
      <w:pPr>
        <w:spacing w:line="520" w:lineRule="exact"/>
        <w:ind w:firstLine="482" w:firstLineChars="200"/>
        <w:jc w:val="left"/>
        <w:rPr>
          <w:b/>
          <w:bCs w:val="0"/>
          <w:color w:val="000000"/>
          <w:sz w:val="24"/>
          <w:u w:val="single"/>
        </w:rPr>
      </w:pPr>
      <w:r>
        <w:rPr>
          <w:b/>
          <w:bCs w:val="0"/>
          <w:color w:val="000000"/>
          <w:sz w:val="24"/>
          <w:u w:val="single"/>
        </w:rPr>
        <w:t>本项目位于平舆县</w:t>
      </w:r>
      <w:r>
        <w:rPr>
          <w:rFonts w:hint="eastAsia"/>
          <w:b/>
          <w:bCs w:val="0"/>
          <w:color w:val="000000"/>
          <w:sz w:val="24"/>
          <w:u w:val="single"/>
        </w:rPr>
        <w:t>东和店镇邢岗村</w:t>
      </w:r>
      <w:r>
        <w:rPr>
          <w:b/>
          <w:bCs w:val="0"/>
          <w:color w:val="000000"/>
          <w:sz w:val="24"/>
          <w:u w:val="single"/>
        </w:rPr>
        <w:t>，经对比</w:t>
      </w:r>
      <w:r>
        <w:rPr>
          <w:b/>
          <w:bCs w:val="0"/>
          <w:color w:val="000000"/>
          <w:kern w:val="0"/>
          <w:sz w:val="24"/>
          <w:szCs w:val="21"/>
          <w:u w:val="single"/>
        </w:rPr>
        <w:t>平舆县</w:t>
      </w:r>
      <w:r>
        <w:rPr>
          <w:b/>
          <w:bCs w:val="0"/>
          <w:color w:val="000000"/>
          <w:sz w:val="24"/>
          <w:u w:val="single"/>
        </w:rPr>
        <w:t>饮用水水源地保护区划，本项目距</w:t>
      </w:r>
      <w:r>
        <w:rPr>
          <w:b/>
          <w:bCs w:val="0"/>
          <w:color w:val="000000"/>
          <w:kern w:val="0"/>
          <w:sz w:val="24"/>
          <w:szCs w:val="21"/>
          <w:u w:val="single"/>
        </w:rPr>
        <w:t>平舆县</w:t>
      </w:r>
      <w:r>
        <w:rPr>
          <w:b/>
          <w:bCs w:val="0"/>
          <w:color w:val="000000"/>
          <w:sz w:val="24"/>
          <w:u w:val="single"/>
        </w:rPr>
        <w:t>城市饮用水水源地一级保护区最近距离约为1</w:t>
      </w:r>
      <w:r>
        <w:rPr>
          <w:rFonts w:hint="eastAsia"/>
          <w:b/>
          <w:bCs w:val="0"/>
          <w:color w:val="000000"/>
          <w:sz w:val="24"/>
          <w:u w:val="single"/>
        </w:rPr>
        <w:t>5</w:t>
      </w:r>
      <w:r>
        <w:rPr>
          <w:b/>
          <w:bCs w:val="0"/>
          <w:color w:val="000000"/>
          <w:sz w:val="24"/>
          <w:u w:val="single"/>
        </w:rPr>
        <w:t>km，不在</w:t>
      </w:r>
      <w:r>
        <w:rPr>
          <w:b/>
          <w:bCs w:val="0"/>
          <w:color w:val="000000"/>
          <w:kern w:val="0"/>
          <w:sz w:val="24"/>
          <w:szCs w:val="21"/>
          <w:u w:val="single"/>
        </w:rPr>
        <w:t>平舆县</w:t>
      </w:r>
      <w:r>
        <w:rPr>
          <w:b/>
          <w:bCs w:val="0"/>
          <w:color w:val="000000"/>
          <w:sz w:val="24"/>
          <w:u w:val="single"/>
        </w:rPr>
        <w:t>饮用水水源保护区范围内，故项目的建设与</w:t>
      </w:r>
      <w:r>
        <w:rPr>
          <w:b/>
          <w:bCs w:val="0"/>
          <w:color w:val="000000"/>
          <w:kern w:val="0"/>
          <w:sz w:val="24"/>
          <w:szCs w:val="21"/>
          <w:u w:val="single"/>
        </w:rPr>
        <w:t>平舆县</w:t>
      </w:r>
      <w:r>
        <w:rPr>
          <w:b/>
          <w:bCs w:val="0"/>
          <w:color w:val="000000"/>
          <w:sz w:val="24"/>
          <w:u w:val="single"/>
        </w:rPr>
        <w:t>饮用水水源地保护区划是相符的。</w:t>
      </w:r>
    </w:p>
    <w:p>
      <w:pPr>
        <w:spacing w:line="520" w:lineRule="exact"/>
        <w:ind w:firstLine="482" w:firstLineChars="200"/>
        <w:rPr>
          <w:b/>
          <w:bCs w:val="0"/>
          <w:color w:val="000000"/>
          <w:sz w:val="24"/>
          <w:u w:val="single"/>
        </w:rPr>
      </w:pPr>
      <w:r>
        <w:rPr>
          <w:b/>
          <w:bCs w:val="0"/>
          <w:color w:val="000000"/>
          <w:sz w:val="24"/>
          <w:u w:val="single"/>
        </w:rPr>
        <w:t>（5）</w:t>
      </w:r>
      <w:r>
        <w:rPr>
          <w:rFonts w:hint="eastAsia"/>
          <w:b/>
          <w:bCs w:val="0"/>
          <w:color w:val="000000" w:themeColor="text1"/>
          <w:sz w:val="24"/>
          <w:szCs w:val="28"/>
          <w:u w:val="single"/>
        </w:rPr>
        <w:t>东和店镇</w:t>
      </w:r>
      <w:r>
        <w:rPr>
          <w:b/>
          <w:bCs w:val="0"/>
          <w:color w:val="000000"/>
          <w:sz w:val="24"/>
          <w:u w:val="single"/>
        </w:rPr>
        <w:t>饮用水水源地保护区划</w:t>
      </w:r>
    </w:p>
    <w:p>
      <w:pPr>
        <w:spacing w:line="520" w:lineRule="exact"/>
        <w:ind w:firstLine="482" w:firstLineChars="200"/>
        <w:rPr>
          <w:b/>
          <w:bCs w:val="0"/>
          <w:color w:val="000000"/>
          <w:sz w:val="24"/>
          <w:u w:val="single"/>
        </w:rPr>
      </w:pPr>
      <w:r>
        <w:rPr>
          <w:b/>
          <w:bCs w:val="0"/>
          <w:color w:val="000000"/>
          <w:sz w:val="24"/>
          <w:u w:val="single"/>
        </w:rPr>
        <w:t>本项目位于平舆县</w:t>
      </w:r>
      <w:r>
        <w:rPr>
          <w:rFonts w:hint="eastAsia"/>
          <w:b/>
          <w:bCs w:val="0"/>
          <w:color w:val="000000"/>
          <w:sz w:val="24"/>
          <w:u w:val="single"/>
        </w:rPr>
        <w:t>东和店镇邢岗村</w:t>
      </w:r>
      <w:r>
        <w:rPr>
          <w:b/>
          <w:bCs w:val="0"/>
          <w:color w:val="000000"/>
          <w:sz w:val="24"/>
          <w:u w:val="single"/>
        </w:rPr>
        <w:t>，经对比平舆县</w:t>
      </w:r>
      <w:r>
        <w:rPr>
          <w:rFonts w:hint="eastAsia"/>
          <w:b/>
          <w:bCs w:val="0"/>
          <w:color w:val="000000"/>
          <w:sz w:val="24"/>
          <w:u w:val="single"/>
        </w:rPr>
        <w:t>东和店</w:t>
      </w:r>
      <w:r>
        <w:rPr>
          <w:b/>
          <w:bCs w:val="0"/>
          <w:color w:val="000000"/>
          <w:sz w:val="24"/>
          <w:u w:val="single"/>
        </w:rPr>
        <w:t>镇饮用水水源地保护区划，本项目距</w:t>
      </w:r>
      <w:r>
        <w:rPr>
          <w:rFonts w:hint="eastAsia"/>
          <w:b/>
          <w:bCs w:val="0"/>
          <w:color w:val="000000"/>
          <w:sz w:val="24"/>
          <w:u w:val="single"/>
        </w:rPr>
        <w:t>东和店镇</w:t>
      </w:r>
      <w:r>
        <w:rPr>
          <w:b/>
          <w:bCs w:val="0"/>
          <w:color w:val="000000"/>
          <w:sz w:val="24"/>
          <w:u w:val="single"/>
        </w:rPr>
        <w:t>饮用水水源地一级保护区最近距离约为6.9km，不在</w:t>
      </w:r>
      <w:r>
        <w:rPr>
          <w:rFonts w:hint="eastAsia"/>
          <w:b/>
          <w:bCs w:val="0"/>
          <w:color w:val="000000"/>
          <w:sz w:val="24"/>
          <w:u w:val="single"/>
        </w:rPr>
        <w:t>东和店</w:t>
      </w:r>
      <w:r>
        <w:rPr>
          <w:b/>
          <w:bCs w:val="0"/>
          <w:color w:val="000000"/>
          <w:sz w:val="24"/>
          <w:u w:val="single"/>
        </w:rPr>
        <w:t>镇饮用水水源保护区范围内，故项目的建设与</w:t>
      </w:r>
      <w:r>
        <w:rPr>
          <w:rFonts w:hint="eastAsia"/>
          <w:b/>
          <w:bCs w:val="0"/>
          <w:color w:val="000000"/>
          <w:sz w:val="24"/>
          <w:u w:val="single"/>
        </w:rPr>
        <w:t>东和店镇</w:t>
      </w:r>
      <w:r>
        <w:rPr>
          <w:b/>
          <w:bCs w:val="0"/>
          <w:color w:val="000000"/>
          <w:sz w:val="24"/>
          <w:u w:val="single"/>
        </w:rPr>
        <w:t>饮用水水源地保护区划是相符的。</w:t>
      </w:r>
    </w:p>
    <w:p>
      <w:pPr>
        <w:spacing w:line="520" w:lineRule="exact"/>
        <w:ind w:firstLine="482" w:firstLineChars="200"/>
        <w:rPr>
          <w:b/>
          <w:bCs w:val="0"/>
          <w:color w:val="000000"/>
          <w:sz w:val="24"/>
          <w:u w:val="single"/>
        </w:rPr>
      </w:pPr>
      <w:r>
        <w:rPr>
          <w:b/>
          <w:bCs w:val="0"/>
          <w:color w:val="000000"/>
          <w:sz w:val="24"/>
          <w:u w:val="single"/>
        </w:rPr>
        <w:t>（6）项目与《平舆县畜禽养殖禁养区划分方案》相符性分析</w:t>
      </w:r>
    </w:p>
    <w:p>
      <w:pPr>
        <w:spacing w:line="520" w:lineRule="exact"/>
        <w:ind w:firstLine="482" w:firstLineChars="200"/>
        <w:rPr>
          <w:b/>
          <w:bCs w:val="0"/>
          <w:color w:val="000000"/>
          <w:sz w:val="24"/>
          <w:u w:val="single"/>
        </w:rPr>
      </w:pPr>
      <w:r>
        <w:rPr>
          <w:b/>
          <w:bCs w:val="0"/>
          <w:color w:val="000000"/>
          <w:sz w:val="24"/>
          <w:u w:val="single"/>
        </w:rPr>
        <w:t>本项目位于平舆县</w:t>
      </w:r>
      <w:r>
        <w:rPr>
          <w:rFonts w:hint="eastAsia"/>
          <w:b/>
          <w:bCs w:val="0"/>
          <w:color w:val="000000"/>
          <w:sz w:val="24"/>
          <w:u w:val="single"/>
        </w:rPr>
        <w:t>东和店镇邢岗村</w:t>
      </w:r>
      <w:r>
        <w:rPr>
          <w:b/>
          <w:bCs w:val="0"/>
          <w:color w:val="000000"/>
          <w:sz w:val="24"/>
          <w:u w:val="single"/>
        </w:rPr>
        <w:t>，场区四周均为农耕地，根据现场勘踏，经与《平舆县畜禽养殖禁养区划分方案》比对可知，项目所在地距离最近的村庄为</w:t>
      </w:r>
      <w:r>
        <w:rPr>
          <w:rFonts w:hint="eastAsia"/>
          <w:b/>
          <w:bCs w:val="0"/>
          <w:color w:val="000000"/>
          <w:sz w:val="24"/>
          <w:u w:val="single"/>
        </w:rPr>
        <w:t>东南</w:t>
      </w:r>
      <w:r>
        <w:rPr>
          <w:b/>
          <w:bCs w:val="0"/>
          <w:color w:val="000000"/>
          <w:sz w:val="24"/>
          <w:u w:val="single"/>
        </w:rPr>
        <w:t>侧</w:t>
      </w:r>
      <w:r>
        <w:rPr>
          <w:rFonts w:hint="eastAsia"/>
          <w:b/>
          <w:bCs w:val="0"/>
          <w:color w:val="000000"/>
          <w:sz w:val="24"/>
          <w:u w:val="single"/>
          <w:lang w:eastAsia="zh-CN"/>
        </w:rPr>
        <w:t>507</w:t>
      </w:r>
      <w:r>
        <w:rPr>
          <w:b/>
          <w:bCs w:val="0"/>
          <w:color w:val="000000"/>
          <w:sz w:val="24"/>
          <w:u w:val="single"/>
        </w:rPr>
        <w:t>m的</w:t>
      </w:r>
      <w:r>
        <w:rPr>
          <w:rFonts w:hint="eastAsia"/>
          <w:b/>
          <w:bCs w:val="0"/>
          <w:color w:val="000000"/>
          <w:sz w:val="24"/>
          <w:u w:val="single"/>
        </w:rPr>
        <w:t>邢寨村</w:t>
      </w:r>
      <w:r>
        <w:rPr>
          <w:b/>
          <w:bCs w:val="0"/>
          <w:color w:val="000000"/>
          <w:sz w:val="24"/>
          <w:u w:val="single"/>
        </w:rPr>
        <w:t>，不在平舆县划定的禁养区范围内，平舆县农业农村局关于本项目不在禁养区、限养区的证明见附件6，因此项目建设符合选址要求。</w:t>
      </w:r>
    </w:p>
    <w:p>
      <w:pPr>
        <w:spacing w:line="500" w:lineRule="exact"/>
        <w:ind w:firstLine="482" w:firstLineChars="200"/>
        <w:rPr>
          <w:b/>
          <w:bCs w:val="0"/>
          <w:color w:val="000000"/>
          <w:sz w:val="24"/>
          <w:u w:val="single"/>
        </w:rPr>
      </w:pPr>
      <w:r>
        <w:rPr>
          <w:b/>
          <w:bCs w:val="0"/>
          <w:color w:val="000000"/>
          <w:sz w:val="24"/>
          <w:u w:val="single"/>
        </w:rPr>
        <w:t>本项目与《平舆县畜禽养殖禁养区划分方案》对比分析见下表8-1。</w:t>
      </w:r>
    </w:p>
    <w:p>
      <w:pPr>
        <w:spacing w:beforeLines="50" w:afterLines="50"/>
        <w:ind w:firstLine="398" w:firstLineChars="200"/>
        <w:jc w:val="center"/>
        <w:rPr>
          <w:b/>
          <w:bCs w:val="0"/>
          <w:color w:val="000000"/>
          <w:spacing w:val="-6"/>
          <w:szCs w:val="21"/>
          <w:u w:val="single"/>
        </w:rPr>
      </w:pPr>
      <w:r>
        <w:rPr>
          <w:b/>
          <w:bCs w:val="0"/>
          <w:color w:val="000000"/>
          <w:spacing w:val="-6"/>
          <w:szCs w:val="21"/>
          <w:u w:val="single"/>
        </w:rPr>
        <w:t>表8-1  与《平舆县畜禽养殖禁养区划分方案》对比分析一览表</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4644"/>
        <w:gridCol w:w="3450"/>
        <w:gridCol w:w="4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070" w:type="dxa"/>
            <w:gridSpan w:val="2"/>
            <w:tcBorders>
              <w:top w:val="single" w:color="auto" w:sz="4" w:space="0"/>
              <w:left w:val="single" w:color="auto" w:sz="4" w:space="0"/>
              <w:bottom w:val="single" w:color="auto" w:sz="6" w:space="0"/>
              <w:right w:val="single" w:color="auto" w:sz="6" w:space="0"/>
            </w:tcBorders>
            <w:vAlign w:val="center"/>
          </w:tcPr>
          <w:p>
            <w:pPr>
              <w:jc w:val="center"/>
              <w:rPr>
                <w:b/>
                <w:bCs w:val="0"/>
                <w:szCs w:val="21"/>
                <w:u w:val="single"/>
              </w:rPr>
            </w:pPr>
            <w:r>
              <w:rPr>
                <w:b/>
                <w:bCs w:val="0"/>
                <w:szCs w:val="21"/>
                <w:u w:val="single"/>
              </w:rPr>
              <w:t>划分方案</w:t>
            </w:r>
          </w:p>
        </w:tc>
        <w:tc>
          <w:tcPr>
            <w:tcW w:w="3450" w:type="dxa"/>
            <w:tcBorders>
              <w:top w:val="single" w:color="auto" w:sz="4"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本项目</w:t>
            </w:r>
          </w:p>
        </w:tc>
        <w:tc>
          <w:tcPr>
            <w:tcW w:w="426" w:type="dxa"/>
            <w:tcBorders>
              <w:top w:val="single" w:color="auto" w:sz="4" w:space="0"/>
              <w:left w:val="single" w:color="auto" w:sz="6" w:space="0"/>
              <w:bottom w:val="single" w:color="auto" w:sz="6" w:space="0"/>
              <w:right w:val="single" w:color="auto" w:sz="4" w:space="0"/>
            </w:tcBorders>
            <w:vAlign w:val="center"/>
          </w:tcPr>
          <w:p>
            <w:pPr>
              <w:jc w:val="center"/>
              <w:rPr>
                <w:b/>
                <w:bCs w:val="0"/>
                <w:szCs w:val="21"/>
                <w:u w:val="single"/>
              </w:rPr>
            </w:pPr>
            <w:r>
              <w:rPr>
                <w:b/>
                <w:bCs w:val="0"/>
                <w:szCs w:val="21"/>
                <w:u w:val="single"/>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426" w:type="dxa"/>
            <w:vMerge w:val="restart"/>
            <w:tcBorders>
              <w:top w:val="single" w:color="auto" w:sz="6" w:space="0"/>
              <w:left w:val="single" w:color="auto" w:sz="4" w:space="0"/>
              <w:bottom w:val="single" w:color="auto" w:sz="6" w:space="0"/>
              <w:right w:val="single" w:color="auto" w:sz="6" w:space="0"/>
            </w:tcBorders>
            <w:vAlign w:val="center"/>
          </w:tcPr>
          <w:p>
            <w:pPr>
              <w:pStyle w:val="29"/>
              <w:jc w:val="center"/>
              <w:rPr>
                <w:rFonts w:ascii="Times New Roman" w:hAnsi="Times New Roman" w:cs="Times New Roman"/>
                <w:b/>
                <w:bCs w:val="0"/>
                <w:kern w:val="2"/>
                <w:sz w:val="21"/>
                <w:szCs w:val="21"/>
                <w:u w:val="single"/>
              </w:rPr>
            </w:pPr>
            <w:r>
              <w:rPr>
                <w:rFonts w:ascii="Times New Roman" w:hAnsi="Times New Roman" w:cs="Times New Roman"/>
                <w:b/>
                <w:bCs w:val="0"/>
                <w:kern w:val="2"/>
                <w:sz w:val="21"/>
                <w:szCs w:val="21"/>
                <w:u w:val="single"/>
              </w:rPr>
              <w:t>禁</w:t>
            </w:r>
          </w:p>
          <w:p>
            <w:pPr>
              <w:pStyle w:val="29"/>
              <w:jc w:val="center"/>
              <w:rPr>
                <w:rFonts w:ascii="Times New Roman" w:hAnsi="Times New Roman" w:cs="Times New Roman"/>
                <w:b/>
                <w:bCs w:val="0"/>
                <w:kern w:val="2"/>
                <w:sz w:val="21"/>
                <w:szCs w:val="21"/>
                <w:u w:val="single"/>
              </w:rPr>
            </w:pPr>
            <w:r>
              <w:rPr>
                <w:rFonts w:ascii="Times New Roman" w:hAnsi="Times New Roman" w:cs="Times New Roman"/>
                <w:b/>
                <w:bCs w:val="0"/>
                <w:kern w:val="2"/>
                <w:sz w:val="21"/>
                <w:szCs w:val="21"/>
                <w:u w:val="single"/>
              </w:rPr>
              <w:t>养</w:t>
            </w:r>
          </w:p>
          <w:p>
            <w:pPr>
              <w:pStyle w:val="29"/>
              <w:jc w:val="center"/>
              <w:rPr>
                <w:rFonts w:ascii="Times New Roman" w:hAnsi="Times New Roman" w:cs="Times New Roman"/>
                <w:b/>
                <w:bCs w:val="0"/>
                <w:kern w:val="2"/>
                <w:sz w:val="21"/>
                <w:szCs w:val="21"/>
                <w:u w:val="single"/>
              </w:rPr>
            </w:pPr>
            <w:r>
              <w:rPr>
                <w:rFonts w:ascii="Times New Roman" w:hAnsi="Times New Roman" w:cs="Times New Roman"/>
                <w:b/>
                <w:bCs w:val="0"/>
                <w:kern w:val="2"/>
                <w:sz w:val="21"/>
                <w:szCs w:val="21"/>
                <w:u w:val="single"/>
              </w:rPr>
              <w:t>区</w:t>
            </w:r>
          </w:p>
        </w:tc>
        <w:tc>
          <w:tcPr>
            <w:tcW w:w="4644"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城市规划区、各乡镇规划区和上述区域外的文教科研区、医疗区、商业区、工业区、游览区等人口集中地区。</w:t>
            </w:r>
          </w:p>
        </w:tc>
        <w:tc>
          <w:tcPr>
            <w:tcW w:w="3450"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color w:val="000000"/>
                <w:szCs w:val="21"/>
                <w:u w:val="single"/>
              </w:rPr>
              <w:t>本项目距平舆县城市规划区最近距离约为14km，不在</w:t>
            </w:r>
            <w:r>
              <w:rPr>
                <w:b/>
                <w:bCs w:val="0"/>
                <w:color w:val="000000"/>
                <w:kern w:val="0"/>
                <w:szCs w:val="21"/>
                <w:u w:val="single"/>
              </w:rPr>
              <w:t>县城规划区</w:t>
            </w:r>
            <w:r>
              <w:rPr>
                <w:b/>
                <w:bCs w:val="0"/>
                <w:color w:val="000000"/>
                <w:szCs w:val="21"/>
                <w:u w:val="single"/>
              </w:rPr>
              <w:t>范围内。</w:t>
            </w:r>
          </w:p>
        </w:tc>
        <w:tc>
          <w:tcPr>
            <w:tcW w:w="426" w:type="dxa"/>
            <w:vMerge w:val="restart"/>
            <w:tcBorders>
              <w:top w:val="single" w:color="auto" w:sz="6" w:space="0"/>
              <w:left w:val="single" w:color="auto" w:sz="6" w:space="0"/>
              <w:bottom w:val="single" w:color="auto" w:sz="6" w:space="0"/>
              <w:right w:val="single" w:color="auto" w:sz="4" w:space="0"/>
            </w:tcBorders>
            <w:vAlign w:val="center"/>
          </w:tcPr>
          <w:p>
            <w:pPr>
              <w:jc w:val="center"/>
              <w:rPr>
                <w:b/>
                <w:bCs w:val="0"/>
                <w:szCs w:val="21"/>
                <w:u w:val="single"/>
              </w:rPr>
            </w:pPr>
            <w:r>
              <w:rPr>
                <w:b/>
                <w:bCs w:val="0"/>
                <w:szCs w:val="21"/>
                <w:u w:val="single"/>
              </w:rPr>
              <w:t>不在禁养区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426" w:type="dxa"/>
            <w:vMerge w:val="continue"/>
            <w:tcBorders>
              <w:top w:val="single" w:color="auto" w:sz="6" w:space="0"/>
              <w:left w:val="single" w:color="auto" w:sz="4" w:space="0"/>
              <w:bottom w:val="single" w:color="auto" w:sz="6" w:space="0"/>
              <w:right w:val="single" w:color="auto" w:sz="6" w:space="0"/>
            </w:tcBorders>
            <w:vAlign w:val="center"/>
          </w:tcPr>
          <w:p>
            <w:pPr>
              <w:widowControl/>
              <w:jc w:val="center"/>
              <w:rPr>
                <w:b/>
                <w:bCs w:val="0"/>
                <w:caps/>
                <w:szCs w:val="21"/>
                <w:u w:val="single"/>
              </w:rPr>
            </w:pPr>
          </w:p>
        </w:tc>
        <w:tc>
          <w:tcPr>
            <w:tcW w:w="4644"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集中式饮用水源地保护区；</w:t>
            </w:r>
          </w:p>
        </w:tc>
        <w:tc>
          <w:tcPr>
            <w:tcW w:w="3450"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color w:val="000000"/>
                <w:kern w:val="0"/>
                <w:szCs w:val="21"/>
                <w:u w:val="single"/>
              </w:rPr>
              <w:t>本项目距平舆县城市饮用水水源地一级保护区最近距离约为1</w:t>
            </w:r>
            <w:r>
              <w:rPr>
                <w:rFonts w:hint="eastAsia"/>
                <w:b/>
                <w:bCs w:val="0"/>
                <w:color w:val="000000"/>
                <w:kern w:val="0"/>
                <w:szCs w:val="21"/>
                <w:u w:val="single"/>
              </w:rPr>
              <w:t>5</w:t>
            </w:r>
            <w:r>
              <w:rPr>
                <w:b/>
                <w:bCs w:val="0"/>
                <w:color w:val="000000"/>
                <w:kern w:val="0"/>
                <w:szCs w:val="21"/>
                <w:u w:val="single"/>
              </w:rPr>
              <w:t>km，距</w:t>
            </w:r>
            <w:r>
              <w:rPr>
                <w:rFonts w:hint="eastAsia"/>
                <w:b/>
                <w:bCs w:val="0"/>
                <w:color w:val="000000"/>
                <w:kern w:val="0"/>
                <w:szCs w:val="21"/>
                <w:u w:val="single"/>
              </w:rPr>
              <w:t>东和店镇</w:t>
            </w:r>
            <w:r>
              <w:rPr>
                <w:b/>
                <w:bCs w:val="0"/>
                <w:color w:val="000000"/>
                <w:kern w:val="0"/>
                <w:szCs w:val="21"/>
                <w:u w:val="single"/>
              </w:rPr>
              <w:t>饮用水水源地一级保护区最近距离约为6.9km，不在县城现有生活饮用水源地（包括16眼井），乡镇和村级集中式生活饮用水源地（包括188眼水井）周围50米范围内</w:t>
            </w:r>
          </w:p>
        </w:tc>
        <w:tc>
          <w:tcPr>
            <w:tcW w:w="426" w:type="dxa"/>
            <w:vMerge w:val="continue"/>
            <w:tcBorders>
              <w:top w:val="single" w:color="auto" w:sz="6" w:space="0"/>
              <w:left w:val="single" w:color="auto" w:sz="6" w:space="0"/>
              <w:bottom w:val="single" w:color="auto" w:sz="6" w:space="0"/>
              <w:right w:val="single" w:color="auto" w:sz="4" w:space="0"/>
            </w:tcBorders>
            <w:vAlign w:val="center"/>
          </w:tcPr>
          <w:p>
            <w:pPr>
              <w:widowControl/>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op w:val="single" w:color="auto" w:sz="6" w:space="0"/>
              <w:left w:val="single" w:color="auto" w:sz="4" w:space="0"/>
              <w:bottom w:val="single" w:color="auto" w:sz="6" w:space="0"/>
              <w:right w:val="single" w:color="auto" w:sz="6" w:space="0"/>
            </w:tcBorders>
            <w:vAlign w:val="center"/>
          </w:tcPr>
          <w:p>
            <w:pPr>
              <w:widowControl/>
              <w:jc w:val="center"/>
              <w:rPr>
                <w:b/>
                <w:bCs w:val="0"/>
                <w:caps/>
                <w:szCs w:val="21"/>
                <w:u w:val="single"/>
              </w:rPr>
            </w:pPr>
          </w:p>
        </w:tc>
        <w:tc>
          <w:tcPr>
            <w:tcW w:w="4644"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自然保护区、风景区、公园、广场、文物保护单位等敏感区域；</w:t>
            </w:r>
          </w:p>
        </w:tc>
        <w:tc>
          <w:tcPr>
            <w:tcW w:w="3450"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项目不涉及敏感区域</w:t>
            </w:r>
          </w:p>
        </w:tc>
        <w:tc>
          <w:tcPr>
            <w:tcW w:w="426" w:type="dxa"/>
            <w:vMerge w:val="continue"/>
            <w:tcBorders>
              <w:top w:val="single" w:color="auto" w:sz="6" w:space="0"/>
              <w:left w:val="single" w:color="auto" w:sz="6" w:space="0"/>
              <w:bottom w:val="single" w:color="auto" w:sz="6" w:space="0"/>
              <w:right w:val="single" w:color="auto" w:sz="4" w:space="0"/>
            </w:tcBorders>
            <w:vAlign w:val="center"/>
          </w:tcPr>
          <w:p>
            <w:pPr>
              <w:widowControl/>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426" w:type="dxa"/>
            <w:vMerge w:val="continue"/>
            <w:tcBorders>
              <w:top w:val="single" w:color="auto" w:sz="6" w:space="0"/>
              <w:left w:val="single" w:color="auto" w:sz="4" w:space="0"/>
              <w:bottom w:val="single" w:color="auto" w:sz="6" w:space="0"/>
              <w:right w:val="single" w:color="auto" w:sz="6" w:space="0"/>
            </w:tcBorders>
            <w:vAlign w:val="center"/>
          </w:tcPr>
          <w:p>
            <w:pPr>
              <w:widowControl/>
              <w:jc w:val="center"/>
              <w:rPr>
                <w:b/>
                <w:bCs w:val="0"/>
                <w:caps/>
                <w:szCs w:val="21"/>
                <w:u w:val="single"/>
              </w:rPr>
            </w:pPr>
          </w:p>
        </w:tc>
        <w:tc>
          <w:tcPr>
            <w:tcW w:w="4644"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大广、新阳高速、驻新吴潢省道和106国道两侧各100m范围内的区域；</w:t>
            </w:r>
          </w:p>
        </w:tc>
        <w:tc>
          <w:tcPr>
            <w:tcW w:w="3450"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项目</w:t>
            </w:r>
            <w:r>
              <w:rPr>
                <w:rFonts w:hint="eastAsia"/>
                <w:b/>
                <w:bCs w:val="0"/>
                <w:szCs w:val="21"/>
                <w:u w:val="single"/>
              </w:rPr>
              <w:t>东</w:t>
            </w:r>
            <w:r>
              <w:rPr>
                <w:b/>
                <w:bCs w:val="0"/>
                <w:szCs w:val="21"/>
                <w:u w:val="single"/>
              </w:rPr>
              <w:t>侧距</w:t>
            </w:r>
            <w:r>
              <w:rPr>
                <w:rFonts w:hint="eastAsia"/>
                <w:b/>
                <w:bCs w:val="0"/>
                <w:szCs w:val="21"/>
                <w:u w:val="single"/>
              </w:rPr>
              <w:t>S333</w:t>
            </w:r>
            <w:r>
              <w:rPr>
                <w:b/>
                <w:bCs w:val="0"/>
                <w:szCs w:val="21"/>
                <w:u w:val="single"/>
              </w:rPr>
              <w:t>省道高速约1.</w:t>
            </w:r>
            <w:r>
              <w:rPr>
                <w:rFonts w:hint="eastAsia"/>
                <w:b/>
                <w:bCs w:val="0"/>
                <w:szCs w:val="21"/>
                <w:u w:val="single"/>
              </w:rPr>
              <w:t>2</w:t>
            </w:r>
            <w:r>
              <w:rPr>
                <w:b/>
                <w:bCs w:val="0"/>
                <w:szCs w:val="21"/>
                <w:u w:val="single"/>
              </w:rPr>
              <w:t>km</w:t>
            </w:r>
          </w:p>
        </w:tc>
        <w:tc>
          <w:tcPr>
            <w:tcW w:w="426" w:type="dxa"/>
            <w:vMerge w:val="continue"/>
            <w:tcBorders>
              <w:top w:val="single" w:color="auto" w:sz="6" w:space="0"/>
              <w:left w:val="single" w:color="auto" w:sz="6" w:space="0"/>
              <w:bottom w:val="single" w:color="auto" w:sz="6" w:space="0"/>
              <w:right w:val="single" w:color="auto" w:sz="4" w:space="0"/>
            </w:tcBorders>
            <w:vAlign w:val="center"/>
          </w:tcPr>
          <w:p>
            <w:pPr>
              <w:widowControl/>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426" w:type="dxa"/>
            <w:vMerge w:val="continue"/>
            <w:tcBorders>
              <w:top w:val="single" w:color="auto" w:sz="6" w:space="0"/>
              <w:left w:val="single" w:color="auto" w:sz="4" w:space="0"/>
              <w:bottom w:val="single" w:color="auto" w:sz="6" w:space="0"/>
              <w:right w:val="single" w:color="auto" w:sz="6" w:space="0"/>
            </w:tcBorders>
            <w:vAlign w:val="center"/>
          </w:tcPr>
          <w:p>
            <w:pPr>
              <w:widowControl/>
              <w:jc w:val="center"/>
              <w:rPr>
                <w:b/>
                <w:bCs w:val="0"/>
                <w:caps/>
                <w:szCs w:val="21"/>
                <w:u w:val="single"/>
              </w:rPr>
            </w:pPr>
          </w:p>
        </w:tc>
        <w:tc>
          <w:tcPr>
            <w:tcW w:w="4644"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国家或地方法律、法规规定和市政府依法划定的需要特殊保护的其他区域。</w:t>
            </w:r>
          </w:p>
        </w:tc>
        <w:tc>
          <w:tcPr>
            <w:tcW w:w="3450"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项目区</w:t>
            </w:r>
            <w:r>
              <w:rPr>
                <w:rFonts w:hint="eastAsia"/>
                <w:b/>
                <w:bCs w:val="0"/>
                <w:szCs w:val="21"/>
                <w:u w:val="single"/>
              </w:rPr>
              <w:t>西</w:t>
            </w:r>
            <w:r>
              <w:rPr>
                <w:b/>
                <w:bCs w:val="0"/>
                <w:szCs w:val="21"/>
                <w:u w:val="single"/>
              </w:rPr>
              <w:t>侧</w:t>
            </w:r>
            <w:r>
              <w:rPr>
                <w:rFonts w:hint="eastAsia"/>
                <w:b/>
                <w:bCs w:val="0"/>
                <w:szCs w:val="21"/>
                <w:u w:val="single"/>
              </w:rPr>
              <w:t>583</w:t>
            </w:r>
            <w:r>
              <w:rPr>
                <w:b/>
                <w:bCs w:val="0"/>
                <w:szCs w:val="21"/>
                <w:u w:val="single"/>
              </w:rPr>
              <w:t>m处的</w:t>
            </w:r>
            <w:r>
              <w:rPr>
                <w:rFonts w:hint="eastAsia"/>
                <w:b/>
                <w:bCs w:val="0"/>
                <w:szCs w:val="21"/>
                <w:u w:val="single"/>
              </w:rPr>
              <w:t>大黄港</w:t>
            </w:r>
            <w:r>
              <w:rPr>
                <w:b/>
                <w:bCs w:val="0"/>
                <w:szCs w:val="21"/>
                <w:u w:val="single"/>
              </w:rPr>
              <w:t>河，不在国家或地方法律、法规规定和市政府依法划定的需要特殊保护的其他区域</w:t>
            </w:r>
          </w:p>
        </w:tc>
        <w:tc>
          <w:tcPr>
            <w:tcW w:w="426" w:type="dxa"/>
            <w:vMerge w:val="restart"/>
            <w:tcBorders>
              <w:top w:val="single" w:color="auto" w:sz="6" w:space="0"/>
              <w:left w:val="single" w:color="auto" w:sz="6" w:space="0"/>
              <w:bottom w:val="single" w:color="auto" w:sz="4" w:space="0"/>
              <w:right w:val="single" w:color="auto" w:sz="4" w:space="0"/>
            </w:tcBorders>
            <w:vAlign w:val="center"/>
          </w:tcPr>
          <w:p>
            <w:pPr>
              <w:jc w:val="center"/>
              <w:rPr>
                <w:b/>
                <w:bCs w:val="0"/>
                <w:szCs w:val="21"/>
                <w:u w:val="single"/>
              </w:rPr>
            </w:pPr>
            <w:r>
              <w:rPr>
                <w:b/>
                <w:bCs w:val="0"/>
                <w:szCs w:val="21"/>
                <w:u w:val="single"/>
              </w:rPr>
              <w:t>不在限养区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7" w:hRule="atLeast"/>
          <w:jc w:val="center"/>
        </w:trPr>
        <w:tc>
          <w:tcPr>
            <w:tcW w:w="426" w:type="dxa"/>
            <w:vMerge w:val="restart"/>
            <w:tcBorders>
              <w:top w:val="single" w:color="auto" w:sz="6" w:space="0"/>
              <w:left w:val="single" w:color="auto" w:sz="4" w:space="0"/>
              <w:bottom w:val="single" w:color="auto" w:sz="4" w:space="0"/>
              <w:right w:val="single" w:color="auto" w:sz="6" w:space="0"/>
            </w:tcBorders>
            <w:vAlign w:val="center"/>
          </w:tcPr>
          <w:p>
            <w:pPr>
              <w:jc w:val="center"/>
              <w:rPr>
                <w:b/>
                <w:bCs w:val="0"/>
                <w:szCs w:val="21"/>
                <w:u w:val="single"/>
              </w:rPr>
            </w:pPr>
            <w:r>
              <w:rPr>
                <w:b/>
                <w:bCs w:val="0"/>
                <w:szCs w:val="21"/>
                <w:u w:val="single"/>
              </w:rPr>
              <w:t>限养区</w:t>
            </w:r>
          </w:p>
        </w:tc>
        <w:tc>
          <w:tcPr>
            <w:tcW w:w="4644"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城市规划区周边2000m范围内的区域，城镇居民区、文教科研区周边1000m范围内（按照国统字[2008]177号文件规定：城镇居民区、文化教育科学研究区原则上设定为常住人口3000人以上），乡村周边300m范围内的区域（按照国统字[2008]177号文件规定：乡村是指常住人口3000人以下，且学校、医疗、市场等配套齐全的，其他设定为居民集中区或居民集中点）；</w:t>
            </w:r>
          </w:p>
        </w:tc>
        <w:tc>
          <w:tcPr>
            <w:tcW w:w="3450"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color w:val="000000"/>
                <w:szCs w:val="21"/>
                <w:u w:val="single"/>
              </w:rPr>
              <w:t>本项目距平舆县城市规划区最近距离约为14km，不在</w:t>
            </w:r>
            <w:r>
              <w:rPr>
                <w:b/>
                <w:bCs w:val="0"/>
                <w:color w:val="000000"/>
                <w:kern w:val="0"/>
                <w:szCs w:val="21"/>
                <w:u w:val="single"/>
              </w:rPr>
              <w:t>县城规划区</w:t>
            </w:r>
            <w:r>
              <w:rPr>
                <w:b/>
                <w:bCs w:val="0"/>
                <w:color w:val="000000"/>
                <w:szCs w:val="21"/>
                <w:u w:val="single"/>
              </w:rPr>
              <w:t>范围内。</w:t>
            </w:r>
          </w:p>
        </w:tc>
        <w:tc>
          <w:tcPr>
            <w:tcW w:w="426" w:type="dxa"/>
            <w:vMerge w:val="continue"/>
            <w:tcBorders>
              <w:top w:val="single" w:color="auto" w:sz="6" w:space="0"/>
              <w:left w:val="single" w:color="auto" w:sz="6" w:space="0"/>
              <w:bottom w:val="single" w:color="auto" w:sz="4" w:space="0"/>
              <w:right w:val="single" w:color="auto" w:sz="4" w:space="0"/>
            </w:tcBorders>
            <w:vAlign w:val="center"/>
          </w:tcPr>
          <w:p>
            <w:pPr>
              <w:widowControl/>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426" w:type="dxa"/>
            <w:vMerge w:val="continue"/>
            <w:tcBorders>
              <w:top w:val="single" w:color="auto" w:sz="6" w:space="0"/>
              <w:left w:val="single" w:color="auto" w:sz="4" w:space="0"/>
              <w:bottom w:val="single" w:color="auto" w:sz="4" w:space="0"/>
              <w:right w:val="single" w:color="auto" w:sz="6" w:space="0"/>
            </w:tcBorders>
            <w:vAlign w:val="center"/>
          </w:tcPr>
          <w:p>
            <w:pPr>
              <w:widowControl/>
              <w:jc w:val="center"/>
              <w:rPr>
                <w:b/>
                <w:bCs w:val="0"/>
                <w:szCs w:val="21"/>
                <w:u w:val="single"/>
              </w:rPr>
            </w:pPr>
          </w:p>
        </w:tc>
        <w:tc>
          <w:tcPr>
            <w:tcW w:w="4644"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集中式饮用水源地准保护区</w:t>
            </w:r>
          </w:p>
        </w:tc>
        <w:tc>
          <w:tcPr>
            <w:tcW w:w="3450"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项目所在区域内无集中式饮用水源地</w:t>
            </w:r>
          </w:p>
        </w:tc>
        <w:tc>
          <w:tcPr>
            <w:tcW w:w="426" w:type="dxa"/>
            <w:vMerge w:val="continue"/>
            <w:tcBorders>
              <w:top w:val="single" w:color="auto" w:sz="6" w:space="0"/>
              <w:left w:val="single" w:color="auto" w:sz="6" w:space="0"/>
              <w:bottom w:val="single" w:color="auto" w:sz="4" w:space="0"/>
              <w:right w:val="single" w:color="auto" w:sz="4" w:space="0"/>
            </w:tcBorders>
            <w:vAlign w:val="center"/>
          </w:tcPr>
          <w:p>
            <w:pPr>
              <w:widowControl/>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5" w:hRule="atLeast"/>
          <w:jc w:val="center"/>
        </w:trPr>
        <w:tc>
          <w:tcPr>
            <w:tcW w:w="426" w:type="dxa"/>
            <w:vMerge w:val="continue"/>
            <w:tcBorders>
              <w:top w:val="single" w:color="auto" w:sz="6" w:space="0"/>
              <w:left w:val="single" w:color="auto" w:sz="4" w:space="0"/>
              <w:bottom w:val="single" w:color="auto" w:sz="4" w:space="0"/>
              <w:right w:val="single" w:color="auto" w:sz="6" w:space="0"/>
            </w:tcBorders>
            <w:vAlign w:val="center"/>
          </w:tcPr>
          <w:p>
            <w:pPr>
              <w:widowControl/>
              <w:jc w:val="center"/>
              <w:rPr>
                <w:b/>
                <w:bCs w:val="0"/>
                <w:szCs w:val="21"/>
                <w:u w:val="single"/>
              </w:rPr>
            </w:pPr>
          </w:p>
        </w:tc>
        <w:tc>
          <w:tcPr>
            <w:tcW w:w="4644"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经市级以上政府批准的产业园区及各产业集聚区区域外延500米范围内的区域</w:t>
            </w:r>
          </w:p>
        </w:tc>
        <w:tc>
          <w:tcPr>
            <w:tcW w:w="3450"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项目场址距离平舆县产业集聚区约2</w:t>
            </w:r>
            <w:r>
              <w:rPr>
                <w:rFonts w:hint="eastAsia"/>
                <w:b/>
                <w:bCs w:val="0"/>
                <w:szCs w:val="21"/>
                <w:u w:val="single"/>
              </w:rPr>
              <w:t>1</w:t>
            </w:r>
            <w:r>
              <w:rPr>
                <w:b/>
                <w:bCs w:val="0"/>
                <w:szCs w:val="21"/>
                <w:u w:val="single"/>
              </w:rPr>
              <w:t>km，不在各产业集聚区区域外500m范围内</w:t>
            </w:r>
          </w:p>
        </w:tc>
        <w:tc>
          <w:tcPr>
            <w:tcW w:w="426" w:type="dxa"/>
            <w:vMerge w:val="continue"/>
            <w:tcBorders>
              <w:top w:val="single" w:color="auto" w:sz="6" w:space="0"/>
              <w:left w:val="single" w:color="auto" w:sz="6" w:space="0"/>
              <w:bottom w:val="single" w:color="auto" w:sz="4" w:space="0"/>
              <w:right w:val="single" w:color="auto" w:sz="4" w:space="0"/>
            </w:tcBorders>
            <w:vAlign w:val="center"/>
          </w:tcPr>
          <w:p>
            <w:pPr>
              <w:widowControl/>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426" w:type="dxa"/>
            <w:vMerge w:val="continue"/>
            <w:tcBorders>
              <w:top w:val="single" w:color="auto" w:sz="6" w:space="0"/>
              <w:left w:val="single" w:color="auto" w:sz="4" w:space="0"/>
              <w:bottom w:val="single" w:color="auto" w:sz="4" w:space="0"/>
              <w:right w:val="single" w:color="auto" w:sz="6" w:space="0"/>
            </w:tcBorders>
            <w:vAlign w:val="center"/>
          </w:tcPr>
          <w:p>
            <w:pPr>
              <w:widowControl/>
              <w:jc w:val="center"/>
              <w:rPr>
                <w:b/>
                <w:bCs w:val="0"/>
                <w:szCs w:val="21"/>
                <w:u w:val="single"/>
              </w:rPr>
            </w:pPr>
          </w:p>
        </w:tc>
        <w:tc>
          <w:tcPr>
            <w:tcW w:w="4644"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自然保护区、风景名胜区、地质公园、森林公园、文物保护单位等敏感区外500米范围内</w:t>
            </w:r>
          </w:p>
        </w:tc>
        <w:tc>
          <w:tcPr>
            <w:tcW w:w="3450"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项目周边1km内无自然保护区、风景名胜区、地质公园、森林公园、文物保护单位等敏感区</w:t>
            </w:r>
          </w:p>
        </w:tc>
        <w:tc>
          <w:tcPr>
            <w:tcW w:w="426" w:type="dxa"/>
            <w:vMerge w:val="continue"/>
            <w:tcBorders>
              <w:top w:val="single" w:color="auto" w:sz="6" w:space="0"/>
              <w:left w:val="single" w:color="auto" w:sz="6" w:space="0"/>
              <w:bottom w:val="single" w:color="auto" w:sz="4" w:space="0"/>
              <w:right w:val="single" w:color="auto" w:sz="4" w:space="0"/>
            </w:tcBorders>
            <w:vAlign w:val="center"/>
          </w:tcPr>
          <w:p>
            <w:pPr>
              <w:widowControl/>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7" w:hRule="atLeast"/>
          <w:jc w:val="center"/>
        </w:trPr>
        <w:tc>
          <w:tcPr>
            <w:tcW w:w="426" w:type="dxa"/>
            <w:vMerge w:val="continue"/>
            <w:tcBorders>
              <w:top w:val="single" w:color="auto" w:sz="6" w:space="0"/>
              <w:left w:val="single" w:color="auto" w:sz="4" w:space="0"/>
              <w:bottom w:val="single" w:color="auto" w:sz="4" w:space="0"/>
              <w:right w:val="single" w:color="auto" w:sz="6" w:space="0"/>
            </w:tcBorders>
            <w:vAlign w:val="center"/>
          </w:tcPr>
          <w:p>
            <w:pPr>
              <w:widowControl/>
              <w:jc w:val="center"/>
              <w:rPr>
                <w:b/>
                <w:bCs w:val="0"/>
                <w:szCs w:val="21"/>
                <w:u w:val="single"/>
              </w:rPr>
            </w:pPr>
          </w:p>
        </w:tc>
        <w:tc>
          <w:tcPr>
            <w:tcW w:w="4644" w:type="dxa"/>
            <w:tcBorders>
              <w:top w:val="single" w:color="auto" w:sz="6" w:space="0"/>
              <w:left w:val="single" w:color="auto" w:sz="6" w:space="0"/>
              <w:bottom w:val="single" w:color="auto" w:sz="4" w:space="0"/>
              <w:right w:val="single" w:color="auto" w:sz="6" w:space="0"/>
            </w:tcBorders>
            <w:vAlign w:val="center"/>
          </w:tcPr>
          <w:p>
            <w:pPr>
              <w:jc w:val="center"/>
              <w:rPr>
                <w:b/>
                <w:bCs w:val="0"/>
                <w:szCs w:val="21"/>
                <w:u w:val="single"/>
              </w:rPr>
            </w:pPr>
            <w:r>
              <w:rPr>
                <w:b/>
                <w:bCs w:val="0"/>
                <w:szCs w:val="21"/>
                <w:u w:val="single"/>
              </w:rPr>
              <w:t>根据城镇发展规划和区域污染物排放总量控制要求，其他应当限制养殖的区域</w:t>
            </w:r>
          </w:p>
        </w:tc>
        <w:tc>
          <w:tcPr>
            <w:tcW w:w="3450" w:type="dxa"/>
            <w:tcBorders>
              <w:top w:val="single" w:color="auto" w:sz="6" w:space="0"/>
              <w:left w:val="single" w:color="auto" w:sz="6" w:space="0"/>
              <w:bottom w:val="single" w:color="auto" w:sz="4" w:space="0"/>
              <w:right w:val="single" w:color="auto" w:sz="6" w:space="0"/>
            </w:tcBorders>
            <w:vAlign w:val="center"/>
          </w:tcPr>
          <w:p>
            <w:pPr>
              <w:jc w:val="center"/>
              <w:rPr>
                <w:b/>
                <w:bCs w:val="0"/>
                <w:szCs w:val="21"/>
                <w:u w:val="single"/>
              </w:rPr>
            </w:pPr>
            <w:r>
              <w:rPr>
                <w:b/>
                <w:bCs w:val="0"/>
                <w:szCs w:val="21"/>
                <w:u w:val="single"/>
              </w:rPr>
              <w:t>不在其他限制养殖区域</w:t>
            </w:r>
          </w:p>
        </w:tc>
        <w:tc>
          <w:tcPr>
            <w:tcW w:w="426" w:type="dxa"/>
            <w:vMerge w:val="continue"/>
            <w:tcBorders>
              <w:top w:val="single" w:color="auto" w:sz="6" w:space="0"/>
              <w:left w:val="single" w:color="auto" w:sz="6" w:space="0"/>
              <w:bottom w:val="single" w:color="auto" w:sz="4" w:space="0"/>
              <w:right w:val="single" w:color="auto" w:sz="4" w:space="0"/>
            </w:tcBorders>
            <w:vAlign w:val="center"/>
          </w:tcPr>
          <w:p>
            <w:pPr>
              <w:widowControl/>
              <w:jc w:val="center"/>
              <w:rPr>
                <w:b/>
                <w:bCs w:val="0"/>
                <w:szCs w:val="21"/>
                <w:u w:val="single"/>
              </w:rPr>
            </w:pPr>
          </w:p>
        </w:tc>
      </w:tr>
    </w:tbl>
    <w:p>
      <w:pPr>
        <w:tabs>
          <w:tab w:val="left" w:pos="3240"/>
        </w:tabs>
        <w:spacing w:line="360" w:lineRule="auto"/>
        <w:rPr>
          <w:b/>
          <w:bCs w:val="0"/>
          <w:sz w:val="24"/>
          <w:u w:val="single"/>
        </w:rPr>
      </w:pPr>
      <w:r>
        <w:rPr>
          <w:b/>
          <w:bCs w:val="0"/>
          <w:sz w:val="24"/>
          <w:u w:val="single"/>
        </w:rPr>
        <w:t>（7）“三线一单”相符性分析</w:t>
      </w:r>
    </w:p>
    <w:p>
      <w:pPr>
        <w:tabs>
          <w:tab w:val="left" w:pos="3240"/>
        </w:tabs>
        <w:spacing w:line="360" w:lineRule="auto"/>
        <w:ind w:firstLine="482" w:firstLineChars="200"/>
        <w:rPr>
          <w:b/>
          <w:bCs w:val="0"/>
          <w:sz w:val="24"/>
          <w:u w:val="single"/>
        </w:rPr>
      </w:pPr>
      <w:r>
        <w:rPr>
          <w:b/>
          <w:bCs w:val="0"/>
          <w:sz w:val="24"/>
          <w:u w:val="single"/>
        </w:rPr>
        <w:t>根据环保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tabs>
          <w:tab w:val="left" w:pos="3240"/>
        </w:tabs>
        <w:spacing w:line="360" w:lineRule="auto"/>
        <w:ind w:firstLine="482" w:firstLineChars="200"/>
        <w:rPr>
          <w:b/>
          <w:bCs w:val="0"/>
          <w:sz w:val="24"/>
          <w:u w:val="single"/>
        </w:rPr>
      </w:pPr>
      <w:r>
        <w:rPr>
          <w:b/>
          <w:bCs w:val="0"/>
          <w:sz w:val="24"/>
          <w:u w:val="single"/>
        </w:rPr>
        <w:t>（1）生态红线</w:t>
      </w:r>
    </w:p>
    <w:p>
      <w:pPr>
        <w:tabs>
          <w:tab w:val="left" w:pos="3240"/>
        </w:tabs>
        <w:spacing w:line="360" w:lineRule="auto"/>
        <w:ind w:firstLine="482" w:firstLineChars="200"/>
        <w:rPr>
          <w:b/>
          <w:bCs w:val="0"/>
          <w:sz w:val="24"/>
          <w:u w:val="single"/>
        </w:rPr>
      </w:pPr>
      <w:r>
        <w:rPr>
          <w:b/>
          <w:bCs w:val="0"/>
          <w:sz w:val="24"/>
          <w:u w:val="single"/>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tabs>
          <w:tab w:val="left" w:pos="3240"/>
        </w:tabs>
        <w:spacing w:line="360" w:lineRule="auto"/>
        <w:ind w:firstLine="482" w:firstLineChars="200"/>
        <w:rPr>
          <w:b/>
          <w:bCs w:val="0"/>
          <w:sz w:val="24"/>
          <w:u w:val="single"/>
        </w:rPr>
      </w:pPr>
      <w:r>
        <w:rPr>
          <w:b/>
          <w:bCs w:val="0"/>
          <w:sz w:val="24"/>
          <w:u w:val="single"/>
        </w:rPr>
        <w:t>需依法在重点生态功能区、生态环境敏感区和脆弱区等区域划定的严格管控边界，是国家和区域生态安全的底线，对于维护生态安全格局、保障生态服务功能、支撑经济社会可持续发展具有重要作用。根据《河南省生态保护红线划定方案》（征求意见稿），对全省各市区的生态保护红线进行了划定。其中北汝河水源涵养生态保护红线区、唐河水源涵养生态保护红线区、宿鸭湖湿地生物多样性维护生态保护红线区、桐柏山淮河源水源涵养生态保护红线区、汝河水源涵养生态保护红线区、汝河汝南生物多样性维护生态保护红线区、洪河水源涵养生态保护红线区、淮河干流水源保护生态保护红线区、澧河水源涵养生态保护红线区、高乐山天目山生物多样性维护生态保护红线区被列入了驻马店市生态保护红线区。本项目选址位于</w:t>
      </w:r>
      <w:r>
        <w:rPr>
          <w:b/>
          <w:bCs w:val="0"/>
          <w:iCs/>
          <w:sz w:val="24"/>
          <w:u w:val="single"/>
        </w:rPr>
        <w:t>驻马店市平舆县</w:t>
      </w:r>
      <w:r>
        <w:rPr>
          <w:rFonts w:hint="eastAsia"/>
          <w:b/>
          <w:bCs w:val="0"/>
          <w:iCs/>
          <w:sz w:val="24"/>
          <w:u w:val="single"/>
        </w:rPr>
        <w:t>东和店镇邢岗村</w:t>
      </w:r>
      <w:r>
        <w:rPr>
          <w:b/>
          <w:bCs w:val="0"/>
          <w:sz w:val="24"/>
          <w:u w:val="single"/>
        </w:rPr>
        <w:t>，不在上述的生态保护红线区范围内，因此项目建设符合生态红线要求。</w:t>
      </w:r>
    </w:p>
    <w:p>
      <w:pPr>
        <w:tabs>
          <w:tab w:val="left" w:pos="3240"/>
        </w:tabs>
        <w:spacing w:line="360" w:lineRule="auto"/>
        <w:ind w:firstLine="482" w:firstLineChars="200"/>
        <w:rPr>
          <w:b/>
          <w:bCs w:val="0"/>
          <w:sz w:val="24"/>
          <w:u w:val="single"/>
        </w:rPr>
      </w:pPr>
      <w:r>
        <w:rPr>
          <w:b/>
          <w:bCs w:val="0"/>
          <w:sz w:val="24"/>
          <w:u w:val="single"/>
        </w:rPr>
        <w:t>（2）环境质量底线</w:t>
      </w:r>
    </w:p>
    <w:p>
      <w:pPr>
        <w:tabs>
          <w:tab w:val="left" w:pos="3240"/>
        </w:tabs>
        <w:spacing w:line="360" w:lineRule="auto"/>
        <w:ind w:firstLine="482" w:firstLineChars="200"/>
        <w:rPr>
          <w:b/>
          <w:bCs w:val="0"/>
          <w:sz w:val="24"/>
          <w:u w:val="single"/>
        </w:rPr>
      </w:pPr>
      <w:r>
        <w:rPr>
          <w:b/>
          <w:bCs w:val="0"/>
          <w:sz w:val="24"/>
          <w:u w:val="single"/>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tabs>
          <w:tab w:val="left" w:pos="3240"/>
        </w:tabs>
        <w:spacing w:line="360" w:lineRule="auto"/>
        <w:ind w:firstLine="482" w:firstLineChars="200"/>
        <w:rPr>
          <w:b/>
          <w:bCs w:val="0"/>
          <w:sz w:val="24"/>
          <w:u w:val="single"/>
        </w:rPr>
      </w:pPr>
      <w:r>
        <w:rPr>
          <w:b/>
          <w:bCs w:val="0"/>
          <w:sz w:val="24"/>
          <w:u w:val="single"/>
        </w:rPr>
        <w:t>项目选址区域为环境空气功能区二类区，执行二级标准。</w:t>
      </w:r>
      <w:r>
        <w:rPr>
          <w:b/>
          <w:bCs w:val="0"/>
          <w:color w:val="000000"/>
          <w:sz w:val="24"/>
          <w:u w:val="single"/>
        </w:rPr>
        <w:t>根据</w:t>
      </w:r>
      <w:r>
        <w:rPr>
          <w:b/>
          <w:bCs w:val="0"/>
          <w:sz w:val="24"/>
          <w:u w:val="single"/>
        </w:rPr>
        <w:t>现状监测数据，所有监测点位SO</w:t>
      </w:r>
      <w:r>
        <w:rPr>
          <w:b/>
          <w:bCs w:val="0"/>
          <w:sz w:val="24"/>
          <w:u w:val="single"/>
          <w:vertAlign w:val="subscript"/>
        </w:rPr>
        <w:t>2</w:t>
      </w:r>
      <w:r>
        <w:rPr>
          <w:b/>
          <w:bCs w:val="0"/>
          <w:sz w:val="24"/>
          <w:u w:val="single"/>
        </w:rPr>
        <w:t>、NO</w:t>
      </w:r>
      <w:r>
        <w:rPr>
          <w:b/>
          <w:bCs w:val="0"/>
          <w:sz w:val="24"/>
          <w:u w:val="single"/>
          <w:vertAlign w:val="subscript"/>
        </w:rPr>
        <w:t>2</w:t>
      </w:r>
      <w:r>
        <w:rPr>
          <w:b/>
          <w:bCs w:val="0"/>
          <w:sz w:val="24"/>
          <w:u w:val="single"/>
        </w:rPr>
        <w:t>、PM</w:t>
      </w:r>
      <w:r>
        <w:rPr>
          <w:b/>
          <w:bCs w:val="0"/>
          <w:sz w:val="24"/>
          <w:u w:val="single"/>
          <w:vertAlign w:val="subscript"/>
        </w:rPr>
        <w:t>2.5</w:t>
      </w:r>
      <w:r>
        <w:rPr>
          <w:b/>
          <w:bCs w:val="0"/>
          <w:sz w:val="24"/>
          <w:u w:val="single"/>
        </w:rPr>
        <w:t>、PM</w:t>
      </w:r>
      <w:r>
        <w:rPr>
          <w:b/>
          <w:bCs w:val="0"/>
          <w:sz w:val="24"/>
          <w:u w:val="single"/>
          <w:vertAlign w:val="subscript"/>
        </w:rPr>
        <w:t>10</w:t>
      </w:r>
      <w:r>
        <w:rPr>
          <w:b/>
          <w:bCs w:val="0"/>
          <w:sz w:val="24"/>
          <w:u w:val="single"/>
        </w:rPr>
        <w:t>均能满足《环境空气质量标准》（GB3095-2012）中二级标准。</w:t>
      </w:r>
    </w:p>
    <w:p>
      <w:pPr>
        <w:tabs>
          <w:tab w:val="left" w:pos="3240"/>
        </w:tabs>
        <w:spacing w:line="360" w:lineRule="auto"/>
        <w:ind w:firstLine="482" w:firstLineChars="200"/>
        <w:rPr>
          <w:b/>
          <w:bCs w:val="0"/>
          <w:sz w:val="24"/>
          <w:u w:val="single"/>
        </w:rPr>
      </w:pPr>
      <w:r>
        <w:rPr>
          <w:b/>
          <w:bCs w:val="0"/>
          <w:sz w:val="24"/>
          <w:u w:val="single"/>
        </w:rPr>
        <w:t>项目</w:t>
      </w:r>
      <w:r>
        <w:rPr>
          <w:b/>
          <w:bCs w:val="0"/>
          <w:kern w:val="0"/>
          <w:sz w:val="24"/>
          <w:u w:val="single"/>
        </w:rPr>
        <w:t>所在地的主要地表水体</w:t>
      </w:r>
      <w:r>
        <w:rPr>
          <w:rFonts w:hint="eastAsia"/>
          <w:b/>
          <w:bCs w:val="0"/>
          <w:kern w:val="0"/>
          <w:sz w:val="24"/>
          <w:u w:val="single"/>
        </w:rPr>
        <w:t>大黄港河</w:t>
      </w:r>
      <w:r>
        <w:rPr>
          <w:b/>
          <w:bCs w:val="0"/>
          <w:kern w:val="0"/>
          <w:sz w:val="24"/>
          <w:u w:val="single"/>
        </w:rPr>
        <w:t>，执行《地表水环境质量标准》（GB3838-2002）中的</w:t>
      </w:r>
      <w:r>
        <w:rPr>
          <w:rFonts w:hint="eastAsia" w:ascii="宋体" w:hAnsi="宋体" w:cs="宋体"/>
          <w:b/>
          <w:bCs w:val="0"/>
          <w:sz w:val="24"/>
          <w:u w:val="single"/>
        </w:rPr>
        <w:t>Ⅲ</w:t>
      </w:r>
      <w:r>
        <w:rPr>
          <w:b/>
          <w:bCs w:val="0"/>
          <w:sz w:val="24"/>
          <w:u w:val="single"/>
        </w:rPr>
        <w:t>类标准。根据本次评价实测监测点位的监测因子均能满足《地表水环境质量标准》（GB3838-2002）中</w:t>
      </w:r>
      <w:r>
        <w:rPr>
          <w:rFonts w:hint="eastAsia" w:ascii="宋体" w:hAnsi="宋体" w:cs="宋体"/>
          <w:b/>
          <w:bCs w:val="0"/>
          <w:sz w:val="24"/>
          <w:u w:val="single"/>
        </w:rPr>
        <w:t>Ⅲ</w:t>
      </w:r>
      <w:r>
        <w:rPr>
          <w:b/>
          <w:bCs w:val="0"/>
          <w:sz w:val="24"/>
          <w:u w:val="single"/>
        </w:rPr>
        <w:t>类水质标准要求。本项目无废水外排，因此，不会对地表水体产生影响。</w:t>
      </w:r>
    </w:p>
    <w:p>
      <w:pPr>
        <w:tabs>
          <w:tab w:val="left" w:pos="3240"/>
        </w:tabs>
        <w:spacing w:line="360" w:lineRule="auto"/>
        <w:ind w:firstLine="482" w:firstLineChars="200"/>
        <w:rPr>
          <w:b/>
          <w:bCs w:val="0"/>
          <w:sz w:val="24"/>
          <w:u w:val="single"/>
        </w:rPr>
      </w:pPr>
      <w:r>
        <w:rPr>
          <w:b/>
          <w:bCs w:val="0"/>
          <w:sz w:val="24"/>
          <w:u w:val="single"/>
        </w:rPr>
        <w:t>本项目所在区域为2类声环境功能区，根据环境噪声现状监测结果，项目区域内边界的昼、夜间噪声符合《声环境质量标准》GB3096-2008中2类标准。本项目建成后噪声产生量小，能满足《声环境质量标准》2类标准要求，本项目建设运营不会改变项目所在区域的声环境功能，因此项目建设声环境质量是符合要求的。</w:t>
      </w:r>
    </w:p>
    <w:p>
      <w:pPr>
        <w:tabs>
          <w:tab w:val="left" w:pos="3240"/>
        </w:tabs>
        <w:spacing w:line="360" w:lineRule="auto"/>
        <w:ind w:firstLine="482" w:firstLineChars="200"/>
        <w:rPr>
          <w:b/>
          <w:bCs w:val="0"/>
          <w:sz w:val="24"/>
          <w:u w:val="single"/>
        </w:rPr>
      </w:pPr>
      <w:r>
        <w:rPr>
          <w:b/>
          <w:bCs w:val="0"/>
          <w:sz w:val="24"/>
          <w:u w:val="single"/>
        </w:rPr>
        <w:t>综上，本项目建设符合环境质量底线要求的。</w:t>
      </w:r>
    </w:p>
    <w:p>
      <w:pPr>
        <w:tabs>
          <w:tab w:val="left" w:pos="3240"/>
        </w:tabs>
        <w:spacing w:line="360" w:lineRule="auto"/>
        <w:ind w:firstLine="482" w:firstLineChars="200"/>
        <w:rPr>
          <w:b/>
          <w:bCs w:val="0"/>
          <w:sz w:val="24"/>
          <w:u w:val="single"/>
        </w:rPr>
      </w:pPr>
      <w:r>
        <w:rPr>
          <w:b/>
          <w:bCs w:val="0"/>
          <w:sz w:val="24"/>
          <w:u w:val="single"/>
        </w:rPr>
        <w:t>（3）资源利用上线</w:t>
      </w:r>
    </w:p>
    <w:p>
      <w:pPr>
        <w:tabs>
          <w:tab w:val="left" w:pos="3240"/>
        </w:tabs>
        <w:spacing w:line="360" w:lineRule="auto"/>
        <w:ind w:firstLine="482" w:firstLineChars="200"/>
        <w:rPr>
          <w:b/>
          <w:bCs w:val="0"/>
          <w:sz w:val="24"/>
          <w:u w:val="single"/>
        </w:rPr>
      </w:pPr>
      <w:r>
        <w:rPr>
          <w:b/>
          <w:bCs w:val="0"/>
          <w:sz w:val="24"/>
          <w:u w:val="single"/>
        </w:rPr>
        <w:t>资源是环境的载体，“资源利用上线”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tabs>
          <w:tab w:val="left" w:pos="3240"/>
        </w:tabs>
        <w:spacing w:line="360" w:lineRule="auto"/>
        <w:ind w:firstLine="482" w:firstLineChars="200"/>
        <w:rPr>
          <w:b/>
          <w:bCs w:val="0"/>
          <w:sz w:val="24"/>
          <w:u w:val="single"/>
        </w:rPr>
      </w:pPr>
      <w:r>
        <w:rPr>
          <w:b/>
          <w:bCs w:val="0"/>
          <w:sz w:val="24"/>
          <w:u w:val="single"/>
        </w:rPr>
        <w:t>能源主要依托当地电网供电。项目建设土地不涉及基本农田，土地资源消耗符合要求。</w:t>
      </w:r>
    </w:p>
    <w:p>
      <w:pPr>
        <w:tabs>
          <w:tab w:val="left" w:pos="3240"/>
        </w:tabs>
        <w:spacing w:line="360" w:lineRule="auto"/>
        <w:ind w:firstLine="482" w:firstLineChars="200"/>
        <w:rPr>
          <w:b/>
          <w:bCs w:val="0"/>
          <w:sz w:val="24"/>
          <w:u w:val="single"/>
        </w:rPr>
      </w:pPr>
      <w:r>
        <w:rPr>
          <w:b/>
          <w:bCs w:val="0"/>
          <w:sz w:val="24"/>
          <w:u w:val="single"/>
        </w:rPr>
        <w:t>因此，项目资源利用满足要求。</w:t>
      </w:r>
    </w:p>
    <w:p>
      <w:pPr>
        <w:tabs>
          <w:tab w:val="left" w:pos="3240"/>
        </w:tabs>
        <w:spacing w:line="360" w:lineRule="auto"/>
        <w:ind w:firstLine="482" w:firstLineChars="200"/>
        <w:rPr>
          <w:b/>
          <w:bCs w:val="0"/>
          <w:sz w:val="24"/>
          <w:u w:val="single"/>
        </w:rPr>
      </w:pPr>
      <w:r>
        <w:rPr>
          <w:b/>
          <w:bCs w:val="0"/>
          <w:sz w:val="24"/>
          <w:u w:val="single"/>
        </w:rPr>
        <w:t>（4）环境准入负面清单</w:t>
      </w:r>
    </w:p>
    <w:p>
      <w:pPr>
        <w:tabs>
          <w:tab w:val="left" w:pos="3240"/>
        </w:tabs>
        <w:spacing w:line="360" w:lineRule="auto"/>
        <w:ind w:firstLine="482" w:firstLineChars="200"/>
        <w:rPr>
          <w:b/>
          <w:bCs w:val="0"/>
          <w:sz w:val="24"/>
          <w:u w:val="single"/>
        </w:rPr>
      </w:pPr>
      <w:r>
        <w:rPr>
          <w:b/>
          <w:bCs w:val="0"/>
          <w:sz w:val="24"/>
          <w:u w:val="single"/>
        </w:rPr>
        <w:t>目前项目选址区域暂无明确的环境准入负面清单，本项目为平舆牧原农牧有限公司生猪养殖二十场项目，不属于高污染、高能耗和资源型的产业类型。因此本项目应为环境准入允许类别。</w:t>
      </w:r>
    </w:p>
    <w:p>
      <w:pPr>
        <w:tabs>
          <w:tab w:val="left" w:pos="3240"/>
        </w:tabs>
        <w:spacing w:line="360" w:lineRule="auto"/>
        <w:ind w:firstLine="482" w:firstLineChars="200"/>
        <w:rPr>
          <w:b/>
          <w:bCs w:val="0"/>
          <w:color w:val="000000"/>
          <w:sz w:val="24"/>
          <w:u w:val="single"/>
        </w:rPr>
      </w:pPr>
      <w:r>
        <w:rPr>
          <w:b/>
          <w:bCs w:val="0"/>
          <w:sz w:val="24"/>
          <w:u w:val="single"/>
        </w:rPr>
        <w:t>综上所述，本项目选址合理。</w:t>
      </w:r>
    </w:p>
    <w:p>
      <w:pPr>
        <w:spacing w:line="600" w:lineRule="exact"/>
        <w:outlineLvl w:val="2"/>
        <w:rPr>
          <w:b/>
          <w:bCs w:val="0"/>
          <w:color w:val="000000"/>
          <w:u w:val="single"/>
        </w:rPr>
      </w:pPr>
      <w:r>
        <w:rPr>
          <w:b/>
          <w:bCs w:val="0"/>
          <w:color w:val="000000"/>
          <w:sz w:val="24"/>
          <w:u w:val="single"/>
        </w:rPr>
        <w:t>8.1.2 环境条件可行性分析</w:t>
      </w:r>
    </w:p>
    <w:p>
      <w:pPr>
        <w:spacing w:line="520" w:lineRule="exact"/>
        <w:ind w:firstLine="482" w:firstLineChars="200"/>
        <w:rPr>
          <w:b/>
          <w:bCs w:val="0"/>
          <w:color w:val="000000"/>
          <w:sz w:val="24"/>
          <w:u w:val="single"/>
        </w:rPr>
      </w:pPr>
      <w:r>
        <w:rPr>
          <w:b/>
          <w:bCs w:val="0"/>
          <w:color w:val="000000"/>
          <w:sz w:val="24"/>
          <w:u w:val="single"/>
        </w:rPr>
        <w:t>本项目场址环境地质条件、环境自然条件、气象气候条件、水文条件、基础设施以及环境敏感点等方面均满足工程建设条件，从环境条件上讲，场址可行。本项目场址环境条件可行性分析见表8-2。</w:t>
      </w:r>
    </w:p>
    <w:p>
      <w:pPr>
        <w:adjustRightInd w:val="0"/>
        <w:snapToGrid w:val="0"/>
        <w:spacing w:beforeLines="50" w:afterLines="50"/>
        <w:jc w:val="center"/>
        <w:rPr>
          <w:b/>
          <w:bCs w:val="0"/>
          <w:color w:val="000000"/>
          <w:szCs w:val="21"/>
          <w:u w:val="single"/>
          <w:lang w:bidi="ar-BH"/>
        </w:rPr>
      </w:pPr>
      <w:r>
        <w:rPr>
          <w:b/>
          <w:bCs w:val="0"/>
          <w:color w:val="000000"/>
          <w:szCs w:val="21"/>
          <w:u w:val="single"/>
          <w:lang w:bidi="ar-BH"/>
        </w:rPr>
        <w:t>表8-2场址环境条件可行性分析结果</w:t>
      </w:r>
    </w:p>
    <w:tbl>
      <w:tblPr>
        <w:tblStyle w:val="44"/>
        <w:tblW w:w="840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94"/>
        <w:gridCol w:w="5529"/>
        <w:gridCol w:w="147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项目</w:t>
            </w:r>
          </w:p>
        </w:tc>
        <w:tc>
          <w:tcPr>
            <w:tcW w:w="5529"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环境条件描述</w:t>
            </w:r>
          </w:p>
        </w:tc>
        <w:tc>
          <w:tcPr>
            <w:tcW w:w="1477" w:type="dxa"/>
            <w:vAlign w:val="center"/>
          </w:tcPr>
          <w:p>
            <w:pPr>
              <w:adjustRightInd w:val="0"/>
              <w:snapToGrid w:val="0"/>
              <w:jc w:val="center"/>
              <w:rPr>
                <w:b/>
                <w:bCs w:val="0"/>
                <w:color w:val="000000"/>
                <w:szCs w:val="21"/>
                <w:u w:val="single"/>
                <w:lang w:bidi="ar-BH"/>
              </w:rPr>
            </w:pPr>
            <w:r>
              <w:rPr>
                <w:b/>
                <w:bCs w:val="0"/>
                <w:color w:val="000000"/>
                <w:szCs w:val="21"/>
                <w:u w:val="single"/>
                <w:lang w:bidi="ar-BH"/>
              </w:rPr>
              <w:t>是否满足项目建设条件</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场址</w:t>
            </w:r>
          </w:p>
        </w:tc>
        <w:tc>
          <w:tcPr>
            <w:tcW w:w="5529"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rPr>
              <w:t>位于平舆县</w:t>
            </w:r>
            <w:r>
              <w:rPr>
                <w:rFonts w:hint="eastAsia"/>
                <w:b/>
                <w:bCs w:val="0"/>
                <w:color w:val="000000"/>
                <w:szCs w:val="21"/>
                <w:u w:val="single"/>
              </w:rPr>
              <w:t>东和店镇邢岗村</w:t>
            </w:r>
            <w:r>
              <w:rPr>
                <w:b/>
                <w:bCs w:val="0"/>
                <w:color w:val="000000"/>
                <w:szCs w:val="21"/>
                <w:u w:val="single"/>
              </w:rPr>
              <w:t>，场区周围主要为农田，非城市、城镇居民集中区，场址符合</w:t>
            </w:r>
            <w:r>
              <w:rPr>
                <w:rFonts w:hint="eastAsia"/>
                <w:b/>
                <w:bCs w:val="0"/>
                <w:color w:val="000000"/>
                <w:szCs w:val="21"/>
                <w:u w:val="single"/>
              </w:rPr>
              <w:t>东和店镇</w:t>
            </w:r>
            <w:r>
              <w:rPr>
                <w:b/>
                <w:bCs w:val="0"/>
                <w:color w:val="000000"/>
                <w:szCs w:val="21"/>
                <w:u w:val="single"/>
              </w:rPr>
              <w:t>总体发展规划。</w:t>
            </w:r>
          </w:p>
        </w:tc>
        <w:tc>
          <w:tcPr>
            <w:tcW w:w="1477" w:type="dxa"/>
            <w:vAlign w:val="center"/>
          </w:tcPr>
          <w:p>
            <w:pPr>
              <w:adjustRightInd w:val="0"/>
              <w:snapToGrid w:val="0"/>
              <w:jc w:val="center"/>
              <w:rPr>
                <w:b/>
                <w:bCs w:val="0"/>
                <w:color w:val="000000"/>
                <w:szCs w:val="21"/>
                <w:u w:val="single"/>
              </w:rPr>
            </w:pPr>
            <w:r>
              <w:rPr>
                <w:b/>
                <w:bCs w:val="0"/>
                <w:color w:val="000000"/>
                <w:szCs w:val="21"/>
                <w:u w:val="single"/>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占地类型</w:t>
            </w:r>
          </w:p>
        </w:tc>
        <w:tc>
          <w:tcPr>
            <w:tcW w:w="5529"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rPr>
              <w:t>该养殖场占地性质为一般农用地</w:t>
            </w:r>
          </w:p>
        </w:tc>
        <w:tc>
          <w:tcPr>
            <w:tcW w:w="1477" w:type="dxa"/>
            <w:vAlign w:val="center"/>
          </w:tcPr>
          <w:p>
            <w:pPr>
              <w:adjustRightInd w:val="0"/>
              <w:snapToGrid w:val="0"/>
              <w:jc w:val="center"/>
              <w:rPr>
                <w:b/>
                <w:bCs w:val="0"/>
                <w:color w:val="000000"/>
                <w:szCs w:val="21"/>
                <w:u w:val="single"/>
              </w:rPr>
            </w:pPr>
            <w:r>
              <w:rPr>
                <w:b/>
                <w:bCs w:val="0"/>
                <w:color w:val="000000"/>
                <w:szCs w:val="21"/>
                <w:u w:val="single"/>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发展规划相符性</w:t>
            </w:r>
          </w:p>
        </w:tc>
        <w:tc>
          <w:tcPr>
            <w:tcW w:w="5529" w:type="dxa"/>
            <w:tcMar>
              <w:top w:w="0" w:type="dxa"/>
              <w:left w:w="0" w:type="dxa"/>
              <w:bottom w:w="0" w:type="dxa"/>
              <w:right w:w="0" w:type="dxa"/>
            </w:tcMar>
            <w:vAlign w:val="center"/>
          </w:tcPr>
          <w:p>
            <w:pPr>
              <w:adjustRightInd w:val="0"/>
              <w:snapToGrid w:val="0"/>
              <w:jc w:val="center"/>
              <w:rPr>
                <w:b/>
                <w:bCs w:val="0"/>
                <w:color w:val="000000"/>
                <w:szCs w:val="21"/>
                <w:u w:val="single"/>
              </w:rPr>
            </w:pPr>
            <w:r>
              <w:rPr>
                <w:b/>
                <w:bCs w:val="0"/>
                <w:color w:val="000000"/>
                <w:szCs w:val="21"/>
                <w:u w:val="single"/>
              </w:rPr>
              <w:t>项目符合平舆县环境保护“十三五”规划和畜牧业“十三五”规划；项目距集中式饮用水源保护区边界6.9km，因此选址不在</w:t>
            </w:r>
            <w:r>
              <w:rPr>
                <w:rFonts w:hint="eastAsia"/>
                <w:b/>
                <w:bCs w:val="0"/>
                <w:color w:val="000000"/>
                <w:szCs w:val="21"/>
                <w:u w:val="single"/>
              </w:rPr>
              <w:t>东和店镇</w:t>
            </w:r>
            <w:r>
              <w:rPr>
                <w:b/>
                <w:bCs w:val="0"/>
                <w:color w:val="000000"/>
                <w:szCs w:val="21"/>
                <w:u w:val="single"/>
              </w:rPr>
              <w:t>饮用水源保护区范围内；不在禁养区范围内，属非禁养区。</w:t>
            </w:r>
          </w:p>
        </w:tc>
        <w:tc>
          <w:tcPr>
            <w:tcW w:w="1477" w:type="dxa"/>
            <w:vAlign w:val="center"/>
          </w:tcPr>
          <w:p>
            <w:pPr>
              <w:adjustRightInd w:val="0"/>
              <w:snapToGrid w:val="0"/>
              <w:jc w:val="center"/>
              <w:rPr>
                <w:b/>
                <w:bCs w:val="0"/>
                <w:color w:val="000000"/>
                <w:szCs w:val="21"/>
                <w:u w:val="single"/>
              </w:rPr>
            </w:pPr>
            <w:r>
              <w:rPr>
                <w:b/>
                <w:bCs w:val="0"/>
                <w:color w:val="000000"/>
                <w:szCs w:val="21"/>
                <w:u w:val="single"/>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b/>
                <w:bCs w:val="0"/>
                <w:color w:val="000000"/>
                <w:szCs w:val="21"/>
                <w:u w:val="single"/>
              </w:rPr>
            </w:pPr>
            <w:r>
              <w:rPr>
                <w:b/>
                <w:bCs w:val="0"/>
                <w:color w:val="000000"/>
                <w:szCs w:val="21"/>
                <w:u w:val="single"/>
                <w:lang w:bidi="ar-BH"/>
              </w:rPr>
              <w:t>周围敏感点及设防距离</w:t>
            </w:r>
          </w:p>
        </w:tc>
        <w:tc>
          <w:tcPr>
            <w:tcW w:w="5529" w:type="dxa"/>
            <w:tcMar>
              <w:top w:w="0" w:type="dxa"/>
              <w:left w:w="0" w:type="dxa"/>
              <w:bottom w:w="0" w:type="dxa"/>
              <w:right w:w="0" w:type="dxa"/>
            </w:tcMar>
            <w:vAlign w:val="center"/>
          </w:tcPr>
          <w:p>
            <w:pPr>
              <w:adjustRightInd w:val="0"/>
              <w:snapToGrid w:val="0"/>
              <w:jc w:val="center"/>
              <w:rPr>
                <w:b/>
                <w:bCs w:val="0"/>
                <w:color w:val="000000" w:themeColor="text1"/>
                <w:szCs w:val="21"/>
                <w:u w:val="single"/>
                <w:lang w:bidi="ar-BH"/>
              </w:rPr>
            </w:pPr>
            <w:r>
              <w:rPr>
                <w:b/>
                <w:bCs w:val="0"/>
                <w:color w:val="000000" w:themeColor="text1"/>
                <w:szCs w:val="21"/>
                <w:u w:val="single"/>
              </w:rPr>
              <w:t>距离养殖场区最近村庄为</w:t>
            </w:r>
            <w:r>
              <w:rPr>
                <w:rFonts w:hint="eastAsia"/>
                <w:b/>
                <w:bCs w:val="0"/>
                <w:color w:val="000000" w:themeColor="text1"/>
                <w:szCs w:val="21"/>
                <w:u w:val="single"/>
              </w:rPr>
              <w:t>东南侧</w:t>
            </w:r>
            <w:r>
              <w:rPr>
                <w:rFonts w:hint="eastAsia"/>
                <w:b/>
                <w:bCs w:val="0"/>
                <w:color w:val="000000" w:themeColor="text1"/>
                <w:szCs w:val="21"/>
                <w:u w:val="single"/>
                <w:lang w:eastAsia="zh-CN"/>
              </w:rPr>
              <w:t>507</w:t>
            </w:r>
            <w:r>
              <w:rPr>
                <w:rFonts w:hint="eastAsia"/>
                <w:b/>
                <w:bCs w:val="0"/>
                <w:color w:val="000000" w:themeColor="text1"/>
                <w:szCs w:val="21"/>
                <w:u w:val="single"/>
              </w:rPr>
              <w:t>m的邢寨村</w:t>
            </w:r>
            <w:r>
              <w:rPr>
                <w:b/>
                <w:bCs w:val="0"/>
                <w:color w:val="000000" w:themeColor="text1"/>
                <w:szCs w:val="21"/>
                <w:u w:val="single"/>
              </w:rPr>
              <w:t>。</w:t>
            </w:r>
            <w:r>
              <w:rPr>
                <w:b/>
                <w:bCs w:val="0"/>
                <w:color w:val="000000" w:themeColor="text1"/>
                <w:szCs w:val="21"/>
                <w:u w:val="single"/>
                <w:lang w:bidi="ar-BH"/>
              </w:rPr>
              <w:t>根据预测分析，大气环境防护距离为0，评价设置100m卫生防护距离（距场界），满足防护距离要求。</w:t>
            </w:r>
          </w:p>
        </w:tc>
        <w:tc>
          <w:tcPr>
            <w:tcW w:w="1477" w:type="dxa"/>
            <w:vAlign w:val="center"/>
          </w:tcPr>
          <w:p>
            <w:pPr>
              <w:adjustRightInd w:val="0"/>
              <w:snapToGrid w:val="0"/>
              <w:jc w:val="center"/>
              <w:rPr>
                <w:b/>
                <w:bCs w:val="0"/>
                <w:color w:val="000000"/>
                <w:szCs w:val="21"/>
                <w:u w:val="single"/>
              </w:rPr>
            </w:pPr>
            <w:r>
              <w:rPr>
                <w:b/>
                <w:bCs w:val="0"/>
                <w:color w:val="000000"/>
                <w:szCs w:val="21"/>
                <w:u w:val="single"/>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沼液消纳能力分析</w:t>
            </w:r>
          </w:p>
        </w:tc>
        <w:tc>
          <w:tcPr>
            <w:tcW w:w="5529" w:type="dxa"/>
            <w:tcMar>
              <w:top w:w="0" w:type="dxa"/>
              <w:left w:w="0" w:type="dxa"/>
              <w:bottom w:w="0" w:type="dxa"/>
              <w:right w:w="0" w:type="dxa"/>
            </w:tcMar>
            <w:vAlign w:val="center"/>
          </w:tcPr>
          <w:p>
            <w:pPr>
              <w:adjustRightInd w:val="0"/>
              <w:snapToGrid w:val="0"/>
              <w:spacing w:line="240" w:lineRule="exact"/>
              <w:jc w:val="center"/>
              <w:rPr>
                <w:b/>
                <w:bCs w:val="0"/>
                <w:color w:val="000000"/>
                <w:szCs w:val="21"/>
                <w:u w:val="single"/>
              </w:rPr>
            </w:pPr>
            <w:r>
              <w:rPr>
                <w:b/>
                <w:bCs w:val="0"/>
                <w:color w:val="000000"/>
                <w:szCs w:val="21"/>
                <w:u w:val="single"/>
              </w:rPr>
              <w:t>工程场区产生的沼液需农田面积不少于</w:t>
            </w:r>
            <w:r>
              <w:rPr>
                <w:rFonts w:hint="eastAsia"/>
                <w:b/>
                <w:bCs w:val="0"/>
                <w:color w:val="000000"/>
                <w:szCs w:val="21"/>
                <w:u w:val="single"/>
              </w:rPr>
              <w:t>2105</w:t>
            </w:r>
            <w:r>
              <w:rPr>
                <w:b/>
                <w:bCs w:val="0"/>
                <w:color w:val="000000"/>
                <w:szCs w:val="21"/>
                <w:u w:val="single"/>
              </w:rPr>
              <w:t>亩，平舆牧原农牧有限公司已与项目区周边村民签订沼液消纳利用协议，租用村民土地3</w:t>
            </w:r>
            <w:r>
              <w:rPr>
                <w:rFonts w:hint="eastAsia"/>
                <w:b/>
                <w:bCs w:val="0"/>
                <w:color w:val="000000"/>
                <w:szCs w:val="21"/>
                <w:u w:val="single"/>
              </w:rPr>
              <w:t>200</w:t>
            </w:r>
            <w:r>
              <w:rPr>
                <w:b/>
                <w:bCs w:val="0"/>
                <w:color w:val="000000"/>
                <w:szCs w:val="21"/>
                <w:u w:val="single"/>
              </w:rPr>
              <w:t>亩，可实现完全消纳沼液。</w:t>
            </w:r>
          </w:p>
        </w:tc>
        <w:tc>
          <w:tcPr>
            <w:tcW w:w="1477" w:type="dxa"/>
            <w:vAlign w:val="center"/>
          </w:tcPr>
          <w:p>
            <w:pPr>
              <w:adjustRightInd w:val="0"/>
              <w:snapToGrid w:val="0"/>
              <w:jc w:val="center"/>
              <w:rPr>
                <w:b/>
                <w:bCs w:val="0"/>
                <w:color w:val="000000"/>
                <w:szCs w:val="21"/>
                <w:u w:val="single"/>
              </w:rPr>
            </w:pPr>
            <w:r>
              <w:rPr>
                <w:b/>
                <w:bCs w:val="0"/>
                <w:color w:val="000000"/>
                <w:szCs w:val="21"/>
                <w:u w:val="single"/>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区域地表水体</w:t>
            </w:r>
          </w:p>
        </w:tc>
        <w:tc>
          <w:tcPr>
            <w:tcW w:w="5529" w:type="dxa"/>
            <w:tcMar>
              <w:top w:w="0" w:type="dxa"/>
              <w:left w:w="0" w:type="dxa"/>
              <w:bottom w:w="0" w:type="dxa"/>
              <w:right w:w="0" w:type="dxa"/>
            </w:tcMar>
            <w:vAlign w:val="center"/>
          </w:tcPr>
          <w:p>
            <w:pPr>
              <w:adjustRightInd w:val="0"/>
              <w:snapToGrid w:val="0"/>
              <w:jc w:val="center"/>
              <w:rPr>
                <w:b/>
                <w:bCs w:val="0"/>
                <w:color w:val="000000"/>
                <w:szCs w:val="21"/>
                <w:u w:val="single"/>
              </w:rPr>
            </w:pPr>
            <w:r>
              <w:rPr>
                <w:b/>
                <w:bCs w:val="0"/>
                <w:color w:val="000000"/>
                <w:szCs w:val="21"/>
                <w:u w:val="single"/>
                <w:lang w:bidi="ar-BH"/>
              </w:rPr>
              <w:t>项目场区最近地表水体为</w:t>
            </w:r>
            <w:r>
              <w:rPr>
                <w:rFonts w:hint="eastAsia"/>
                <w:b/>
                <w:bCs w:val="0"/>
                <w:color w:val="000000"/>
                <w:szCs w:val="21"/>
                <w:u w:val="single"/>
                <w:lang w:bidi="ar-BH"/>
              </w:rPr>
              <w:t>西</w:t>
            </w:r>
            <w:r>
              <w:rPr>
                <w:b/>
                <w:bCs w:val="0"/>
                <w:color w:val="000000"/>
                <w:szCs w:val="21"/>
                <w:u w:val="single"/>
                <w:lang w:bidi="ar-BH"/>
              </w:rPr>
              <w:t>侧</w:t>
            </w:r>
            <w:r>
              <w:rPr>
                <w:rFonts w:hint="eastAsia"/>
                <w:b/>
                <w:bCs w:val="0"/>
                <w:color w:val="000000"/>
                <w:szCs w:val="21"/>
                <w:u w:val="single"/>
                <w:lang w:bidi="ar-BH"/>
              </w:rPr>
              <w:t>583</w:t>
            </w:r>
            <w:r>
              <w:rPr>
                <w:b/>
                <w:bCs w:val="0"/>
                <w:color w:val="000000"/>
                <w:szCs w:val="21"/>
                <w:u w:val="single"/>
                <w:lang w:bidi="ar-BH"/>
              </w:rPr>
              <w:t>m处的</w:t>
            </w:r>
            <w:r>
              <w:rPr>
                <w:rFonts w:hint="eastAsia"/>
                <w:b/>
                <w:bCs w:val="0"/>
                <w:color w:val="000000"/>
                <w:szCs w:val="21"/>
                <w:u w:val="single"/>
                <w:lang w:bidi="ar-BH"/>
              </w:rPr>
              <w:t>大黄港</w:t>
            </w:r>
            <w:r>
              <w:rPr>
                <w:b/>
                <w:bCs w:val="0"/>
                <w:color w:val="000000"/>
                <w:szCs w:val="21"/>
                <w:u w:val="single"/>
                <w:lang w:bidi="ar-BH"/>
              </w:rPr>
              <w:t>河，满</w:t>
            </w:r>
            <w:r>
              <w:rPr>
                <w:b/>
                <w:bCs w:val="0"/>
                <w:color w:val="000000"/>
                <w:szCs w:val="21"/>
                <w:u w:val="single"/>
              </w:rPr>
              <w:t>足《畜禽养殖业污染防治技术规范》（HJ/T81—2001）的规定（粪便贮存设施的位置必须远离各类功能地表水体，距离不得小于400m）；</w:t>
            </w:r>
            <w:r>
              <w:rPr>
                <w:b/>
                <w:bCs w:val="0"/>
                <w:color w:val="000000"/>
                <w:szCs w:val="21"/>
                <w:u w:val="single"/>
                <w:lang w:bidi="ar-BH"/>
              </w:rPr>
              <w:t>粪污处理及暂存区处于生产区、生活管理区的常年主导风向的侧风向和下风向处，满足HJ/T81—2001的管理规定。</w:t>
            </w:r>
          </w:p>
        </w:tc>
        <w:tc>
          <w:tcPr>
            <w:tcW w:w="1477" w:type="dxa"/>
            <w:vAlign w:val="center"/>
          </w:tcPr>
          <w:p>
            <w:pPr>
              <w:adjustRightInd w:val="0"/>
              <w:snapToGrid w:val="0"/>
              <w:jc w:val="center"/>
              <w:rPr>
                <w:b/>
                <w:bCs w:val="0"/>
                <w:color w:val="000000"/>
                <w:szCs w:val="21"/>
                <w:u w:val="single"/>
              </w:rPr>
            </w:pPr>
            <w:r>
              <w:rPr>
                <w:b/>
                <w:bCs w:val="0"/>
                <w:color w:val="000000"/>
                <w:szCs w:val="21"/>
                <w:u w:val="single"/>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气候、气象</w:t>
            </w:r>
          </w:p>
        </w:tc>
        <w:tc>
          <w:tcPr>
            <w:tcW w:w="5529" w:type="dxa"/>
            <w:tcMar>
              <w:top w:w="0" w:type="dxa"/>
              <w:left w:w="0" w:type="dxa"/>
              <w:bottom w:w="0" w:type="dxa"/>
              <w:right w:w="0" w:type="dxa"/>
            </w:tcMar>
            <w:vAlign w:val="center"/>
          </w:tcPr>
          <w:p>
            <w:pPr>
              <w:adjustRightInd w:val="0"/>
              <w:snapToGrid w:val="0"/>
              <w:jc w:val="center"/>
              <w:rPr>
                <w:b/>
                <w:bCs w:val="0"/>
                <w:color w:val="000000"/>
                <w:szCs w:val="21"/>
                <w:u w:val="single"/>
              </w:rPr>
            </w:pPr>
            <w:r>
              <w:rPr>
                <w:b/>
                <w:bCs w:val="0"/>
                <w:color w:val="000000"/>
                <w:szCs w:val="21"/>
                <w:u w:val="single"/>
              </w:rPr>
              <w:t>场址所处区域属温带大陆性季风气候，四季分明，且地质条件良好。距离养殖场区最近的村庄古刘在当地主导风向的上风向。</w:t>
            </w:r>
          </w:p>
        </w:tc>
        <w:tc>
          <w:tcPr>
            <w:tcW w:w="1477" w:type="dxa"/>
            <w:vAlign w:val="center"/>
          </w:tcPr>
          <w:p>
            <w:pPr>
              <w:adjustRightInd w:val="0"/>
              <w:snapToGrid w:val="0"/>
              <w:jc w:val="center"/>
              <w:rPr>
                <w:b/>
                <w:bCs w:val="0"/>
                <w:color w:val="000000"/>
                <w:szCs w:val="21"/>
                <w:u w:val="single"/>
              </w:rPr>
            </w:pPr>
            <w:r>
              <w:rPr>
                <w:b/>
                <w:bCs w:val="0"/>
                <w:color w:val="000000"/>
                <w:szCs w:val="21"/>
                <w:u w:val="single"/>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环境影响预测</w:t>
            </w:r>
          </w:p>
        </w:tc>
        <w:tc>
          <w:tcPr>
            <w:tcW w:w="5529" w:type="dxa"/>
            <w:tcMar>
              <w:top w:w="0" w:type="dxa"/>
              <w:left w:w="0" w:type="dxa"/>
              <w:bottom w:w="0" w:type="dxa"/>
              <w:right w:w="0" w:type="dxa"/>
            </w:tcMar>
            <w:vAlign w:val="center"/>
          </w:tcPr>
          <w:p>
            <w:pPr>
              <w:adjustRightInd w:val="0"/>
              <w:snapToGrid w:val="0"/>
              <w:jc w:val="center"/>
              <w:rPr>
                <w:b/>
                <w:bCs w:val="0"/>
                <w:color w:val="000000"/>
                <w:szCs w:val="21"/>
                <w:u w:val="single"/>
              </w:rPr>
            </w:pPr>
            <w:r>
              <w:rPr>
                <w:b/>
                <w:bCs w:val="0"/>
                <w:color w:val="000000"/>
                <w:szCs w:val="21"/>
                <w:u w:val="single"/>
                <w:lang w:bidi="ar-BH"/>
              </w:rPr>
              <w:t>项目运营期场界恶臭排放浓度及场界噪声均实现达标排放；在落实环评建议的前提下，对地下水的影响将降至最低。</w:t>
            </w:r>
          </w:p>
        </w:tc>
        <w:tc>
          <w:tcPr>
            <w:tcW w:w="1477" w:type="dxa"/>
            <w:vAlign w:val="center"/>
          </w:tcPr>
          <w:p>
            <w:pPr>
              <w:adjustRightInd w:val="0"/>
              <w:snapToGrid w:val="0"/>
              <w:jc w:val="center"/>
              <w:rPr>
                <w:b/>
                <w:bCs w:val="0"/>
                <w:color w:val="000000"/>
                <w:szCs w:val="21"/>
                <w:u w:val="single"/>
              </w:rPr>
            </w:pPr>
            <w:r>
              <w:rPr>
                <w:b/>
                <w:bCs w:val="0"/>
                <w:color w:val="000000"/>
                <w:szCs w:val="21"/>
                <w:u w:val="single"/>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环境风险防范</w:t>
            </w:r>
          </w:p>
        </w:tc>
        <w:tc>
          <w:tcPr>
            <w:tcW w:w="5529"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企业在认真落实评价提出的各项防范措施后，可将项目风险发生的概率降至最低</w:t>
            </w:r>
          </w:p>
        </w:tc>
        <w:tc>
          <w:tcPr>
            <w:tcW w:w="1477" w:type="dxa"/>
            <w:vAlign w:val="center"/>
          </w:tcPr>
          <w:p>
            <w:pPr>
              <w:adjustRightInd w:val="0"/>
              <w:snapToGrid w:val="0"/>
              <w:jc w:val="center"/>
              <w:rPr>
                <w:b/>
                <w:bCs w:val="0"/>
                <w:color w:val="000000"/>
                <w:szCs w:val="21"/>
                <w:u w:val="single"/>
              </w:rPr>
            </w:pPr>
            <w:r>
              <w:rPr>
                <w:b/>
                <w:bCs w:val="0"/>
                <w:color w:val="000000"/>
                <w:szCs w:val="21"/>
                <w:u w:val="single"/>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与文物古迹的关系</w:t>
            </w:r>
          </w:p>
        </w:tc>
        <w:tc>
          <w:tcPr>
            <w:tcW w:w="5529"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根据调查，</w:t>
            </w:r>
            <w:r>
              <w:rPr>
                <w:b/>
                <w:bCs w:val="0"/>
                <w:color w:val="000000"/>
                <w:szCs w:val="21"/>
                <w:u w:val="single"/>
              </w:rPr>
              <w:t>本项目不在风景区、名胜古迹周围1000米范围内</w:t>
            </w:r>
          </w:p>
        </w:tc>
        <w:tc>
          <w:tcPr>
            <w:tcW w:w="1477" w:type="dxa"/>
            <w:vAlign w:val="center"/>
          </w:tcPr>
          <w:p>
            <w:pPr>
              <w:adjustRightInd w:val="0"/>
              <w:snapToGrid w:val="0"/>
              <w:jc w:val="center"/>
              <w:rPr>
                <w:b/>
                <w:bCs w:val="0"/>
                <w:color w:val="000000"/>
                <w:szCs w:val="21"/>
                <w:u w:val="single"/>
              </w:rPr>
            </w:pPr>
            <w:r>
              <w:rPr>
                <w:b/>
                <w:bCs w:val="0"/>
                <w:color w:val="000000"/>
                <w:szCs w:val="21"/>
                <w:u w:val="single"/>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与滞洪区位置关系</w:t>
            </w:r>
          </w:p>
        </w:tc>
        <w:tc>
          <w:tcPr>
            <w:tcW w:w="5529"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本项目距离汝河蛟停湖滞洪区32km</w:t>
            </w:r>
          </w:p>
        </w:tc>
        <w:tc>
          <w:tcPr>
            <w:tcW w:w="1477" w:type="dxa"/>
            <w:vAlign w:val="center"/>
          </w:tcPr>
          <w:p>
            <w:pPr>
              <w:adjustRightInd w:val="0"/>
              <w:snapToGrid w:val="0"/>
              <w:jc w:val="center"/>
              <w:rPr>
                <w:b/>
                <w:bCs w:val="0"/>
                <w:color w:val="000000"/>
                <w:szCs w:val="21"/>
                <w:u w:val="single"/>
              </w:rPr>
            </w:pPr>
            <w:r>
              <w:rPr>
                <w:b/>
                <w:bCs w:val="0"/>
                <w:color w:val="000000"/>
                <w:szCs w:val="21"/>
                <w:u w:val="single"/>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与周围企业形容性分析</w:t>
            </w:r>
          </w:p>
        </w:tc>
        <w:tc>
          <w:tcPr>
            <w:tcW w:w="5529"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项目区地处农村，区域没有工业污染源存在，区域污染源主要为农村面源污染，对本项目影响较小。</w:t>
            </w:r>
          </w:p>
        </w:tc>
        <w:tc>
          <w:tcPr>
            <w:tcW w:w="1477" w:type="dxa"/>
            <w:vAlign w:val="center"/>
          </w:tcPr>
          <w:p>
            <w:pPr>
              <w:adjustRightInd w:val="0"/>
              <w:snapToGrid w:val="0"/>
              <w:jc w:val="center"/>
              <w:rPr>
                <w:b/>
                <w:bCs w:val="0"/>
                <w:color w:val="000000"/>
                <w:szCs w:val="21"/>
                <w:u w:val="single"/>
              </w:rPr>
            </w:pPr>
            <w:r>
              <w:rPr>
                <w:b/>
                <w:bCs w:val="0"/>
                <w:color w:val="000000"/>
                <w:szCs w:val="21"/>
                <w:u w:val="single"/>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清洁生产水平</w:t>
            </w:r>
          </w:p>
        </w:tc>
        <w:tc>
          <w:tcPr>
            <w:tcW w:w="5529"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清洁生产达到国内先进水平</w:t>
            </w:r>
          </w:p>
        </w:tc>
        <w:tc>
          <w:tcPr>
            <w:tcW w:w="1477" w:type="dxa"/>
            <w:vAlign w:val="center"/>
          </w:tcPr>
          <w:p>
            <w:pPr>
              <w:adjustRightInd w:val="0"/>
              <w:snapToGrid w:val="0"/>
              <w:jc w:val="center"/>
              <w:rPr>
                <w:b/>
                <w:bCs w:val="0"/>
                <w:color w:val="000000"/>
                <w:szCs w:val="21"/>
                <w:u w:val="single"/>
              </w:rPr>
            </w:pPr>
            <w:r>
              <w:rPr>
                <w:b/>
                <w:bCs w:val="0"/>
                <w:color w:val="000000"/>
                <w:szCs w:val="21"/>
                <w:u w:val="single"/>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政府及管理部门意见</w:t>
            </w:r>
          </w:p>
        </w:tc>
        <w:tc>
          <w:tcPr>
            <w:tcW w:w="5529"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对项目表支持态度，同意本工程在此地建设</w:t>
            </w:r>
          </w:p>
        </w:tc>
        <w:tc>
          <w:tcPr>
            <w:tcW w:w="1477" w:type="dxa"/>
            <w:vAlign w:val="center"/>
          </w:tcPr>
          <w:p>
            <w:pPr>
              <w:adjustRightInd w:val="0"/>
              <w:snapToGrid w:val="0"/>
              <w:jc w:val="center"/>
              <w:rPr>
                <w:b/>
                <w:bCs w:val="0"/>
                <w:color w:val="000000"/>
                <w:szCs w:val="21"/>
                <w:u w:val="single"/>
              </w:rPr>
            </w:pPr>
            <w:r>
              <w:rPr>
                <w:b/>
                <w:bCs w:val="0"/>
                <w:color w:val="000000"/>
                <w:szCs w:val="21"/>
                <w:u w:val="single"/>
              </w:rPr>
              <w:t>满足</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4" w:hRule="atLeast"/>
          <w:jc w:val="center"/>
        </w:trPr>
        <w:tc>
          <w:tcPr>
            <w:tcW w:w="1394"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分析结果</w:t>
            </w:r>
          </w:p>
        </w:tc>
        <w:tc>
          <w:tcPr>
            <w:tcW w:w="5529" w:type="dxa"/>
            <w:tcMar>
              <w:top w:w="0" w:type="dxa"/>
              <w:left w:w="0" w:type="dxa"/>
              <w:bottom w:w="0" w:type="dxa"/>
              <w:right w:w="0" w:type="dxa"/>
            </w:tcMar>
            <w:vAlign w:val="center"/>
          </w:tcPr>
          <w:p>
            <w:pPr>
              <w:adjustRightInd w:val="0"/>
              <w:snapToGrid w:val="0"/>
              <w:jc w:val="center"/>
              <w:rPr>
                <w:b/>
                <w:bCs w:val="0"/>
                <w:color w:val="000000"/>
                <w:szCs w:val="21"/>
                <w:u w:val="single"/>
                <w:lang w:bidi="ar-BH"/>
              </w:rPr>
            </w:pPr>
            <w:r>
              <w:rPr>
                <w:b/>
                <w:bCs w:val="0"/>
                <w:color w:val="000000"/>
                <w:szCs w:val="21"/>
                <w:u w:val="single"/>
                <w:lang w:bidi="ar-BH"/>
              </w:rPr>
              <w:t>从环境保护角度分析，本项目选址可行</w:t>
            </w:r>
          </w:p>
        </w:tc>
        <w:tc>
          <w:tcPr>
            <w:tcW w:w="1477" w:type="dxa"/>
            <w:vAlign w:val="center"/>
          </w:tcPr>
          <w:p>
            <w:pPr>
              <w:adjustRightInd w:val="0"/>
              <w:snapToGrid w:val="0"/>
              <w:jc w:val="center"/>
              <w:rPr>
                <w:b/>
                <w:bCs w:val="0"/>
                <w:color w:val="000000"/>
                <w:szCs w:val="21"/>
                <w:u w:val="single"/>
              </w:rPr>
            </w:pPr>
            <w:r>
              <w:rPr>
                <w:b/>
                <w:bCs w:val="0"/>
                <w:color w:val="000000"/>
                <w:szCs w:val="21"/>
                <w:u w:val="single"/>
              </w:rPr>
              <w:t>满足</w:t>
            </w:r>
          </w:p>
        </w:tc>
      </w:tr>
    </w:tbl>
    <w:p>
      <w:pPr>
        <w:adjustRightInd w:val="0"/>
        <w:snapToGrid w:val="0"/>
        <w:spacing w:beforeLines="50" w:line="500" w:lineRule="exact"/>
        <w:ind w:firstLine="482" w:firstLineChars="200"/>
        <w:rPr>
          <w:b/>
          <w:bCs w:val="0"/>
          <w:color w:val="000000"/>
          <w:sz w:val="24"/>
          <w:u w:val="single"/>
          <w:lang w:bidi="ar-BH"/>
        </w:rPr>
      </w:pPr>
      <w:r>
        <w:rPr>
          <w:b/>
          <w:bCs w:val="0"/>
          <w:color w:val="000000"/>
          <w:sz w:val="24"/>
          <w:u w:val="single"/>
          <w:lang w:bidi="ar-BH"/>
        </w:rPr>
        <w:t>综上所述，项目选址可行。</w:t>
      </w:r>
    </w:p>
    <w:p>
      <w:pPr>
        <w:spacing w:line="600" w:lineRule="exact"/>
        <w:outlineLvl w:val="2"/>
        <w:rPr>
          <w:b/>
          <w:bCs w:val="0"/>
          <w:color w:val="000000"/>
          <w:u w:val="single"/>
        </w:rPr>
      </w:pPr>
      <w:r>
        <w:rPr>
          <w:b/>
          <w:bCs w:val="0"/>
          <w:color w:val="000000"/>
          <w:sz w:val="24"/>
          <w:u w:val="single"/>
        </w:rPr>
        <w:t>8.1.3 防护距离可行性分析</w:t>
      </w:r>
    </w:p>
    <w:p>
      <w:pPr>
        <w:spacing w:line="520" w:lineRule="exact"/>
        <w:ind w:firstLine="472" w:firstLineChars="196"/>
        <w:rPr>
          <w:b/>
          <w:bCs w:val="0"/>
          <w:color w:val="000000"/>
          <w:sz w:val="24"/>
          <w:u w:val="single"/>
          <w:lang w:bidi="ar-BH"/>
        </w:rPr>
      </w:pPr>
      <w:r>
        <w:rPr>
          <w:b/>
          <w:bCs w:val="0"/>
          <w:color w:val="000000"/>
          <w:sz w:val="24"/>
          <w:u w:val="single"/>
        </w:rPr>
        <w:t>根据环境影响预测结果及《畜禽养殖业污染防治技术规范》（HJ／T81-2001）可知</w:t>
      </w:r>
      <w:r>
        <w:rPr>
          <w:b/>
          <w:bCs w:val="0"/>
          <w:color w:val="000000"/>
          <w:spacing w:val="-2"/>
          <w:sz w:val="24"/>
          <w:u w:val="single"/>
        </w:rPr>
        <w:t>，</w:t>
      </w:r>
      <w:r>
        <w:rPr>
          <w:b/>
          <w:bCs w:val="0"/>
          <w:color w:val="000000"/>
          <w:sz w:val="24"/>
          <w:u w:val="single"/>
        </w:rPr>
        <w:t>养殖场场界与禁建区域边界的最小距离不得小于</w:t>
      </w:r>
      <w:r>
        <w:rPr>
          <w:rFonts w:hint="eastAsia"/>
          <w:b/>
          <w:bCs w:val="0"/>
          <w:color w:val="000000"/>
          <w:sz w:val="24"/>
          <w:u w:val="single"/>
        </w:rPr>
        <w:t>3</w:t>
      </w:r>
      <w:r>
        <w:rPr>
          <w:b/>
          <w:bCs w:val="0"/>
          <w:color w:val="000000"/>
          <w:sz w:val="24"/>
          <w:u w:val="single"/>
        </w:rPr>
        <w:t>00m。</w:t>
      </w:r>
    </w:p>
    <w:p>
      <w:pPr>
        <w:spacing w:line="520" w:lineRule="exact"/>
        <w:ind w:firstLine="472" w:firstLineChars="196"/>
        <w:rPr>
          <w:b/>
          <w:bCs w:val="0"/>
          <w:color w:val="000000"/>
          <w:sz w:val="24"/>
          <w:u w:val="single"/>
        </w:rPr>
      </w:pPr>
      <w:r>
        <w:rPr>
          <w:b/>
          <w:bCs w:val="0"/>
          <w:color w:val="000000"/>
          <w:sz w:val="24"/>
          <w:u w:val="single"/>
        </w:rPr>
        <w:t>由卫生防护距离图可知项目卫生防护距离内无敏感点，评价要求在项目卫生防护距离范围内，不再规划建设居民区、学校、医院等环境敏感点和食品、医药、饮料等环境敏感企业。因此，从防护距离方面讲，拟建工程场址可行。</w:t>
      </w:r>
    </w:p>
    <w:p>
      <w:pPr>
        <w:spacing w:line="600" w:lineRule="exact"/>
        <w:outlineLvl w:val="2"/>
        <w:rPr>
          <w:b/>
          <w:bCs w:val="0"/>
          <w:color w:val="000000"/>
          <w:u w:val="single"/>
        </w:rPr>
      </w:pPr>
      <w:r>
        <w:rPr>
          <w:b/>
          <w:bCs w:val="0"/>
          <w:color w:val="000000"/>
          <w:sz w:val="24"/>
          <w:u w:val="single"/>
        </w:rPr>
        <w:t>8.1.4 环境影响可行性分析</w:t>
      </w:r>
    </w:p>
    <w:p>
      <w:pPr>
        <w:spacing w:line="520" w:lineRule="exact"/>
        <w:ind w:firstLine="482" w:firstLineChars="200"/>
        <w:rPr>
          <w:b/>
          <w:bCs w:val="0"/>
          <w:color w:val="000000"/>
          <w:szCs w:val="21"/>
          <w:u w:val="single"/>
        </w:rPr>
      </w:pPr>
      <w:r>
        <w:rPr>
          <w:b/>
          <w:bCs w:val="0"/>
          <w:color w:val="000000"/>
          <w:sz w:val="24"/>
          <w:u w:val="single"/>
        </w:rPr>
        <w:t>项目建成后环境影响可行性分析见表8-3。</w:t>
      </w:r>
    </w:p>
    <w:p>
      <w:pPr>
        <w:tabs>
          <w:tab w:val="left" w:pos="1260"/>
        </w:tabs>
        <w:spacing w:beforeLines="30" w:afterLines="20"/>
        <w:jc w:val="center"/>
        <w:rPr>
          <w:b/>
          <w:bCs w:val="0"/>
          <w:color w:val="000000"/>
          <w:u w:val="single"/>
        </w:rPr>
      </w:pPr>
      <w:r>
        <w:rPr>
          <w:b/>
          <w:bCs w:val="0"/>
          <w:color w:val="000000"/>
          <w:u w:val="single"/>
        </w:rPr>
        <w:t>表8-3项目环境影响可行性分析表</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68"/>
        <w:gridCol w:w="5405"/>
        <w:gridCol w:w="16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1868" w:type="dxa"/>
          </w:tcPr>
          <w:p>
            <w:pPr>
              <w:tabs>
                <w:tab w:val="left" w:pos="1260"/>
              </w:tabs>
              <w:spacing w:line="380" w:lineRule="exact"/>
              <w:jc w:val="center"/>
              <w:rPr>
                <w:b/>
                <w:bCs w:val="0"/>
                <w:color w:val="000000"/>
                <w:u w:val="single"/>
              </w:rPr>
            </w:pPr>
            <w:r>
              <w:rPr>
                <w:b/>
                <w:bCs w:val="0"/>
                <w:color w:val="000000"/>
                <w:szCs w:val="21"/>
                <w:u w:val="single"/>
              </w:rPr>
              <w:t>项目</w:t>
            </w:r>
          </w:p>
        </w:tc>
        <w:tc>
          <w:tcPr>
            <w:tcW w:w="5405" w:type="dxa"/>
          </w:tcPr>
          <w:p>
            <w:pPr>
              <w:tabs>
                <w:tab w:val="left" w:pos="1260"/>
              </w:tabs>
              <w:spacing w:line="380" w:lineRule="exact"/>
              <w:jc w:val="center"/>
              <w:rPr>
                <w:b/>
                <w:bCs w:val="0"/>
                <w:color w:val="000000"/>
                <w:u w:val="single"/>
              </w:rPr>
            </w:pPr>
            <w:r>
              <w:rPr>
                <w:b/>
                <w:bCs w:val="0"/>
                <w:color w:val="000000"/>
                <w:szCs w:val="21"/>
                <w:u w:val="single"/>
              </w:rPr>
              <w:t>内  容</w:t>
            </w:r>
          </w:p>
        </w:tc>
        <w:tc>
          <w:tcPr>
            <w:tcW w:w="1673" w:type="dxa"/>
          </w:tcPr>
          <w:p>
            <w:pPr>
              <w:tabs>
                <w:tab w:val="left" w:pos="1260"/>
              </w:tabs>
              <w:spacing w:line="380" w:lineRule="exact"/>
              <w:jc w:val="center"/>
              <w:rPr>
                <w:b/>
                <w:bCs w:val="0"/>
                <w:color w:val="000000"/>
                <w:u w:val="single"/>
              </w:rPr>
            </w:pPr>
            <w:r>
              <w:rPr>
                <w:b/>
                <w:bCs w:val="0"/>
                <w:color w:val="000000"/>
                <w:szCs w:val="21"/>
                <w:u w:val="single"/>
              </w:rPr>
              <w:t>场址是否可行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68" w:type="dxa"/>
            <w:vAlign w:val="center"/>
          </w:tcPr>
          <w:p>
            <w:pPr>
              <w:tabs>
                <w:tab w:val="left" w:pos="1260"/>
              </w:tabs>
              <w:spacing w:beforeLines="50" w:afterLines="50"/>
              <w:jc w:val="center"/>
              <w:rPr>
                <w:b/>
                <w:bCs w:val="0"/>
                <w:color w:val="000000"/>
                <w:u w:val="single"/>
              </w:rPr>
            </w:pPr>
            <w:r>
              <w:rPr>
                <w:b/>
                <w:bCs w:val="0"/>
                <w:color w:val="000000"/>
                <w:szCs w:val="21"/>
                <w:u w:val="single"/>
              </w:rPr>
              <w:t>环境空气影响</w:t>
            </w:r>
          </w:p>
        </w:tc>
        <w:tc>
          <w:tcPr>
            <w:tcW w:w="5405" w:type="dxa"/>
            <w:tcMar>
              <w:top w:w="57" w:type="dxa"/>
              <w:bottom w:w="57" w:type="dxa"/>
            </w:tcMar>
          </w:tcPr>
          <w:p>
            <w:pPr>
              <w:tabs>
                <w:tab w:val="left" w:pos="1260"/>
              </w:tabs>
              <w:spacing w:line="300" w:lineRule="exact"/>
              <w:rPr>
                <w:b/>
                <w:bCs w:val="0"/>
                <w:color w:val="000000"/>
                <w:szCs w:val="21"/>
                <w:u w:val="single"/>
              </w:rPr>
            </w:pPr>
            <w:r>
              <w:rPr>
                <w:b/>
                <w:bCs w:val="0"/>
                <w:color w:val="000000"/>
                <w:szCs w:val="21"/>
                <w:u w:val="single"/>
              </w:rPr>
              <w:t>项目完成后，全场无组织恶臭根据不同产生单元，采取相应的处理方式后，</w:t>
            </w:r>
            <w:r>
              <w:rPr>
                <w:b/>
                <w:bCs w:val="0"/>
                <w:szCs w:val="21"/>
                <w:u w:val="single"/>
              </w:rPr>
              <w:t>各场界</w:t>
            </w:r>
            <w:r>
              <w:rPr>
                <w:b/>
                <w:bCs w:val="0"/>
                <w:szCs w:val="22"/>
                <w:u w:val="single"/>
              </w:rPr>
              <w:t>NH</w:t>
            </w:r>
            <w:r>
              <w:rPr>
                <w:b/>
                <w:bCs w:val="0"/>
                <w:szCs w:val="22"/>
                <w:u w:val="single"/>
                <w:vertAlign w:val="subscript"/>
              </w:rPr>
              <w:t>3</w:t>
            </w:r>
            <w:r>
              <w:rPr>
                <w:b/>
                <w:bCs w:val="0"/>
                <w:szCs w:val="22"/>
                <w:u w:val="single"/>
              </w:rPr>
              <w:t>、H</w:t>
            </w:r>
            <w:r>
              <w:rPr>
                <w:b/>
                <w:bCs w:val="0"/>
                <w:szCs w:val="22"/>
                <w:u w:val="single"/>
                <w:vertAlign w:val="subscript"/>
              </w:rPr>
              <w:t>2</w:t>
            </w:r>
            <w:r>
              <w:rPr>
                <w:b/>
                <w:bCs w:val="0"/>
                <w:szCs w:val="22"/>
                <w:u w:val="single"/>
              </w:rPr>
              <w:t>S</w:t>
            </w:r>
            <w:r>
              <w:rPr>
                <w:b/>
                <w:bCs w:val="0"/>
                <w:szCs w:val="21"/>
                <w:u w:val="single"/>
              </w:rPr>
              <w:t>的浓度值均满足《恶臭污染物排放标准》（GB14554-93）中场界标准值的要求，臭气浓度满足《畜禽养殖业污染物排放标准》（GB18596-2001）标准要求；</w:t>
            </w:r>
            <w:r>
              <w:rPr>
                <w:b/>
                <w:bCs w:val="0"/>
                <w:color w:val="000000"/>
                <w:szCs w:val="21"/>
                <w:u w:val="single"/>
              </w:rPr>
              <w:t>有组织废气可实现达标排放，对环境空气的贡献量较小，环境保护目标能够满足评价标准要求。</w:t>
            </w:r>
          </w:p>
        </w:tc>
        <w:tc>
          <w:tcPr>
            <w:tcW w:w="1673" w:type="dxa"/>
            <w:vAlign w:val="center"/>
          </w:tcPr>
          <w:p>
            <w:pPr>
              <w:tabs>
                <w:tab w:val="left" w:pos="1260"/>
              </w:tabs>
              <w:spacing w:beforeLines="50" w:afterLines="50"/>
              <w:jc w:val="center"/>
              <w:rPr>
                <w:b/>
                <w:bCs w:val="0"/>
                <w:color w:val="000000"/>
                <w:u w:val="single"/>
              </w:rPr>
            </w:pPr>
            <w:r>
              <w:rPr>
                <w:b/>
                <w:bCs w:val="0"/>
                <w:color w:val="000000"/>
                <w:szCs w:val="21"/>
                <w:u w:val="single"/>
              </w:rPr>
              <w:t>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68" w:type="dxa"/>
            <w:vAlign w:val="center"/>
          </w:tcPr>
          <w:p>
            <w:pPr>
              <w:tabs>
                <w:tab w:val="left" w:pos="1260"/>
              </w:tabs>
              <w:spacing w:beforeLines="50" w:afterLines="50"/>
              <w:jc w:val="center"/>
              <w:rPr>
                <w:b/>
                <w:bCs w:val="0"/>
                <w:color w:val="000000"/>
                <w:u w:val="single"/>
              </w:rPr>
            </w:pPr>
            <w:r>
              <w:rPr>
                <w:b/>
                <w:bCs w:val="0"/>
                <w:color w:val="000000"/>
                <w:szCs w:val="21"/>
                <w:u w:val="single"/>
              </w:rPr>
              <w:t>地表水影响</w:t>
            </w:r>
          </w:p>
        </w:tc>
        <w:tc>
          <w:tcPr>
            <w:tcW w:w="5405" w:type="dxa"/>
            <w:tcMar>
              <w:top w:w="57" w:type="dxa"/>
              <w:bottom w:w="57" w:type="dxa"/>
            </w:tcMar>
          </w:tcPr>
          <w:p>
            <w:pPr>
              <w:tabs>
                <w:tab w:val="left" w:pos="1260"/>
              </w:tabs>
              <w:spacing w:line="300" w:lineRule="exact"/>
              <w:rPr>
                <w:b/>
                <w:bCs w:val="0"/>
                <w:color w:val="000000"/>
                <w:u w:val="single"/>
              </w:rPr>
            </w:pPr>
            <w:r>
              <w:rPr>
                <w:b/>
                <w:bCs w:val="0"/>
                <w:color w:val="000000"/>
                <w:szCs w:val="21"/>
                <w:u w:val="single"/>
              </w:rPr>
              <w:t>项目全场废水经场区内污水处理设施处理后，暂存于沼液储存池内，定期肥田，不外排</w:t>
            </w:r>
          </w:p>
        </w:tc>
        <w:tc>
          <w:tcPr>
            <w:tcW w:w="1673" w:type="dxa"/>
            <w:vAlign w:val="center"/>
          </w:tcPr>
          <w:p>
            <w:pPr>
              <w:tabs>
                <w:tab w:val="left" w:pos="1260"/>
              </w:tabs>
              <w:spacing w:beforeLines="50" w:afterLines="50"/>
              <w:jc w:val="center"/>
              <w:rPr>
                <w:b/>
                <w:bCs w:val="0"/>
                <w:color w:val="000000"/>
                <w:u w:val="single"/>
              </w:rPr>
            </w:pPr>
            <w:r>
              <w:rPr>
                <w:b/>
                <w:bCs w:val="0"/>
                <w:color w:val="000000"/>
                <w:szCs w:val="21"/>
                <w:u w:val="single"/>
              </w:rPr>
              <w:t>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68" w:type="dxa"/>
            <w:vAlign w:val="center"/>
          </w:tcPr>
          <w:p>
            <w:pPr>
              <w:tabs>
                <w:tab w:val="left" w:pos="1260"/>
              </w:tabs>
              <w:spacing w:line="360" w:lineRule="exact"/>
              <w:jc w:val="center"/>
              <w:rPr>
                <w:b/>
                <w:bCs w:val="0"/>
                <w:color w:val="000000"/>
                <w:szCs w:val="21"/>
                <w:u w:val="single"/>
              </w:rPr>
            </w:pPr>
            <w:r>
              <w:rPr>
                <w:b/>
                <w:bCs w:val="0"/>
                <w:color w:val="000000"/>
                <w:szCs w:val="21"/>
                <w:u w:val="single"/>
              </w:rPr>
              <w:t>地下水影响</w:t>
            </w:r>
          </w:p>
        </w:tc>
        <w:tc>
          <w:tcPr>
            <w:tcW w:w="5405" w:type="dxa"/>
            <w:tcMar>
              <w:top w:w="57" w:type="dxa"/>
              <w:bottom w:w="57" w:type="dxa"/>
            </w:tcMar>
            <w:vAlign w:val="center"/>
          </w:tcPr>
          <w:p>
            <w:pPr>
              <w:tabs>
                <w:tab w:val="left" w:pos="1260"/>
              </w:tabs>
              <w:spacing w:line="360" w:lineRule="exact"/>
              <w:rPr>
                <w:b/>
                <w:bCs w:val="0"/>
                <w:color w:val="000000"/>
                <w:szCs w:val="21"/>
                <w:u w:val="single"/>
              </w:rPr>
            </w:pPr>
            <w:r>
              <w:rPr>
                <w:b/>
                <w:bCs w:val="0"/>
                <w:color w:val="000000"/>
                <w:szCs w:val="21"/>
                <w:u w:val="single"/>
              </w:rPr>
              <w:t>基本维持现状</w:t>
            </w:r>
          </w:p>
        </w:tc>
        <w:tc>
          <w:tcPr>
            <w:tcW w:w="1673" w:type="dxa"/>
            <w:vAlign w:val="center"/>
          </w:tcPr>
          <w:p>
            <w:pPr>
              <w:tabs>
                <w:tab w:val="left" w:pos="1260"/>
              </w:tabs>
              <w:jc w:val="center"/>
              <w:rPr>
                <w:b/>
                <w:bCs w:val="0"/>
                <w:color w:val="000000"/>
                <w:szCs w:val="21"/>
                <w:u w:val="single"/>
              </w:rPr>
            </w:pPr>
            <w:r>
              <w:rPr>
                <w:b/>
                <w:bCs w:val="0"/>
                <w:color w:val="000000"/>
                <w:szCs w:val="21"/>
                <w:u w:val="single"/>
              </w:rPr>
              <w:t>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68" w:type="dxa"/>
          </w:tcPr>
          <w:p>
            <w:pPr>
              <w:tabs>
                <w:tab w:val="left" w:pos="1260"/>
              </w:tabs>
              <w:spacing w:line="360" w:lineRule="exact"/>
              <w:jc w:val="center"/>
              <w:rPr>
                <w:b/>
                <w:bCs w:val="0"/>
                <w:color w:val="000000"/>
                <w:u w:val="single"/>
              </w:rPr>
            </w:pPr>
            <w:r>
              <w:rPr>
                <w:b/>
                <w:bCs w:val="0"/>
                <w:color w:val="000000"/>
                <w:szCs w:val="21"/>
                <w:u w:val="single"/>
              </w:rPr>
              <w:t>声环境影响</w:t>
            </w:r>
          </w:p>
        </w:tc>
        <w:tc>
          <w:tcPr>
            <w:tcW w:w="5405" w:type="dxa"/>
            <w:tcMar>
              <w:top w:w="57" w:type="dxa"/>
              <w:bottom w:w="57" w:type="dxa"/>
            </w:tcMar>
          </w:tcPr>
          <w:p>
            <w:pPr>
              <w:tabs>
                <w:tab w:val="left" w:pos="1260"/>
              </w:tabs>
              <w:spacing w:line="360" w:lineRule="exact"/>
              <w:rPr>
                <w:b/>
                <w:bCs w:val="0"/>
                <w:color w:val="000000"/>
                <w:u w:val="single"/>
              </w:rPr>
            </w:pPr>
            <w:r>
              <w:rPr>
                <w:b/>
                <w:bCs w:val="0"/>
                <w:color w:val="000000"/>
                <w:szCs w:val="21"/>
                <w:u w:val="single"/>
              </w:rPr>
              <w:t>场界噪声达标，对周围环境影响较小</w:t>
            </w:r>
          </w:p>
        </w:tc>
        <w:tc>
          <w:tcPr>
            <w:tcW w:w="1673" w:type="dxa"/>
          </w:tcPr>
          <w:p>
            <w:pPr>
              <w:tabs>
                <w:tab w:val="left" w:pos="1260"/>
              </w:tabs>
              <w:jc w:val="center"/>
              <w:rPr>
                <w:b/>
                <w:bCs w:val="0"/>
                <w:color w:val="000000"/>
                <w:u w:val="single"/>
              </w:rPr>
            </w:pPr>
            <w:r>
              <w:rPr>
                <w:b/>
                <w:bCs w:val="0"/>
                <w:color w:val="000000"/>
                <w:szCs w:val="21"/>
                <w:u w:val="single"/>
              </w:rPr>
              <w:t>可行</w:t>
            </w:r>
          </w:p>
        </w:tc>
      </w:tr>
    </w:tbl>
    <w:p>
      <w:pPr>
        <w:spacing w:line="500" w:lineRule="exact"/>
        <w:ind w:firstLine="482" w:firstLineChars="200"/>
        <w:rPr>
          <w:b/>
          <w:bCs w:val="0"/>
          <w:color w:val="000000"/>
          <w:sz w:val="24"/>
          <w:u w:val="single"/>
        </w:rPr>
      </w:pPr>
      <w:r>
        <w:rPr>
          <w:b/>
          <w:bCs w:val="0"/>
          <w:color w:val="000000"/>
          <w:sz w:val="24"/>
          <w:u w:val="single"/>
        </w:rPr>
        <w:t>根据环境影响预测结果可知，项目的废气对环境的影响不大；废水经场区内污水处理设施处理后，暂存于沼液储存池内，定期肥田，不外排，对地表水和地下水影响不大。场界噪声达标，项目不会对周边环境敏感点造成噪声污染。在各项环保措施得以落实、杜绝事故排放的情况下，综合大气环境、水环境、噪声环境的预测结果可知，拟建工程从环境影响方面来说选址是可行的。</w:t>
      </w:r>
    </w:p>
    <w:p>
      <w:pPr>
        <w:spacing w:line="600" w:lineRule="exact"/>
        <w:outlineLvl w:val="2"/>
        <w:rPr>
          <w:b/>
          <w:bCs w:val="0"/>
          <w:color w:val="000000"/>
          <w:u w:val="single"/>
        </w:rPr>
      </w:pPr>
      <w:r>
        <w:rPr>
          <w:b/>
          <w:bCs w:val="0"/>
          <w:color w:val="000000"/>
          <w:sz w:val="24"/>
          <w:u w:val="single"/>
        </w:rPr>
        <w:t>8.1.5 环境风险评价结论</w:t>
      </w:r>
    </w:p>
    <w:p>
      <w:pPr>
        <w:spacing w:line="520" w:lineRule="exact"/>
        <w:ind w:firstLine="482" w:firstLineChars="200"/>
        <w:rPr>
          <w:b/>
          <w:bCs w:val="0"/>
          <w:color w:val="000000"/>
          <w:sz w:val="24"/>
          <w:u w:val="single"/>
        </w:rPr>
      </w:pPr>
      <w:r>
        <w:rPr>
          <w:b/>
          <w:bCs w:val="0"/>
          <w:color w:val="000000"/>
          <w:kern w:val="0"/>
          <w:sz w:val="24"/>
          <w:u w:val="single"/>
        </w:rPr>
        <w:t>项目全场营运过程中涉及到的沼气</w:t>
      </w:r>
      <w:r>
        <w:rPr>
          <w:b/>
          <w:bCs w:val="0"/>
          <w:color w:val="000000"/>
          <w:sz w:val="24"/>
          <w:u w:val="single"/>
        </w:rPr>
        <w:t>为易燃气体且具有一定的毒性。在物质的运输（输送）、贮存和使用过程中，如管理操作不当或发生意外泄露，存在着中毒等事故风险。一旦发生这类事故，将造成有害物质的外泄，对周围环境产生较大的不利影响。</w:t>
      </w:r>
    </w:p>
    <w:p>
      <w:pPr>
        <w:spacing w:line="520" w:lineRule="exact"/>
        <w:ind w:firstLine="482" w:firstLineChars="200"/>
        <w:rPr>
          <w:b/>
          <w:bCs w:val="0"/>
          <w:color w:val="000000"/>
          <w:sz w:val="24"/>
          <w:u w:val="single"/>
        </w:rPr>
      </w:pPr>
      <w:r>
        <w:rPr>
          <w:b/>
          <w:bCs w:val="0"/>
          <w:color w:val="000000"/>
          <w:kern w:val="0"/>
          <w:sz w:val="24"/>
          <w:u w:val="single"/>
        </w:rPr>
        <w:t>项目采取了较为完善、合理可行的风险防范措施，可将项目的环境风险水平降至最低，只要严格遵守各项安全操作规程和制度，加强安全管理，并尽快开展安全评价工作，进一步补充、完善突发事件后的应急预案，防止重大风险事故的发生，其环境风险程度属于可接受水平。</w:t>
      </w:r>
    </w:p>
    <w:p>
      <w:pPr>
        <w:spacing w:line="600" w:lineRule="exact"/>
        <w:outlineLvl w:val="2"/>
        <w:rPr>
          <w:b/>
          <w:bCs w:val="0"/>
          <w:u w:val="single"/>
        </w:rPr>
      </w:pPr>
      <w:r>
        <w:rPr>
          <w:b/>
          <w:bCs w:val="0"/>
          <w:sz w:val="24"/>
          <w:u w:val="single"/>
        </w:rPr>
        <w:t>8.1.6畜禽粪便无害化处理技术规范</w:t>
      </w:r>
    </w:p>
    <w:p>
      <w:pPr>
        <w:spacing w:line="520" w:lineRule="exact"/>
        <w:ind w:firstLine="482" w:firstLineChars="200"/>
        <w:rPr>
          <w:b/>
          <w:bCs w:val="0"/>
          <w:kern w:val="0"/>
          <w:sz w:val="24"/>
          <w:u w:val="single"/>
        </w:rPr>
      </w:pPr>
      <w:r>
        <w:rPr>
          <w:b/>
          <w:bCs w:val="0"/>
          <w:kern w:val="0"/>
          <w:sz w:val="24"/>
          <w:u w:val="single"/>
        </w:rPr>
        <w:t>《畜禽粪便无害化处理技术规范》（GB/T36195-2018）选址可行分析见表8-4。</w:t>
      </w:r>
    </w:p>
    <w:p>
      <w:pPr>
        <w:ind w:firstLine="482" w:firstLineChars="200"/>
        <w:jc w:val="center"/>
        <w:rPr>
          <w:b/>
          <w:bCs w:val="0"/>
          <w:sz w:val="28"/>
          <w:szCs w:val="22"/>
          <w:u w:val="single"/>
        </w:rPr>
      </w:pPr>
      <w:r>
        <w:rPr>
          <w:b/>
          <w:bCs w:val="0"/>
          <w:kern w:val="0"/>
          <w:sz w:val="24"/>
          <w:u w:val="single"/>
        </w:rPr>
        <w:t>表8-4  畜禽粪便无害化处理技术规范要求</w:t>
      </w:r>
    </w:p>
    <w:tbl>
      <w:tblPr>
        <w:tblStyle w:val="44"/>
        <w:tblW w:w="8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4253"/>
        <w:gridCol w:w="3402"/>
        <w:gridCol w:w="6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928" w:type="dxa"/>
            <w:gridSpan w:val="2"/>
            <w:tcBorders>
              <w:top w:val="single" w:color="auto" w:sz="4" w:space="0"/>
              <w:left w:val="single" w:color="auto" w:sz="4" w:space="0"/>
              <w:bottom w:val="single" w:color="auto" w:sz="6" w:space="0"/>
              <w:right w:val="single" w:color="auto" w:sz="6" w:space="0"/>
            </w:tcBorders>
            <w:vAlign w:val="center"/>
          </w:tcPr>
          <w:p>
            <w:pPr>
              <w:jc w:val="center"/>
              <w:rPr>
                <w:b/>
                <w:bCs w:val="0"/>
                <w:szCs w:val="21"/>
                <w:u w:val="single"/>
              </w:rPr>
            </w:pPr>
            <w:r>
              <w:rPr>
                <w:b/>
                <w:bCs w:val="0"/>
                <w:szCs w:val="21"/>
                <w:u w:val="single"/>
              </w:rPr>
              <w:t>粪便处理场选址及布局</w:t>
            </w:r>
          </w:p>
        </w:tc>
        <w:tc>
          <w:tcPr>
            <w:tcW w:w="3402" w:type="dxa"/>
            <w:tcBorders>
              <w:top w:val="single" w:color="auto" w:sz="4"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本项目</w:t>
            </w:r>
          </w:p>
        </w:tc>
        <w:tc>
          <w:tcPr>
            <w:tcW w:w="616" w:type="dxa"/>
            <w:tcBorders>
              <w:top w:val="single" w:color="auto" w:sz="4" w:space="0"/>
              <w:left w:val="single" w:color="auto" w:sz="6" w:space="0"/>
              <w:bottom w:val="single" w:color="auto" w:sz="6" w:space="0"/>
              <w:right w:val="single" w:color="auto" w:sz="4" w:space="0"/>
            </w:tcBorders>
            <w:vAlign w:val="center"/>
          </w:tcPr>
          <w:p>
            <w:pPr>
              <w:jc w:val="center"/>
              <w:rPr>
                <w:b/>
                <w:bCs w:val="0"/>
                <w:szCs w:val="21"/>
                <w:u w:val="single"/>
              </w:rPr>
            </w:pPr>
            <w:r>
              <w:rPr>
                <w:b/>
                <w:bCs w:val="0"/>
                <w:szCs w:val="21"/>
                <w:u w:val="single"/>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675" w:type="dxa"/>
            <w:vMerge w:val="restart"/>
            <w:tcBorders>
              <w:top w:val="single" w:color="auto" w:sz="6" w:space="0"/>
              <w:left w:val="single" w:color="auto" w:sz="4" w:space="0"/>
              <w:bottom w:val="single" w:color="auto" w:sz="6" w:space="0"/>
              <w:right w:val="single" w:color="auto" w:sz="6" w:space="0"/>
            </w:tcBorders>
            <w:vAlign w:val="center"/>
          </w:tcPr>
          <w:p>
            <w:pPr>
              <w:jc w:val="center"/>
              <w:rPr>
                <w:b/>
                <w:bCs w:val="0"/>
                <w:caps/>
                <w:szCs w:val="21"/>
                <w:u w:val="single"/>
              </w:rPr>
            </w:pPr>
            <w:r>
              <w:rPr>
                <w:b/>
                <w:bCs w:val="0"/>
                <w:caps/>
                <w:szCs w:val="20"/>
                <w:u w:val="single"/>
              </w:rPr>
              <w:t>5.1不应区域内建设畜禽粪便处理场</w:t>
            </w:r>
          </w:p>
        </w:tc>
        <w:tc>
          <w:tcPr>
            <w:tcW w:w="4253"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作为活饮用水水源保护区、风景名胜区、白然保护区的核心区及缓冲区；</w:t>
            </w:r>
          </w:p>
        </w:tc>
        <w:tc>
          <w:tcPr>
            <w:tcW w:w="3402"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color w:val="000000"/>
                <w:kern w:val="0"/>
                <w:szCs w:val="21"/>
                <w:u w:val="single"/>
              </w:rPr>
              <w:t>本项目距平舆县城市饮用水水源地一级保护区最近距离约为13km，距杨埠镇饮用水水源地一级保护区最近距离约为6.9km，不在县城现有生活饮用水源地（包括16眼井），乡镇和村级集中式生活饮用水源地（包括188眼水井）周围50米范围内</w:t>
            </w:r>
          </w:p>
        </w:tc>
        <w:tc>
          <w:tcPr>
            <w:tcW w:w="616" w:type="dxa"/>
            <w:vMerge w:val="restart"/>
            <w:tcBorders>
              <w:top w:val="single" w:color="auto" w:sz="6" w:space="0"/>
              <w:left w:val="single" w:color="auto" w:sz="6" w:space="0"/>
              <w:right w:val="single" w:color="auto" w:sz="4" w:space="0"/>
            </w:tcBorders>
            <w:vAlign w:val="center"/>
          </w:tcPr>
          <w:p>
            <w:pPr>
              <w:jc w:val="center"/>
              <w:rPr>
                <w:b/>
                <w:bCs w:val="0"/>
                <w:szCs w:val="21"/>
                <w:u w:val="single"/>
              </w:rPr>
            </w:pPr>
            <w:r>
              <w:rPr>
                <w:b/>
                <w:bCs w:val="0"/>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675" w:type="dxa"/>
            <w:vMerge w:val="continue"/>
            <w:tcBorders>
              <w:top w:val="single" w:color="auto" w:sz="6" w:space="0"/>
              <w:left w:val="single" w:color="auto" w:sz="4" w:space="0"/>
              <w:bottom w:val="single" w:color="auto" w:sz="6" w:space="0"/>
              <w:right w:val="single" w:color="auto" w:sz="6" w:space="0"/>
            </w:tcBorders>
            <w:vAlign w:val="center"/>
          </w:tcPr>
          <w:p>
            <w:pPr>
              <w:widowControl/>
              <w:jc w:val="center"/>
              <w:rPr>
                <w:b/>
                <w:bCs w:val="0"/>
                <w:caps/>
                <w:szCs w:val="21"/>
                <w:u w:val="single"/>
              </w:rPr>
            </w:pPr>
          </w:p>
        </w:tc>
        <w:tc>
          <w:tcPr>
            <w:tcW w:w="4253"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城市和城镇居民区，包括文教科研、医疗、商业和工业等人口集中地区；</w:t>
            </w:r>
          </w:p>
        </w:tc>
        <w:tc>
          <w:tcPr>
            <w:tcW w:w="3402" w:type="dxa"/>
            <w:tcBorders>
              <w:top w:val="single" w:color="auto" w:sz="6" w:space="0"/>
              <w:left w:val="single" w:color="auto" w:sz="6" w:space="0"/>
              <w:bottom w:val="single" w:color="auto" w:sz="6" w:space="0"/>
              <w:right w:val="single" w:color="auto" w:sz="6" w:space="0"/>
            </w:tcBorders>
            <w:vAlign w:val="center"/>
          </w:tcPr>
          <w:p>
            <w:pPr>
              <w:rPr>
                <w:b/>
                <w:bCs w:val="0"/>
                <w:szCs w:val="21"/>
                <w:u w:val="single"/>
              </w:rPr>
            </w:pPr>
            <w:r>
              <w:rPr>
                <w:b/>
                <w:bCs w:val="0"/>
                <w:color w:val="000000"/>
                <w:szCs w:val="21"/>
                <w:u w:val="single"/>
              </w:rPr>
              <w:t>本项目距平舆县城市规划区最近距离约为14km，不在县城规划区范围内。</w:t>
            </w:r>
          </w:p>
        </w:tc>
        <w:tc>
          <w:tcPr>
            <w:tcW w:w="616" w:type="dxa"/>
            <w:vMerge w:val="continue"/>
            <w:tcBorders>
              <w:left w:val="single" w:color="auto" w:sz="6" w:space="0"/>
              <w:right w:val="single" w:color="auto" w:sz="4" w:space="0"/>
            </w:tcBorders>
            <w:vAlign w:val="center"/>
          </w:tcPr>
          <w:p>
            <w:pPr>
              <w:widowControl/>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Merge w:val="continue"/>
            <w:tcBorders>
              <w:top w:val="single" w:color="auto" w:sz="6" w:space="0"/>
              <w:left w:val="single" w:color="auto" w:sz="4" w:space="0"/>
              <w:bottom w:val="single" w:color="auto" w:sz="6" w:space="0"/>
              <w:right w:val="single" w:color="auto" w:sz="6" w:space="0"/>
            </w:tcBorders>
            <w:vAlign w:val="center"/>
          </w:tcPr>
          <w:p>
            <w:pPr>
              <w:widowControl/>
              <w:jc w:val="center"/>
              <w:rPr>
                <w:b/>
                <w:bCs w:val="0"/>
                <w:caps/>
                <w:szCs w:val="21"/>
                <w:u w:val="single"/>
              </w:rPr>
            </w:pPr>
          </w:p>
        </w:tc>
        <w:tc>
          <w:tcPr>
            <w:tcW w:w="4253"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县级及县级以上人民政府依法划定的禁养区域；</w:t>
            </w:r>
          </w:p>
        </w:tc>
        <w:tc>
          <w:tcPr>
            <w:tcW w:w="3402"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不在平舆县人民政府依法划定的禁养区域</w:t>
            </w:r>
          </w:p>
        </w:tc>
        <w:tc>
          <w:tcPr>
            <w:tcW w:w="616" w:type="dxa"/>
            <w:vMerge w:val="continue"/>
            <w:tcBorders>
              <w:left w:val="single" w:color="auto" w:sz="6" w:space="0"/>
              <w:right w:val="single" w:color="auto" w:sz="4" w:space="0"/>
            </w:tcBorders>
            <w:vAlign w:val="center"/>
          </w:tcPr>
          <w:p>
            <w:pPr>
              <w:widowControl/>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675" w:type="dxa"/>
            <w:vMerge w:val="continue"/>
            <w:tcBorders>
              <w:top w:val="single" w:color="auto" w:sz="6" w:space="0"/>
              <w:left w:val="single" w:color="auto" w:sz="4" w:space="0"/>
              <w:bottom w:val="single" w:color="auto" w:sz="6" w:space="0"/>
              <w:right w:val="single" w:color="auto" w:sz="6" w:space="0"/>
            </w:tcBorders>
            <w:vAlign w:val="center"/>
          </w:tcPr>
          <w:p>
            <w:pPr>
              <w:widowControl/>
              <w:jc w:val="center"/>
              <w:rPr>
                <w:b/>
                <w:bCs w:val="0"/>
                <w:caps/>
                <w:szCs w:val="21"/>
                <w:u w:val="single"/>
              </w:rPr>
            </w:pPr>
          </w:p>
        </w:tc>
        <w:tc>
          <w:tcPr>
            <w:tcW w:w="4253"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国家或地方法律、法规规定需特殊保护的其他区域。</w:t>
            </w:r>
          </w:p>
        </w:tc>
        <w:tc>
          <w:tcPr>
            <w:tcW w:w="3402"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szCs w:val="21"/>
                <w:u w:val="single"/>
              </w:rPr>
              <w:t>项目不涉及敏感区域</w:t>
            </w:r>
          </w:p>
        </w:tc>
        <w:tc>
          <w:tcPr>
            <w:tcW w:w="616" w:type="dxa"/>
            <w:vMerge w:val="continue"/>
            <w:tcBorders>
              <w:left w:val="single" w:color="auto" w:sz="6" w:space="0"/>
              <w:bottom w:val="single" w:color="auto" w:sz="4" w:space="0"/>
              <w:right w:val="single" w:color="auto" w:sz="4" w:space="0"/>
            </w:tcBorders>
            <w:vAlign w:val="center"/>
          </w:tcPr>
          <w:p>
            <w:pPr>
              <w:jc w:val="center"/>
              <w:rPr>
                <w:b/>
                <w:bCs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7" w:hRule="atLeast"/>
          <w:jc w:val="center"/>
        </w:trPr>
        <w:tc>
          <w:tcPr>
            <w:tcW w:w="4928" w:type="dxa"/>
            <w:gridSpan w:val="2"/>
            <w:tcBorders>
              <w:top w:val="single" w:color="auto" w:sz="6" w:space="0"/>
              <w:left w:val="single" w:color="auto" w:sz="4" w:space="0"/>
              <w:bottom w:val="single" w:color="auto" w:sz="4" w:space="0"/>
              <w:right w:val="single" w:color="auto" w:sz="6" w:space="0"/>
            </w:tcBorders>
            <w:vAlign w:val="center"/>
          </w:tcPr>
          <w:p>
            <w:pPr>
              <w:jc w:val="center"/>
              <w:rPr>
                <w:b/>
                <w:bCs w:val="0"/>
                <w:szCs w:val="21"/>
                <w:u w:val="single"/>
              </w:rPr>
            </w:pPr>
            <w:r>
              <w:rPr>
                <w:b/>
                <w:bCs w:val="0"/>
                <w:szCs w:val="21"/>
                <w:u w:val="single"/>
              </w:rPr>
              <w:t>5 2在禁建区域附近建设畜禽粪使处理场，应设在5.1规定的禁建区域常年主导风向的下风向或侧风向处，场界与禁建区域边界的最小距离不应小于3 km。</w:t>
            </w:r>
          </w:p>
        </w:tc>
        <w:tc>
          <w:tcPr>
            <w:tcW w:w="3402" w:type="dxa"/>
            <w:tcBorders>
              <w:top w:val="single" w:color="auto" w:sz="6" w:space="0"/>
              <w:left w:val="single" w:color="auto" w:sz="6" w:space="0"/>
              <w:bottom w:val="single" w:color="auto" w:sz="6" w:space="0"/>
              <w:right w:val="single" w:color="auto" w:sz="6" w:space="0"/>
            </w:tcBorders>
            <w:vAlign w:val="center"/>
          </w:tcPr>
          <w:p>
            <w:pPr>
              <w:jc w:val="center"/>
              <w:rPr>
                <w:b/>
                <w:bCs w:val="0"/>
                <w:szCs w:val="21"/>
                <w:u w:val="single"/>
              </w:rPr>
            </w:pPr>
            <w:r>
              <w:rPr>
                <w:b/>
                <w:bCs w:val="0"/>
                <w:color w:val="000000"/>
                <w:szCs w:val="21"/>
                <w:u w:val="single"/>
              </w:rPr>
              <w:t>本项目距平舆县城市规划区最近距离约为14km，不在</w:t>
            </w:r>
            <w:r>
              <w:rPr>
                <w:b/>
                <w:bCs w:val="0"/>
                <w:color w:val="000000"/>
                <w:kern w:val="0"/>
                <w:szCs w:val="21"/>
                <w:u w:val="single"/>
              </w:rPr>
              <w:t>县城规划区</w:t>
            </w:r>
            <w:r>
              <w:rPr>
                <w:b/>
                <w:bCs w:val="0"/>
                <w:color w:val="000000"/>
                <w:szCs w:val="21"/>
                <w:u w:val="single"/>
              </w:rPr>
              <w:t>范围内。</w:t>
            </w:r>
          </w:p>
        </w:tc>
        <w:tc>
          <w:tcPr>
            <w:tcW w:w="616" w:type="dxa"/>
            <w:tcBorders>
              <w:top w:val="single" w:color="auto" w:sz="6" w:space="0"/>
              <w:left w:val="single" w:color="auto" w:sz="6" w:space="0"/>
              <w:bottom w:val="single" w:color="auto" w:sz="4" w:space="0"/>
              <w:right w:val="single" w:color="auto" w:sz="4" w:space="0"/>
            </w:tcBorders>
            <w:vAlign w:val="center"/>
          </w:tcPr>
          <w:p>
            <w:pPr>
              <w:widowControl/>
              <w:jc w:val="center"/>
              <w:rPr>
                <w:b/>
                <w:bCs w:val="0"/>
                <w:szCs w:val="21"/>
                <w:u w:val="single"/>
              </w:rPr>
            </w:pPr>
            <w:r>
              <w:rPr>
                <w:b/>
                <w:bCs w:val="0"/>
                <w:szCs w:val="21"/>
                <w:u w:val="single"/>
              </w:rPr>
              <w:t>符合</w:t>
            </w:r>
          </w:p>
        </w:tc>
      </w:tr>
    </w:tbl>
    <w:p>
      <w:pPr>
        <w:spacing w:line="600" w:lineRule="exact"/>
        <w:outlineLvl w:val="2"/>
        <w:rPr>
          <w:rFonts w:hint="eastAsia" w:ascii="Times New Roman" w:hAnsi="Times New Roman" w:eastAsia="宋体"/>
          <w:b/>
          <w:bCs w:val="0"/>
          <w:sz w:val="24"/>
          <w:szCs w:val="24"/>
          <w:u w:val="single"/>
          <w:lang w:eastAsia="zh-CN"/>
        </w:rPr>
      </w:pPr>
      <w:r>
        <w:rPr>
          <w:rFonts w:hint="eastAsia" w:ascii="Times New Roman" w:hAnsi="Times New Roman"/>
          <w:b/>
          <w:bCs w:val="0"/>
          <w:sz w:val="24"/>
          <w:szCs w:val="24"/>
          <w:u w:val="single"/>
          <w:lang w:val="en-US" w:eastAsia="zh-CN"/>
        </w:rPr>
        <w:t>8.1.7与</w:t>
      </w:r>
      <w:r>
        <w:rPr>
          <w:rFonts w:hint="eastAsia" w:ascii="Times New Roman" w:hAnsi="Times New Roman"/>
          <w:b/>
          <w:bCs w:val="0"/>
          <w:sz w:val="24"/>
          <w:szCs w:val="24"/>
          <w:u w:val="single"/>
        </w:rPr>
        <w:t>《河南省主体功能区规划》</w:t>
      </w:r>
      <w:r>
        <w:rPr>
          <w:rFonts w:hint="eastAsia" w:ascii="Times New Roman" w:hAnsi="Times New Roman"/>
          <w:b/>
          <w:bCs w:val="0"/>
          <w:sz w:val="24"/>
          <w:szCs w:val="24"/>
          <w:u w:val="single"/>
          <w:lang w:eastAsia="zh-CN"/>
        </w:rPr>
        <w:t>相符性分析</w:t>
      </w:r>
    </w:p>
    <w:p>
      <w:pPr>
        <w:adjustRightInd w:val="0"/>
        <w:snapToGrid w:val="0"/>
        <w:spacing w:before="120" w:beforeLines="50" w:line="500" w:lineRule="exact"/>
        <w:ind w:firstLine="482" w:firstLineChars="200"/>
        <w:rPr>
          <w:rFonts w:hint="eastAsia" w:ascii="Times New Roman" w:hAnsi="Times New Roman"/>
          <w:b/>
          <w:bCs w:val="0"/>
          <w:sz w:val="24"/>
          <w:szCs w:val="24"/>
          <w:u w:val="single"/>
          <w:lang w:eastAsia="zh-CN"/>
        </w:rPr>
      </w:pPr>
      <w:r>
        <w:rPr>
          <w:rFonts w:hint="eastAsia" w:ascii="Times New Roman" w:hAnsi="Times New Roman"/>
          <w:b/>
          <w:bCs w:val="0"/>
          <w:sz w:val="24"/>
          <w:szCs w:val="24"/>
          <w:u w:val="single"/>
          <w:lang w:val="en-US" w:eastAsia="zh-CN"/>
        </w:rPr>
        <w:t>2014年1月21日，河南省人民政府以豫政〔2014〕12号印发了</w:t>
      </w:r>
      <w:r>
        <w:rPr>
          <w:rFonts w:hint="eastAsia" w:ascii="Times New Roman" w:hAnsi="Times New Roman"/>
          <w:b/>
          <w:bCs w:val="0"/>
          <w:sz w:val="24"/>
          <w:szCs w:val="24"/>
          <w:u w:val="single"/>
        </w:rPr>
        <w:t>《河南省主体功能区规划》</w:t>
      </w:r>
      <w:r>
        <w:rPr>
          <w:rFonts w:hint="eastAsia" w:ascii="Times New Roman" w:hAnsi="Times New Roman"/>
          <w:b/>
          <w:bCs w:val="0"/>
          <w:sz w:val="24"/>
          <w:szCs w:val="24"/>
          <w:u w:val="single"/>
          <w:lang w:eastAsia="zh-CN"/>
        </w:rPr>
        <w:t>，区划根据不同区域的资源环境承载能力、现有开发强度和发展潜力以及全省发展战略布局,将我省国土空间按开发方式分为重点开发区域、限制开发区域和禁止开发区域,按开发内容分为城市化地区、农产品主产区、重点生态功能区。</w:t>
      </w:r>
    </w:p>
    <w:p>
      <w:pPr>
        <w:adjustRightInd w:val="0"/>
        <w:snapToGrid w:val="0"/>
        <w:spacing w:before="120" w:beforeLines="50" w:line="500" w:lineRule="exact"/>
        <w:ind w:firstLine="482" w:firstLineChars="200"/>
        <w:rPr>
          <w:rFonts w:hint="eastAsia" w:ascii="Times New Roman" w:hAnsi="Times New Roman"/>
          <w:b/>
          <w:bCs w:val="0"/>
          <w:sz w:val="24"/>
          <w:szCs w:val="24"/>
          <w:u w:val="single"/>
          <w:lang w:val="en-US" w:eastAsia="zh-CN"/>
        </w:rPr>
      </w:pPr>
      <w:r>
        <w:rPr>
          <w:rFonts w:hint="eastAsia" w:ascii="Times New Roman" w:hAnsi="Times New Roman"/>
          <w:b/>
          <w:bCs w:val="0"/>
          <w:sz w:val="24"/>
          <w:szCs w:val="24"/>
          <w:u w:val="single"/>
          <w:lang w:val="en-US" w:eastAsia="zh-CN"/>
        </w:rPr>
        <w:t>本项目位于驻马店市平舆县，属于区划中划定的农产品主产区，农产品主产区的功能定位是:国家重要的粮食生产和现代农业基地,保障国家农产品供给安全的重要区域,农村居民安居乐业的美好家园,新农村建设的先行区。</w:t>
      </w:r>
    </w:p>
    <w:p>
      <w:pPr>
        <w:adjustRightInd w:val="0"/>
        <w:snapToGrid w:val="0"/>
        <w:spacing w:before="120" w:beforeLines="50" w:line="500" w:lineRule="exact"/>
        <w:ind w:firstLine="482" w:firstLineChars="200"/>
        <w:rPr>
          <w:rFonts w:hint="eastAsia" w:ascii="Times New Roman" w:hAnsi="Times New Roman"/>
          <w:b/>
          <w:bCs w:val="0"/>
          <w:sz w:val="24"/>
          <w:szCs w:val="24"/>
          <w:u w:val="single"/>
          <w:lang w:val="en-US" w:eastAsia="zh-CN"/>
        </w:rPr>
      </w:pPr>
      <w:r>
        <w:rPr>
          <w:rFonts w:hint="eastAsia" w:ascii="Times New Roman" w:hAnsi="Times New Roman"/>
          <w:b/>
          <w:bCs w:val="0"/>
          <w:sz w:val="24"/>
          <w:szCs w:val="24"/>
          <w:u w:val="single"/>
          <w:lang w:val="en-US" w:eastAsia="zh-CN"/>
        </w:rPr>
        <w:t>规划目标：农业综合生产能力得到加强,农产品质量和效益显著提高。高产、优质、高效、生态、安全农业加快发展,粮食播种面积保持稳定,粮食单产、品质和生产效益显著提升,农业机械化、标准化和优质化水平明显提高,优质粮食种植面积和优质畜产品生产能力进一步扩大和提升。畜牧业产值占农业总产值的比重达到50%左右。</w:t>
      </w:r>
    </w:p>
    <w:p>
      <w:pPr>
        <w:adjustRightInd w:val="0"/>
        <w:snapToGrid w:val="0"/>
        <w:spacing w:before="120" w:beforeLines="50" w:line="500" w:lineRule="exact"/>
        <w:ind w:firstLine="482" w:firstLineChars="200"/>
        <w:rPr>
          <w:rFonts w:hint="eastAsia" w:ascii="Times New Roman" w:hAnsi="Times New Roman"/>
          <w:b/>
          <w:bCs w:val="0"/>
          <w:sz w:val="24"/>
          <w:szCs w:val="24"/>
          <w:u w:val="single"/>
          <w:lang w:val="en-US" w:eastAsia="zh-CN"/>
        </w:rPr>
      </w:pPr>
      <w:r>
        <w:rPr>
          <w:rFonts w:hint="eastAsia" w:ascii="Times New Roman" w:hAnsi="Times New Roman"/>
          <w:b/>
          <w:bCs w:val="0"/>
          <w:sz w:val="24"/>
          <w:szCs w:val="24"/>
          <w:u w:val="single"/>
          <w:lang w:val="en-US" w:eastAsia="zh-CN"/>
        </w:rPr>
        <w:t>发展方向：以提高农产品供给能力为重点任务,重点实施高标准粮田“百千万”工程、现代农业产业化集群工程,着力保护耕地,建设全国粮食生产核心区,增强农业综合生产能力,大力发展现代农业,因地制宜地发展特色产业,增加农民收入,合理布局,优化开发,推进集约集聚,促进工业反哺农业、城市带动农村,加快社会主义新农村建设,引导农村人口逐步有序转移。</w:t>
      </w:r>
    </w:p>
    <w:p>
      <w:pPr>
        <w:adjustRightInd w:val="0"/>
        <w:snapToGrid w:val="0"/>
        <w:spacing w:before="120" w:beforeLines="50" w:line="500" w:lineRule="exact"/>
        <w:ind w:firstLine="482" w:firstLineChars="200"/>
        <w:rPr>
          <w:rFonts w:hint="eastAsia" w:ascii="Times New Roman" w:hAnsi="Times New Roman"/>
          <w:b/>
          <w:bCs w:val="0"/>
          <w:sz w:val="24"/>
          <w:szCs w:val="24"/>
          <w:u w:val="single"/>
          <w:lang w:val="en-US" w:eastAsia="zh-CN"/>
        </w:rPr>
      </w:pPr>
      <w:r>
        <w:rPr>
          <w:rFonts w:hint="eastAsia" w:ascii="Times New Roman" w:hAnsi="Times New Roman"/>
          <w:b/>
          <w:bCs w:val="0"/>
          <w:sz w:val="24"/>
          <w:szCs w:val="24"/>
          <w:u w:val="single"/>
          <w:lang w:val="en-US" w:eastAsia="zh-CN"/>
        </w:rPr>
        <w:t>开发管制原则：在资源环境允许的范围内,因地制宜发展农产品加工业、劳动密集型新兴服务业和具有技术含量的制造业等,适度开发矿产资源,严格控制高耗能、重污染产业发展。完善城市污水处理设施运行机制,确保污水处理设施正常运营。加强农业面源污染防治,加快养殖业废弃物综合治理,推广农村生活污水净化、秸秆还田技术,改善环境卫生条件和村容村貌。合理利用土地资源,防止盲目圈占、浪费土地,严格禁止毁田烧砖。</w:t>
      </w:r>
    </w:p>
    <w:p>
      <w:pPr>
        <w:adjustRightInd w:val="0"/>
        <w:snapToGrid w:val="0"/>
        <w:spacing w:before="120" w:beforeLines="50" w:line="500" w:lineRule="exact"/>
        <w:ind w:firstLine="482" w:firstLineChars="200"/>
        <w:rPr>
          <w:rFonts w:hint="eastAsia" w:ascii="Times New Roman" w:hAnsi="Times New Roman"/>
          <w:b/>
          <w:bCs w:val="0"/>
          <w:sz w:val="24"/>
          <w:szCs w:val="24"/>
          <w:u w:val="single"/>
          <w:lang w:eastAsia="zh-CN"/>
        </w:rPr>
      </w:pPr>
      <w:r>
        <w:rPr>
          <w:rFonts w:hint="eastAsia" w:ascii="Times New Roman" w:hAnsi="Times New Roman"/>
          <w:b/>
          <w:bCs w:val="0"/>
          <w:sz w:val="24"/>
          <w:szCs w:val="24"/>
          <w:u w:val="single"/>
          <w:lang w:val="en-US" w:eastAsia="zh-CN"/>
        </w:rPr>
        <w:t>本项目为生猪养殖项目，为农业项目，项目占地不占用基本农田，项目的建设符合</w:t>
      </w:r>
      <w:r>
        <w:rPr>
          <w:rFonts w:hint="eastAsia" w:ascii="Times New Roman" w:hAnsi="Times New Roman"/>
          <w:b/>
          <w:bCs w:val="0"/>
          <w:sz w:val="24"/>
          <w:szCs w:val="24"/>
          <w:u w:val="single"/>
        </w:rPr>
        <w:t>《河南省主体功能区规划》</w:t>
      </w:r>
      <w:r>
        <w:rPr>
          <w:rFonts w:hint="eastAsia" w:ascii="Times New Roman" w:hAnsi="Times New Roman"/>
          <w:b/>
          <w:bCs w:val="0"/>
          <w:sz w:val="24"/>
          <w:szCs w:val="24"/>
          <w:u w:val="single"/>
          <w:lang w:eastAsia="zh-CN"/>
        </w:rPr>
        <w:t>中农产品主产区的功能定位、规划目标和发展方向的要求，项目不违反农产品主产区开发管制原则，项目符合</w:t>
      </w:r>
      <w:r>
        <w:rPr>
          <w:rFonts w:hint="eastAsia" w:ascii="Times New Roman" w:hAnsi="Times New Roman"/>
          <w:b/>
          <w:bCs w:val="0"/>
          <w:sz w:val="24"/>
          <w:szCs w:val="24"/>
          <w:u w:val="single"/>
        </w:rPr>
        <w:t>《河南省主体功能区规划》</w:t>
      </w:r>
      <w:r>
        <w:rPr>
          <w:rFonts w:hint="eastAsia" w:ascii="Times New Roman" w:hAnsi="Times New Roman"/>
          <w:b/>
          <w:bCs w:val="0"/>
          <w:sz w:val="24"/>
          <w:szCs w:val="24"/>
          <w:u w:val="single"/>
          <w:lang w:eastAsia="zh-CN"/>
        </w:rPr>
        <w:t>的相关要求。</w:t>
      </w:r>
    </w:p>
    <w:p>
      <w:pPr>
        <w:spacing w:line="600" w:lineRule="exact"/>
        <w:outlineLvl w:val="2"/>
        <w:rPr>
          <w:b/>
          <w:bCs w:val="0"/>
          <w:color w:val="000000"/>
          <w:u w:val="single"/>
        </w:rPr>
      </w:pPr>
      <w:r>
        <w:rPr>
          <w:b/>
          <w:bCs w:val="0"/>
          <w:color w:val="000000"/>
          <w:sz w:val="24"/>
          <w:u w:val="single"/>
        </w:rPr>
        <w:t>8.1.</w:t>
      </w:r>
      <w:r>
        <w:rPr>
          <w:rFonts w:hint="eastAsia"/>
          <w:b/>
          <w:bCs w:val="0"/>
          <w:color w:val="000000"/>
          <w:sz w:val="24"/>
          <w:u w:val="single"/>
          <w:lang w:val="en-US" w:eastAsia="zh-CN"/>
        </w:rPr>
        <w:t>8</w:t>
      </w:r>
      <w:r>
        <w:rPr>
          <w:b/>
          <w:bCs w:val="0"/>
          <w:color w:val="000000"/>
          <w:sz w:val="24"/>
          <w:u w:val="single"/>
        </w:rPr>
        <w:t xml:space="preserve"> 场址可行性结论</w:t>
      </w:r>
    </w:p>
    <w:p>
      <w:pPr>
        <w:adjustRightInd w:val="0"/>
        <w:snapToGrid w:val="0"/>
        <w:spacing w:beforeLines="50" w:line="500" w:lineRule="exact"/>
        <w:ind w:firstLine="482" w:firstLineChars="200"/>
        <w:rPr>
          <w:b/>
          <w:bCs w:val="0"/>
          <w:color w:val="000000"/>
          <w:sz w:val="24"/>
          <w:u w:val="single"/>
          <w:lang w:bidi="ar-BH"/>
        </w:rPr>
      </w:pPr>
      <w:bookmarkStart w:id="327" w:name="_Toc3019556"/>
      <w:bookmarkStart w:id="328" w:name="_Toc488572589"/>
      <w:r>
        <w:rPr>
          <w:b/>
          <w:bCs w:val="0"/>
          <w:color w:val="000000"/>
          <w:sz w:val="24"/>
          <w:u w:val="single"/>
        </w:rPr>
        <w:t>综上所述，项目场址符合平舆县城市总体发展规划（2010-2030）、</w:t>
      </w:r>
      <w:r>
        <w:rPr>
          <w:rFonts w:hint="eastAsia"/>
          <w:b/>
          <w:bCs w:val="0"/>
          <w:color w:val="000000"/>
          <w:sz w:val="24"/>
          <w:u w:val="single"/>
        </w:rPr>
        <w:t>东和店</w:t>
      </w:r>
      <w:r>
        <w:rPr>
          <w:b/>
          <w:bCs w:val="0"/>
          <w:color w:val="000000"/>
          <w:sz w:val="24"/>
          <w:u w:val="single"/>
        </w:rPr>
        <w:t>镇建设总体规划、《平舆县 “十三五”畜牧业发展规划》、平舆县及</w:t>
      </w:r>
      <w:r>
        <w:rPr>
          <w:rFonts w:hint="eastAsia"/>
          <w:b/>
          <w:bCs w:val="0"/>
          <w:color w:val="000000"/>
          <w:sz w:val="24"/>
          <w:u w:val="single"/>
        </w:rPr>
        <w:t>东和店镇</w:t>
      </w:r>
      <w:r>
        <w:rPr>
          <w:b/>
          <w:bCs w:val="0"/>
          <w:color w:val="000000"/>
          <w:sz w:val="24"/>
          <w:u w:val="single"/>
        </w:rPr>
        <w:t>饮用水水源保护区划，本项目不在平舆县及乡集中式饮用水水源地保护区划范围内，场址地质条件良好，距离养殖场区较近的村庄</w:t>
      </w:r>
      <w:r>
        <w:rPr>
          <w:rFonts w:hint="eastAsia"/>
          <w:b/>
          <w:bCs w:val="0"/>
          <w:color w:val="000000"/>
          <w:sz w:val="24"/>
          <w:u w:val="single"/>
        </w:rPr>
        <w:t>邢寨村</w:t>
      </w:r>
      <w:r>
        <w:rPr>
          <w:b/>
          <w:bCs w:val="0"/>
          <w:color w:val="000000"/>
          <w:sz w:val="24"/>
          <w:u w:val="single"/>
        </w:rPr>
        <w:t>位于项目的侧风向，供水、供电可靠，交通运输便利；项目卫生防护距离内无环境敏感点；在各项环保措施得以落实、杜绝事故排放的情况下，项目对环境的影响可以接受，项目场址可行。</w:t>
      </w:r>
    </w:p>
    <w:p>
      <w:pPr>
        <w:pStyle w:val="4"/>
        <w:spacing w:before="156" w:after="156"/>
        <w:rPr>
          <w:rFonts w:hAnsi="Times New Roman"/>
          <w:color w:val="000000"/>
        </w:rPr>
      </w:pPr>
      <w:r>
        <w:rPr>
          <w:rFonts w:hAnsi="Times New Roman"/>
          <w:color w:val="000000"/>
        </w:rPr>
        <w:t>8.2 场区平面布置合理性分析</w:t>
      </w:r>
      <w:bookmarkEnd w:id="327"/>
      <w:bookmarkEnd w:id="328"/>
    </w:p>
    <w:p>
      <w:pPr>
        <w:pStyle w:val="25"/>
        <w:topLinePunct/>
        <w:spacing w:after="0" w:line="500" w:lineRule="exact"/>
        <w:ind w:left="0" w:leftChars="0" w:firstLine="480" w:firstLineChars="200"/>
        <w:rPr>
          <w:color w:val="000000"/>
          <w:sz w:val="24"/>
        </w:rPr>
      </w:pPr>
      <w:r>
        <w:rPr>
          <w:color w:val="000000"/>
          <w:sz w:val="24"/>
        </w:rPr>
        <w:t>本项目场区实行生产区、办公区与污染治理区的三区分离。生活区包括宿舍楼、食堂、仓库等；养殖区主要包括猪舍等；粪污处理区包括污水的收集池、盖泄湖沼气池、沼液暂存池等。</w:t>
      </w:r>
    </w:p>
    <w:p>
      <w:pPr>
        <w:adjustRightInd w:val="0"/>
        <w:snapToGrid w:val="0"/>
        <w:spacing w:line="500" w:lineRule="exact"/>
        <w:ind w:firstLine="570"/>
        <w:rPr>
          <w:color w:val="000000"/>
          <w:sz w:val="24"/>
        </w:rPr>
      </w:pPr>
      <w:r>
        <w:rPr>
          <w:color w:val="000000"/>
          <w:sz w:val="24"/>
        </w:rPr>
        <w:t>根据企业全场平面设计，办公生活区设置在养殖区西侧，位于区域主导风向的侧风向，和养殖区之间有绿化带相隔，生产人员进出场区时可以尽可能避开养殖区，有利于猪舍防疫，可最大程度减轻对场区内部的影响。考虑到沼液储存池所处地势较低有利于污水处理站出水的自流，将沼液储存池置于养殖区东南角。污水处理区位于养殖区东南侧，以便于养殖区污水通过管道直接输送至污水处理区，污水处理后可自流至沼液储存池中。沼液储存池、固粪处置区、污水处理设施均位于养殖区及生活区的下风向及侧风向，减轻了对养殖区和办公生活区的不利影响，满足规定要求。</w:t>
      </w:r>
    </w:p>
    <w:p>
      <w:pPr>
        <w:spacing w:line="520" w:lineRule="exact"/>
        <w:ind w:firstLine="470" w:firstLineChars="196"/>
        <w:rPr>
          <w:color w:val="000000"/>
          <w:sz w:val="24"/>
        </w:rPr>
      </w:pPr>
      <w:r>
        <w:rPr>
          <w:color w:val="000000"/>
          <w:sz w:val="24"/>
        </w:rPr>
        <w:t>（1）养殖区设置消毒设施，进场人员入消毒间消毒再进入饲养区，养殖场设置围墙，隔绝与外界往来，内设清洁路与脏路。清洁道为运输饲料和人员流动通道，脏道为专用运出粪便及废弃物的流动路线。同时在场区内设置专门兽医和病疫诊断化验设施，负责防疫、治疗、检疫等工作。</w:t>
      </w:r>
    </w:p>
    <w:p>
      <w:pPr>
        <w:spacing w:line="520" w:lineRule="exact"/>
        <w:ind w:firstLine="470" w:firstLineChars="196"/>
        <w:rPr>
          <w:bCs/>
          <w:color w:val="000000"/>
          <w:sz w:val="24"/>
        </w:rPr>
      </w:pPr>
      <w:r>
        <w:rPr>
          <w:color w:val="000000"/>
          <w:kern w:val="0"/>
          <w:sz w:val="24"/>
        </w:rPr>
        <w:t>（2）</w:t>
      </w:r>
      <w:r>
        <w:rPr>
          <w:bCs/>
          <w:color w:val="000000"/>
          <w:sz w:val="24"/>
          <w:szCs w:val="28"/>
        </w:rPr>
        <w:t>场区各功能区之间都设有绿化带，道路和绿化带的设置可有效防止各区之间交叉污染影响，同时也可为员工的办公和生产营造一个良好的工作环境。另外，</w:t>
      </w:r>
      <w:r>
        <w:rPr>
          <w:bCs/>
          <w:color w:val="000000"/>
          <w:sz w:val="24"/>
        </w:rPr>
        <w:t>评价建议企业在建设过程中，对场区空闲土地和场界进行多层次多方位立体绿化，减轻工程恶臭污染物排放对区域环境的影响，并逐步完善和优化场区平面布置。</w:t>
      </w:r>
    </w:p>
    <w:p>
      <w:pPr>
        <w:spacing w:line="520" w:lineRule="exact"/>
        <w:ind w:firstLine="470" w:firstLineChars="196"/>
        <w:rPr>
          <w:bCs/>
          <w:color w:val="000000"/>
          <w:sz w:val="24"/>
        </w:rPr>
      </w:pPr>
      <w:r>
        <w:rPr>
          <w:bCs/>
          <w:color w:val="000000"/>
          <w:sz w:val="24"/>
        </w:rPr>
        <w:t>（3）</w:t>
      </w:r>
      <w:r>
        <w:rPr>
          <w:color w:val="000000"/>
          <w:kern w:val="0"/>
          <w:sz w:val="24"/>
        </w:rPr>
        <w:t>整个场区总体布置简洁明快，道路通畅。</w:t>
      </w:r>
    </w:p>
    <w:p>
      <w:pPr>
        <w:adjustRightInd w:val="0"/>
        <w:snapToGrid w:val="0"/>
        <w:spacing w:line="500" w:lineRule="exact"/>
        <w:ind w:firstLine="570"/>
        <w:rPr>
          <w:color w:val="000000"/>
          <w:kern w:val="0"/>
          <w:sz w:val="24"/>
          <w:szCs w:val="28"/>
        </w:rPr>
      </w:pPr>
      <w:r>
        <w:rPr>
          <w:bCs/>
          <w:color w:val="000000"/>
          <w:sz w:val="24"/>
        </w:rPr>
        <w:t>根据场区布置情况，评价认为项目</w:t>
      </w:r>
      <w:r>
        <w:rPr>
          <w:color w:val="000000"/>
          <w:kern w:val="0"/>
          <w:sz w:val="24"/>
        </w:rPr>
        <w:t>平面布置功能分区明确，</w:t>
      </w:r>
      <w:r>
        <w:rPr>
          <w:bCs/>
          <w:color w:val="000000"/>
          <w:sz w:val="24"/>
        </w:rPr>
        <w:t>场址平面布置可行，同时，要求项目建设时应严格按照《畜禽养殖业污染防治技术规范》（HJ/T81-2001）要求进行布置。</w:t>
      </w:r>
    </w:p>
    <w:p>
      <w:pPr>
        <w:adjustRightInd w:val="0"/>
        <w:snapToGrid w:val="0"/>
        <w:spacing w:line="500" w:lineRule="exact"/>
        <w:ind w:firstLine="480" w:firstLineChars="200"/>
        <w:rPr>
          <w:bCs/>
          <w:color w:val="000000"/>
          <w:sz w:val="24"/>
        </w:rPr>
      </w:pPr>
      <w:r>
        <w:rPr>
          <w:bCs/>
          <w:color w:val="000000"/>
          <w:sz w:val="24"/>
        </w:rPr>
        <w:t>评价建议企业在建设过程中，对场区空闲土地和场界进行多层次多方位立体绿化，如在猪舍之间及粪污处理及暂存区加强绿化，减轻工程恶臭污染物排放对区域环境的影响，并逐步完善和优化场区平面布置。</w:t>
      </w:r>
    </w:p>
    <w:p>
      <w:pPr>
        <w:adjustRightInd w:val="0"/>
        <w:snapToGrid w:val="0"/>
        <w:spacing w:line="500" w:lineRule="exact"/>
        <w:ind w:firstLine="480" w:firstLineChars="200"/>
        <w:rPr>
          <w:bCs/>
          <w:color w:val="000000"/>
          <w:sz w:val="24"/>
        </w:rPr>
        <w:sectPr>
          <w:pgSz w:w="11906" w:h="16838"/>
          <w:pgMar w:top="1701" w:right="1588" w:bottom="1985" w:left="1588" w:header="851" w:footer="992" w:gutter="0"/>
          <w:cols w:space="720" w:num="1"/>
          <w:docGrid w:type="lines" w:linePitch="312" w:charSpace="0"/>
        </w:sectPr>
      </w:pPr>
      <w:r>
        <w:rPr>
          <w:bCs/>
          <w:color w:val="000000"/>
          <w:sz w:val="24"/>
        </w:rPr>
        <w:t>本项目位于平舆县</w:t>
      </w:r>
      <w:r>
        <w:rPr>
          <w:rFonts w:hint="eastAsia"/>
          <w:bCs/>
          <w:color w:val="000000"/>
          <w:sz w:val="24"/>
        </w:rPr>
        <w:t>东和店镇邢岗村</w:t>
      </w:r>
      <w:r>
        <w:rPr>
          <w:bCs/>
          <w:color w:val="000000"/>
          <w:sz w:val="24"/>
        </w:rPr>
        <w:t>，占地面积</w:t>
      </w:r>
      <w:r>
        <w:rPr>
          <w:rFonts w:hint="eastAsia"/>
          <w:bCs/>
          <w:color w:val="000000"/>
          <w:sz w:val="24"/>
        </w:rPr>
        <w:t>203</w:t>
      </w:r>
      <w:r>
        <w:rPr>
          <w:bCs/>
          <w:color w:val="000000"/>
          <w:sz w:val="24"/>
        </w:rPr>
        <w:t>亩，根据平舆县国土资源局出具的证明该地块为一般农田，项目占地可行；项目占地较为紧凑，布局合理，占地规模合</w:t>
      </w:r>
    </w:p>
    <w:p>
      <w:pPr>
        <w:keepNext/>
        <w:keepLines/>
        <w:spacing w:before="100" w:beforeAutospacing="1" w:after="100" w:afterAutospacing="1"/>
        <w:jc w:val="center"/>
        <w:outlineLvl w:val="0"/>
        <w:rPr>
          <w:b/>
          <w:sz w:val="44"/>
          <w:szCs w:val="44"/>
        </w:rPr>
      </w:pPr>
      <w:bookmarkStart w:id="329" w:name="_Toc488572590"/>
      <w:bookmarkStart w:id="330" w:name="_Toc3019557"/>
      <w:r>
        <w:rPr>
          <w:b/>
          <w:sz w:val="44"/>
          <w:szCs w:val="44"/>
        </w:rPr>
        <w:t>第九章  评价结论与建议</w:t>
      </w:r>
      <w:bookmarkEnd w:id="329"/>
      <w:bookmarkEnd w:id="330"/>
    </w:p>
    <w:p>
      <w:pPr>
        <w:pStyle w:val="4"/>
        <w:spacing w:before="156" w:after="156"/>
        <w:rPr>
          <w:rFonts w:hAnsi="Times New Roman"/>
          <w:color w:val="000000"/>
        </w:rPr>
      </w:pPr>
      <w:bookmarkStart w:id="331" w:name="_Toc488572591"/>
      <w:bookmarkStart w:id="332" w:name="_Toc3019558"/>
      <w:r>
        <w:rPr>
          <w:rFonts w:hAnsi="Times New Roman"/>
          <w:color w:val="000000"/>
        </w:rPr>
        <w:t>9.1评价结论</w:t>
      </w:r>
      <w:bookmarkEnd w:id="331"/>
      <w:bookmarkEnd w:id="332"/>
    </w:p>
    <w:p>
      <w:pPr>
        <w:spacing w:line="600" w:lineRule="exact"/>
        <w:outlineLvl w:val="2"/>
        <w:rPr>
          <w:b/>
          <w:color w:val="000000"/>
          <w:sz w:val="24"/>
        </w:rPr>
      </w:pPr>
      <w:r>
        <w:rPr>
          <w:b/>
          <w:color w:val="000000"/>
          <w:sz w:val="24"/>
        </w:rPr>
        <w:t>9.1.1项目概况</w:t>
      </w:r>
    </w:p>
    <w:p>
      <w:pPr>
        <w:topLinePunct/>
        <w:spacing w:line="500" w:lineRule="exact"/>
        <w:ind w:firstLine="480" w:firstLineChars="200"/>
        <w:rPr>
          <w:color w:val="000000"/>
          <w:spacing w:val="-4"/>
          <w:sz w:val="24"/>
          <w:lang w:val="zh-CN"/>
        </w:rPr>
      </w:pPr>
      <w:r>
        <w:rPr>
          <w:color w:val="000000"/>
          <w:sz w:val="24"/>
        </w:rPr>
        <w:t>本次项目为平舆牧原农牧有限公司平舆二十场生猪养殖项目，</w:t>
      </w:r>
      <w:r>
        <w:rPr>
          <w:color w:val="000000"/>
          <w:kern w:val="0"/>
          <w:sz w:val="24"/>
        </w:rPr>
        <w:t>项目建设</w:t>
      </w:r>
      <w:r>
        <w:rPr>
          <w:color w:val="000000"/>
          <w:sz w:val="24"/>
        </w:rPr>
        <w:t>地位于</w:t>
      </w:r>
      <w:r>
        <w:rPr>
          <w:bCs/>
          <w:color w:val="000000"/>
          <w:sz w:val="24"/>
        </w:rPr>
        <w:t>平舆县</w:t>
      </w:r>
      <w:r>
        <w:rPr>
          <w:rFonts w:hint="eastAsia"/>
          <w:bCs/>
          <w:color w:val="000000"/>
          <w:sz w:val="24"/>
        </w:rPr>
        <w:t>东和店镇邢岗村</w:t>
      </w:r>
      <w:r>
        <w:rPr>
          <w:color w:val="000000"/>
          <w:sz w:val="24"/>
        </w:rPr>
        <w:t>，属新建项目，项目建成后规模为年出栏12.5万头生猪。</w:t>
      </w:r>
      <w:r>
        <w:rPr>
          <w:bCs/>
          <w:color w:val="000000"/>
          <w:kern w:val="0"/>
          <w:sz w:val="24"/>
        </w:rPr>
        <w:t>主要包括保育、育肥阶段。</w:t>
      </w:r>
      <w:r>
        <w:rPr>
          <w:color w:val="000000"/>
          <w:sz w:val="24"/>
        </w:rPr>
        <w:t>建设内容：猪舍、废水综合治理沼气工程及配套工程；清粪方式采用干清粪工艺；该养殖场总占地面积2</w:t>
      </w:r>
      <w:r>
        <w:rPr>
          <w:rFonts w:hint="eastAsia"/>
          <w:color w:val="000000"/>
          <w:sz w:val="24"/>
        </w:rPr>
        <w:t>03</w:t>
      </w:r>
      <w:r>
        <w:rPr>
          <w:color w:val="000000"/>
          <w:sz w:val="24"/>
        </w:rPr>
        <w:t>亩，</w:t>
      </w:r>
      <w:r>
        <w:rPr>
          <w:color w:val="000000"/>
          <w:spacing w:val="-4"/>
          <w:sz w:val="24"/>
        </w:rPr>
        <w:t>总投资12000万元，劳动定员工为</w:t>
      </w:r>
      <w:r>
        <w:rPr>
          <w:rFonts w:hint="eastAsia"/>
          <w:color w:val="000000"/>
          <w:spacing w:val="-4"/>
          <w:sz w:val="24"/>
        </w:rPr>
        <w:t>49</w:t>
      </w:r>
      <w:r>
        <w:rPr>
          <w:color w:val="000000"/>
          <w:spacing w:val="-4"/>
          <w:sz w:val="24"/>
        </w:rPr>
        <w:t>人</w:t>
      </w:r>
      <w:r>
        <w:rPr>
          <w:color w:val="000000"/>
          <w:spacing w:val="-4"/>
          <w:sz w:val="24"/>
          <w:lang w:val="zh-CN"/>
        </w:rPr>
        <w:t>。</w:t>
      </w:r>
    </w:p>
    <w:p>
      <w:pPr>
        <w:spacing w:line="600" w:lineRule="exact"/>
        <w:outlineLvl w:val="2"/>
        <w:rPr>
          <w:b/>
          <w:color w:val="000000"/>
          <w:sz w:val="24"/>
        </w:rPr>
      </w:pPr>
      <w:r>
        <w:rPr>
          <w:b/>
          <w:color w:val="000000"/>
          <w:sz w:val="24"/>
        </w:rPr>
        <w:t>9.1.2 项目与相关规划相符性</w:t>
      </w:r>
    </w:p>
    <w:p>
      <w:pPr>
        <w:tabs>
          <w:tab w:val="right" w:leader="dot" w:pos="8647"/>
        </w:tabs>
        <w:topLinePunct/>
        <w:spacing w:line="500" w:lineRule="exact"/>
        <w:rPr>
          <w:color w:val="000000"/>
          <w:sz w:val="24"/>
        </w:rPr>
      </w:pPr>
      <w:r>
        <w:rPr>
          <w:color w:val="000000"/>
          <w:sz w:val="24"/>
        </w:rPr>
        <w:t>9.1.2.1产业政策</w:t>
      </w:r>
    </w:p>
    <w:p>
      <w:pPr>
        <w:tabs>
          <w:tab w:val="right" w:leader="dot" w:pos="8647"/>
        </w:tabs>
        <w:topLinePunct/>
        <w:spacing w:line="500" w:lineRule="exact"/>
        <w:ind w:firstLine="480" w:firstLineChars="200"/>
        <w:rPr>
          <w:color w:val="000000"/>
          <w:kern w:val="0"/>
          <w:sz w:val="24"/>
        </w:rPr>
      </w:pPr>
      <w:r>
        <w:rPr>
          <w:color w:val="000000"/>
          <w:sz w:val="24"/>
        </w:rPr>
        <w:t>本项目已在平舆县发展和改革委员会备案，备案编号为2019-411723-03-03-</w:t>
      </w:r>
      <w:r>
        <w:rPr>
          <w:rFonts w:hint="eastAsia"/>
          <w:color w:val="000000"/>
          <w:sz w:val="24"/>
        </w:rPr>
        <w:t>060844</w:t>
      </w:r>
      <w:r>
        <w:rPr>
          <w:color w:val="000000"/>
          <w:sz w:val="24"/>
        </w:rPr>
        <w:t>。</w:t>
      </w:r>
      <w:r>
        <w:rPr>
          <w:color w:val="000000"/>
          <w:kern w:val="0"/>
          <w:sz w:val="24"/>
        </w:rPr>
        <w:t>根据国家发展和改革委员会第9号令《产业结构调整指导目录》（2011年本）（2013年修正版），本项目属于鼓励类“一、农林业5、畜禽标准化规模养殖技术开发与应用”，工艺、设备均不在限制类和淘汰类范围内，符合国家产业政策。</w:t>
      </w:r>
    </w:p>
    <w:p>
      <w:pPr>
        <w:tabs>
          <w:tab w:val="right" w:leader="dot" w:pos="8647"/>
        </w:tabs>
        <w:topLinePunct/>
        <w:spacing w:line="500" w:lineRule="exact"/>
        <w:rPr>
          <w:color w:val="000000"/>
          <w:kern w:val="0"/>
          <w:sz w:val="24"/>
        </w:rPr>
      </w:pPr>
      <w:r>
        <w:rPr>
          <w:color w:val="000000"/>
          <w:kern w:val="0"/>
          <w:sz w:val="24"/>
        </w:rPr>
        <w:t>9.1.2.2 项目建设与平舆县城市总体规划的相符性</w:t>
      </w:r>
    </w:p>
    <w:p>
      <w:pPr>
        <w:spacing w:line="500" w:lineRule="exact"/>
        <w:ind w:firstLine="480" w:firstLineChars="200"/>
        <w:jc w:val="left"/>
        <w:rPr>
          <w:color w:val="000000"/>
          <w:sz w:val="24"/>
        </w:rPr>
      </w:pPr>
      <w:r>
        <w:rPr>
          <w:color w:val="000000"/>
          <w:sz w:val="24"/>
        </w:rPr>
        <w:t>本项目位于</w:t>
      </w:r>
      <w:r>
        <w:rPr>
          <w:bCs/>
          <w:color w:val="000000"/>
          <w:sz w:val="24"/>
        </w:rPr>
        <w:t>平舆县</w:t>
      </w:r>
      <w:r>
        <w:rPr>
          <w:rFonts w:hint="eastAsia"/>
          <w:bCs/>
          <w:color w:val="000000"/>
          <w:sz w:val="24"/>
        </w:rPr>
        <w:t>东和店镇邢岗村</w:t>
      </w:r>
      <w:r>
        <w:rPr>
          <w:color w:val="000000"/>
          <w:sz w:val="24"/>
        </w:rPr>
        <w:t>，本次项目的建设不违背</w:t>
      </w:r>
      <w:r>
        <w:rPr>
          <w:color w:val="000000"/>
          <w:kern w:val="0"/>
          <w:sz w:val="24"/>
        </w:rPr>
        <w:t>平舆县</w:t>
      </w:r>
      <w:r>
        <w:rPr>
          <w:color w:val="000000"/>
          <w:sz w:val="24"/>
        </w:rPr>
        <w:t>城市总体规划。</w:t>
      </w:r>
    </w:p>
    <w:p>
      <w:pPr>
        <w:tabs>
          <w:tab w:val="right" w:leader="dot" w:pos="8647"/>
        </w:tabs>
        <w:topLinePunct/>
        <w:spacing w:line="500" w:lineRule="exact"/>
        <w:rPr>
          <w:color w:val="000000"/>
          <w:sz w:val="24"/>
        </w:rPr>
      </w:pPr>
      <w:r>
        <w:rPr>
          <w:color w:val="000000"/>
          <w:sz w:val="24"/>
        </w:rPr>
        <w:t>9.1.2.3项目建设与</w:t>
      </w:r>
      <w:r>
        <w:rPr>
          <w:color w:val="000000"/>
          <w:kern w:val="0"/>
          <w:sz w:val="24"/>
        </w:rPr>
        <w:t>平舆县</w:t>
      </w:r>
      <w:r>
        <w:rPr>
          <w:color w:val="000000"/>
          <w:sz w:val="24"/>
        </w:rPr>
        <w:t>环境保护“十三五” 规划的相符性分析</w:t>
      </w:r>
    </w:p>
    <w:p>
      <w:pPr>
        <w:tabs>
          <w:tab w:val="right" w:leader="dot" w:pos="8647"/>
        </w:tabs>
        <w:topLinePunct/>
        <w:spacing w:line="500" w:lineRule="exact"/>
        <w:ind w:firstLine="480" w:firstLineChars="200"/>
        <w:rPr>
          <w:color w:val="000000"/>
          <w:sz w:val="24"/>
        </w:rPr>
      </w:pPr>
      <w:r>
        <w:rPr>
          <w:color w:val="000000"/>
          <w:sz w:val="24"/>
        </w:rPr>
        <w:t>工程产生的各项废物均能得到有效的处理处置，符合相关标准要求，因此项目建设符合</w:t>
      </w:r>
      <w:r>
        <w:rPr>
          <w:color w:val="000000"/>
          <w:kern w:val="0"/>
          <w:sz w:val="24"/>
        </w:rPr>
        <w:t>平舆县</w:t>
      </w:r>
      <w:r>
        <w:rPr>
          <w:bCs/>
          <w:color w:val="000000"/>
          <w:sz w:val="24"/>
        </w:rPr>
        <w:t>环境保护“十三五”计划。</w:t>
      </w:r>
    </w:p>
    <w:p>
      <w:pPr>
        <w:tabs>
          <w:tab w:val="right" w:leader="dot" w:pos="8647"/>
        </w:tabs>
        <w:topLinePunct/>
        <w:spacing w:line="500" w:lineRule="exact"/>
        <w:rPr>
          <w:color w:val="000000"/>
          <w:sz w:val="24"/>
        </w:rPr>
      </w:pPr>
      <w:r>
        <w:rPr>
          <w:color w:val="000000"/>
          <w:sz w:val="24"/>
        </w:rPr>
        <w:t>9.1.2.4项目建设与《</w:t>
      </w:r>
      <w:r>
        <w:rPr>
          <w:color w:val="000000"/>
          <w:kern w:val="0"/>
          <w:sz w:val="24"/>
        </w:rPr>
        <w:t>平舆县</w:t>
      </w:r>
      <w:r>
        <w:rPr>
          <w:color w:val="000000"/>
          <w:sz w:val="24"/>
        </w:rPr>
        <w:t>畜牧业“十三五”规划》相符性分析</w:t>
      </w:r>
    </w:p>
    <w:p>
      <w:pPr>
        <w:tabs>
          <w:tab w:val="right" w:leader="dot" w:pos="8647"/>
        </w:tabs>
        <w:topLinePunct/>
        <w:spacing w:line="500" w:lineRule="exact"/>
        <w:ind w:firstLine="480" w:firstLineChars="200"/>
        <w:rPr>
          <w:color w:val="000000"/>
          <w:sz w:val="24"/>
        </w:rPr>
      </w:pPr>
      <w:r>
        <w:rPr>
          <w:color w:val="000000"/>
          <w:sz w:val="24"/>
        </w:rPr>
        <w:t>本项目位于</w:t>
      </w:r>
      <w:r>
        <w:rPr>
          <w:bCs/>
          <w:color w:val="000000"/>
          <w:sz w:val="24"/>
        </w:rPr>
        <w:t>平舆县</w:t>
      </w:r>
      <w:r>
        <w:rPr>
          <w:rFonts w:hint="eastAsia"/>
          <w:bCs/>
          <w:color w:val="000000"/>
          <w:sz w:val="24"/>
        </w:rPr>
        <w:t>东和店镇邢岗村</w:t>
      </w:r>
      <w:r>
        <w:rPr>
          <w:color w:val="000000"/>
          <w:sz w:val="24"/>
        </w:rPr>
        <w:t>，为生猪养殖项目，项目选址符合平舆县“十三五”畜牧业发展规划畜禽养殖区域布局，因此其建设与平舆县“十三五”畜牧业发展规划是相符的，农业农村局关于本项目符合畜牧业发展规划的证明见附件6。</w:t>
      </w:r>
    </w:p>
    <w:p>
      <w:pPr>
        <w:tabs>
          <w:tab w:val="right" w:leader="dot" w:pos="8647"/>
        </w:tabs>
        <w:topLinePunct/>
        <w:spacing w:line="500" w:lineRule="exact"/>
        <w:rPr>
          <w:color w:val="000000"/>
          <w:sz w:val="24"/>
        </w:rPr>
      </w:pPr>
      <w:r>
        <w:rPr>
          <w:color w:val="000000"/>
          <w:sz w:val="24"/>
        </w:rPr>
        <w:t>9.1.2.5 项目建设与饮用水源保护规划相符性分析</w:t>
      </w:r>
    </w:p>
    <w:p>
      <w:pPr>
        <w:spacing w:line="520" w:lineRule="exact"/>
        <w:ind w:firstLine="480" w:firstLineChars="200"/>
        <w:jc w:val="left"/>
        <w:rPr>
          <w:color w:val="000000"/>
          <w:sz w:val="24"/>
        </w:rPr>
      </w:pPr>
      <w:r>
        <w:rPr>
          <w:color w:val="000000"/>
          <w:sz w:val="24"/>
        </w:rPr>
        <w:t>本项目距平舆县城市饮用水水源地一级保护区最近距离约为</w:t>
      </w:r>
      <w:r>
        <w:rPr>
          <w:rFonts w:hint="eastAsia"/>
          <w:color w:val="000000"/>
          <w:sz w:val="24"/>
        </w:rPr>
        <w:t>15</w:t>
      </w:r>
      <w:r>
        <w:rPr>
          <w:color w:val="000000"/>
          <w:sz w:val="24"/>
        </w:rPr>
        <w:t>km，距</w:t>
      </w:r>
      <w:r>
        <w:rPr>
          <w:rFonts w:hint="eastAsia"/>
          <w:bCs/>
          <w:color w:val="000000"/>
          <w:sz w:val="24"/>
        </w:rPr>
        <w:t>东和店镇</w:t>
      </w:r>
      <w:r>
        <w:rPr>
          <w:color w:val="000000"/>
          <w:sz w:val="24"/>
        </w:rPr>
        <w:t>饮用水水源地一级保护区最近距离约为6.9km，不在平舆县及</w:t>
      </w:r>
      <w:r>
        <w:rPr>
          <w:rFonts w:hint="eastAsia"/>
          <w:bCs/>
          <w:color w:val="000000"/>
          <w:sz w:val="24"/>
        </w:rPr>
        <w:t>东和店镇</w:t>
      </w:r>
      <w:r>
        <w:rPr>
          <w:color w:val="000000"/>
          <w:sz w:val="24"/>
        </w:rPr>
        <w:t>饮用水水源保护区范围内，项目的建设与平舆县及</w:t>
      </w:r>
      <w:r>
        <w:rPr>
          <w:rFonts w:hint="eastAsia"/>
          <w:bCs/>
          <w:color w:val="000000"/>
          <w:sz w:val="24"/>
        </w:rPr>
        <w:t>东和店镇</w:t>
      </w:r>
      <w:r>
        <w:rPr>
          <w:color w:val="000000"/>
          <w:sz w:val="24"/>
        </w:rPr>
        <w:t>饮用水水源地保护区划是相符的。</w:t>
      </w:r>
    </w:p>
    <w:p>
      <w:pPr>
        <w:tabs>
          <w:tab w:val="right" w:leader="dot" w:pos="8647"/>
        </w:tabs>
        <w:topLinePunct/>
        <w:spacing w:line="500" w:lineRule="exact"/>
        <w:rPr>
          <w:color w:val="000000"/>
          <w:szCs w:val="28"/>
        </w:rPr>
      </w:pPr>
      <w:r>
        <w:rPr>
          <w:color w:val="000000"/>
          <w:sz w:val="24"/>
        </w:rPr>
        <w:t>9.1.2.6 项目与《平舆县畜禽养殖禁养区限养区划定方案》相符性分析</w:t>
      </w:r>
    </w:p>
    <w:p>
      <w:pPr>
        <w:spacing w:line="520" w:lineRule="exact"/>
        <w:ind w:firstLine="480" w:firstLineChars="200"/>
        <w:rPr>
          <w:color w:val="000000"/>
          <w:sz w:val="24"/>
        </w:rPr>
      </w:pPr>
      <w:r>
        <w:rPr>
          <w:color w:val="000000"/>
          <w:sz w:val="24"/>
        </w:rPr>
        <w:t>本项目位于</w:t>
      </w:r>
      <w:r>
        <w:rPr>
          <w:bCs/>
          <w:color w:val="000000"/>
          <w:sz w:val="24"/>
        </w:rPr>
        <w:t>平舆县</w:t>
      </w:r>
      <w:r>
        <w:rPr>
          <w:rFonts w:hint="eastAsia"/>
          <w:bCs/>
          <w:color w:val="000000"/>
          <w:sz w:val="24"/>
        </w:rPr>
        <w:t>东和店镇邢岗村</w:t>
      </w:r>
      <w:r>
        <w:rPr>
          <w:color w:val="000000"/>
          <w:sz w:val="24"/>
        </w:rPr>
        <w:t>，场区四周均为农耕地，根据现场勘踏，项目所在地距离最近的村庄为</w:t>
      </w:r>
      <w:r>
        <w:rPr>
          <w:rFonts w:hint="eastAsia"/>
          <w:color w:val="000000"/>
          <w:sz w:val="24"/>
        </w:rPr>
        <w:t>东南</w:t>
      </w:r>
      <w:r>
        <w:rPr>
          <w:color w:val="000000"/>
          <w:sz w:val="24"/>
        </w:rPr>
        <w:t>侧</w:t>
      </w:r>
      <w:r>
        <w:rPr>
          <w:rFonts w:hint="eastAsia"/>
          <w:color w:val="000000"/>
          <w:sz w:val="24"/>
          <w:lang w:eastAsia="zh-CN"/>
        </w:rPr>
        <w:t>507</w:t>
      </w:r>
      <w:r>
        <w:rPr>
          <w:color w:val="000000"/>
          <w:sz w:val="24"/>
        </w:rPr>
        <w:t>m的</w:t>
      </w:r>
      <w:r>
        <w:rPr>
          <w:rFonts w:hint="eastAsia"/>
          <w:color w:val="000000"/>
          <w:sz w:val="24"/>
        </w:rPr>
        <w:t>邢寨村</w:t>
      </w:r>
      <w:r>
        <w:rPr>
          <w:color w:val="000000"/>
          <w:sz w:val="24"/>
        </w:rPr>
        <w:t>，不在平舆县划定的禁养区范围内，平舆县农业农村局关于本项目不在禁养区、限养区的证明见附件6，项目建设符合《平舆县畜禽养殖禁养区划分方案》要求，项目建设符合选址要求。</w:t>
      </w:r>
    </w:p>
    <w:p>
      <w:pPr>
        <w:spacing w:line="600" w:lineRule="exact"/>
        <w:outlineLvl w:val="2"/>
        <w:rPr>
          <w:b/>
          <w:color w:val="000000"/>
          <w:sz w:val="24"/>
        </w:rPr>
      </w:pPr>
      <w:r>
        <w:rPr>
          <w:b/>
          <w:color w:val="000000"/>
          <w:sz w:val="24"/>
        </w:rPr>
        <w:t>9.1.3 环境现状</w:t>
      </w:r>
    </w:p>
    <w:p>
      <w:pPr>
        <w:tabs>
          <w:tab w:val="right" w:leader="dot" w:pos="8647"/>
        </w:tabs>
        <w:topLinePunct/>
        <w:spacing w:line="500" w:lineRule="exact"/>
        <w:rPr>
          <w:b/>
          <w:bCs/>
          <w:color w:val="000000" w:themeColor="text1"/>
          <w:sz w:val="24"/>
          <w:u w:val="single"/>
        </w:rPr>
      </w:pPr>
      <w:r>
        <w:rPr>
          <w:b/>
          <w:bCs/>
          <w:color w:val="000000" w:themeColor="text1"/>
          <w:sz w:val="24"/>
          <w:u w:val="single"/>
        </w:rPr>
        <w:t>9.1.3.1 地表水</w:t>
      </w:r>
    </w:p>
    <w:p>
      <w:pPr>
        <w:topLinePunct/>
        <w:autoSpaceDE w:val="0"/>
        <w:spacing w:line="500" w:lineRule="exact"/>
        <w:jc w:val="left"/>
        <w:rPr>
          <w:b/>
          <w:bCs/>
          <w:color w:val="000000"/>
          <w:sz w:val="24"/>
          <w:u w:val="single"/>
        </w:rPr>
      </w:pPr>
      <w:r>
        <w:rPr>
          <w:b/>
          <w:bCs/>
          <w:color w:val="000000" w:themeColor="text1"/>
          <w:sz w:val="24"/>
          <w:u w:val="single"/>
        </w:rPr>
        <w:t>项目厂区</w:t>
      </w:r>
      <w:r>
        <w:rPr>
          <w:rFonts w:hint="eastAsia"/>
          <w:b/>
          <w:bCs/>
          <w:color w:val="000000" w:themeColor="text1"/>
          <w:sz w:val="24"/>
          <w:u w:val="single"/>
        </w:rPr>
        <w:t>西</w:t>
      </w:r>
      <w:r>
        <w:rPr>
          <w:b/>
          <w:bCs/>
          <w:color w:val="000000" w:themeColor="text1"/>
          <w:sz w:val="24"/>
          <w:u w:val="single"/>
        </w:rPr>
        <w:t>侧</w:t>
      </w:r>
      <w:r>
        <w:rPr>
          <w:rFonts w:hint="eastAsia"/>
          <w:b/>
          <w:bCs/>
          <w:color w:val="000000" w:themeColor="text1"/>
          <w:sz w:val="24"/>
          <w:u w:val="single"/>
        </w:rPr>
        <w:t>583</w:t>
      </w:r>
      <w:r>
        <w:rPr>
          <w:b/>
          <w:bCs/>
          <w:color w:val="000000" w:themeColor="text1"/>
          <w:sz w:val="24"/>
          <w:u w:val="single"/>
        </w:rPr>
        <w:t>m处为</w:t>
      </w:r>
      <w:r>
        <w:rPr>
          <w:rFonts w:hint="eastAsia"/>
          <w:b/>
          <w:bCs/>
          <w:color w:val="000000" w:themeColor="text1"/>
          <w:sz w:val="24"/>
          <w:u w:val="single"/>
        </w:rPr>
        <w:t>大黄港</w:t>
      </w:r>
      <w:r>
        <w:rPr>
          <w:b/>
          <w:bCs/>
          <w:color w:val="000000" w:themeColor="text1"/>
          <w:sz w:val="24"/>
          <w:u w:val="single"/>
        </w:rPr>
        <w:t>河。根据监测，</w:t>
      </w:r>
      <w:r>
        <w:rPr>
          <w:rFonts w:hint="eastAsia"/>
          <w:b/>
          <w:bCs/>
          <w:color w:val="000000" w:themeColor="text1"/>
          <w:sz w:val="24"/>
          <w:u w:val="single"/>
        </w:rPr>
        <w:t>大黄港河</w:t>
      </w:r>
      <w:r>
        <w:rPr>
          <w:b/>
          <w:bCs/>
          <w:color w:val="000000" w:themeColor="text1"/>
          <w:sz w:val="24"/>
          <w:u w:val="single"/>
        </w:rPr>
        <w:t>监测点位的监测因子能满足《地表水环境质量标准》（GB</w:t>
      </w:r>
      <w:r>
        <w:rPr>
          <w:b/>
          <w:bCs/>
          <w:color w:val="000000"/>
          <w:sz w:val="24"/>
          <w:u w:val="single"/>
        </w:rPr>
        <w:t>3838-2002）中</w:t>
      </w:r>
      <w:r>
        <w:rPr>
          <w:rFonts w:hint="eastAsia" w:ascii="宋体" w:hAnsi="宋体" w:cs="宋体"/>
          <w:b/>
          <w:bCs/>
          <w:color w:val="000000"/>
          <w:sz w:val="24"/>
          <w:u w:val="single"/>
        </w:rPr>
        <w:t>Ⅲ</w:t>
      </w:r>
      <w:r>
        <w:rPr>
          <w:b/>
          <w:bCs/>
          <w:color w:val="000000"/>
          <w:sz w:val="24"/>
          <w:u w:val="single"/>
        </w:rPr>
        <w:t>类水质标准要求。</w:t>
      </w:r>
    </w:p>
    <w:p>
      <w:pPr>
        <w:topLinePunct/>
        <w:autoSpaceDE w:val="0"/>
        <w:spacing w:line="500" w:lineRule="exact"/>
        <w:jc w:val="left"/>
        <w:rPr>
          <w:b/>
          <w:bCs/>
          <w:color w:val="000000" w:themeColor="text1"/>
          <w:sz w:val="24"/>
          <w:u w:val="single"/>
        </w:rPr>
      </w:pPr>
      <w:r>
        <w:rPr>
          <w:b/>
          <w:bCs/>
          <w:color w:val="000000" w:themeColor="text1"/>
          <w:sz w:val="24"/>
          <w:u w:val="single"/>
        </w:rPr>
        <w:t>9.1.3.2 环境空气</w:t>
      </w:r>
    </w:p>
    <w:p>
      <w:pPr>
        <w:topLinePunct/>
        <w:spacing w:line="500" w:lineRule="exact"/>
        <w:ind w:firstLine="482" w:firstLineChars="200"/>
        <w:rPr>
          <w:b/>
          <w:bCs/>
          <w:color w:val="000000" w:themeColor="text1"/>
          <w:sz w:val="24"/>
          <w:u w:val="single"/>
        </w:rPr>
      </w:pPr>
      <w:r>
        <w:rPr>
          <w:b/>
          <w:bCs/>
          <w:color w:val="000000" w:themeColor="text1"/>
          <w:sz w:val="24"/>
          <w:szCs w:val="28"/>
          <w:u w:val="single"/>
        </w:rPr>
        <w:t>由监测结果可知，各监测点位SO</w:t>
      </w:r>
      <w:r>
        <w:rPr>
          <w:b/>
          <w:bCs/>
          <w:color w:val="000000" w:themeColor="text1"/>
          <w:sz w:val="24"/>
          <w:szCs w:val="28"/>
          <w:u w:val="single"/>
          <w:vertAlign w:val="subscript"/>
        </w:rPr>
        <w:t>2</w:t>
      </w:r>
      <w:r>
        <w:rPr>
          <w:b/>
          <w:bCs/>
          <w:color w:val="000000" w:themeColor="text1"/>
          <w:sz w:val="24"/>
          <w:szCs w:val="28"/>
          <w:u w:val="single"/>
        </w:rPr>
        <w:t>、NO</w:t>
      </w:r>
      <w:r>
        <w:rPr>
          <w:b/>
          <w:bCs/>
          <w:color w:val="000000" w:themeColor="text1"/>
          <w:sz w:val="24"/>
          <w:szCs w:val="28"/>
          <w:u w:val="single"/>
          <w:vertAlign w:val="subscript"/>
        </w:rPr>
        <w:t>2</w:t>
      </w:r>
      <w:r>
        <w:rPr>
          <w:b/>
          <w:bCs/>
          <w:color w:val="000000" w:themeColor="text1"/>
          <w:sz w:val="24"/>
          <w:szCs w:val="28"/>
          <w:u w:val="single"/>
        </w:rPr>
        <w:t>、TSP、PM</w:t>
      </w:r>
      <w:r>
        <w:rPr>
          <w:b/>
          <w:bCs/>
          <w:color w:val="000000" w:themeColor="text1"/>
          <w:sz w:val="24"/>
          <w:szCs w:val="28"/>
          <w:u w:val="single"/>
          <w:vertAlign w:val="subscript"/>
        </w:rPr>
        <w:t>2.5</w:t>
      </w:r>
      <w:r>
        <w:rPr>
          <w:b/>
          <w:bCs/>
          <w:color w:val="000000" w:themeColor="text1"/>
          <w:sz w:val="24"/>
          <w:szCs w:val="28"/>
          <w:u w:val="single"/>
        </w:rPr>
        <w:t>、PM</w:t>
      </w:r>
      <w:r>
        <w:rPr>
          <w:b/>
          <w:bCs/>
          <w:color w:val="000000" w:themeColor="text1"/>
          <w:sz w:val="24"/>
          <w:szCs w:val="28"/>
          <w:u w:val="single"/>
          <w:vertAlign w:val="subscript"/>
        </w:rPr>
        <w:t>10</w:t>
      </w:r>
      <w:r>
        <w:rPr>
          <w:b/>
          <w:bCs/>
          <w:color w:val="000000" w:themeColor="text1"/>
          <w:sz w:val="24"/>
          <w:szCs w:val="28"/>
          <w:u w:val="single"/>
        </w:rPr>
        <w:t>均能满足《环境空气质量标准》</w:t>
      </w:r>
      <w:r>
        <w:rPr>
          <w:b/>
          <w:bCs/>
          <w:color w:val="000000" w:themeColor="text1"/>
          <w:sz w:val="24"/>
          <w:u w:val="single"/>
        </w:rPr>
        <w:t>（GB3095-2012）中二级标准要求</w:t>
      </w:r>
      <w:r>
        <w:rPr>
          <w:b/>
          <w:bCs/>
          <w:color w:val="000000" w:themeColor="text1"/>
          <w:sz w:val="24"/>
          <w:szCs w:val="28"/>
          <w:u w:val="single"/>
        </w:rPr>
        <w:t>；各监测点位NH</w:t>
      </w:r>
      <w:r>
        <w:rPr>
          <w:b/>
          <w:bCs/>
          <w:color w:val="000000" w:themeColor="text1"/>
          <w:sz w:val="24"/>
          <w:szCs w:val="28"/>
          <w:u w:val="single"/>
          <w:vertAlign w:val="subscript"/>
        </w:rPr>
        <w:t>3</w:t>
      </w:r>
      <w:r>
        <w:rPr>
          <w:b/>
          <w:bCs/>
          <w:color w:val="000000" w:themeColor="text1"/>
          <w:sz w:val="24"/>
          <w:szCs w:val="28"/>
          <w:u w:val="single"/>
        </w:rPr>
        <w:t>、H</w:t>
      </w:r>
      <w:r>
        <w:rPr>
          <w:b/>
          <w:bCs/>
          <w:color w:val="000000" w:themeColor="text1"/>
          <w:sz w:val="24"/>
          <w:szCs w:val="28"/>
          <w:u w:val="single"/>
          <w:vertAlign w:val="subscript"/>
        </w:rPr>
        <w:t>2</w:t>
      </w:r>
      <w:r>
        <w:rPr>
          <w:b/>
          <w:bCs/>
          <w:color w:val="000000" w:themeColor="text1"/>
          <w:sz w:val="24"/>
          <w:szCs w:val="28"/>
          <w:u w:val="single"/>
        </w:rPr>
        <w:t>S均符合《环境影响评价技术导则 大气环境（HJ2.2-2018）》中附录D中居住区大气中有害物质的最高允许浓度限值。</w:t>
      </w:r>
    </w:p>
    <w:p>
      <w:pPr>
        <w:tabs>
          <w:tab w:val="right" w:leader="dot" w:pos="8647"/>
        </w:tabs>
        <w:topLinePunct/>
        <w:spacing w:line="500" w:lineRule="exact"/>
        <w:rPr>
          <w:b/>
          <w:bCs/>
          <w:color w:val="000000" w:themeColor="text1"/>
          <w:sz w:val="24"/>
          <w:u w:val="single"/>
        </w:rPr>
      </w:pPr>
      <w:r>
        <w:rPr>
          <w:b/>
          <w:bCs/>
          <w:color w:val="000000" w:themeColor="text1"/>
          <w:sz w:val="24"/>
          <w:u w:val="single"/>
        </w:rPr>
        <w:t>9.1.3.3 地下水</w:t>
      </w:r>
    </w:p>
    <w:p>
      <w:pPr>
        <w:topLinePunct/>
        <w:spacing w:line="500" w:lineRule="exact"/>
        <w:ind w:firstLine="482" w:firstLineChars="200"/>
        <w:rPr>
          <w:b/>
          <w:bCs/>
          <w:color w:val="000000" w:themeColor="text1"/>
          <w:kern w:val="0"/>
          <w:sz w:val="24"/>
          <w:u w:val="single"/>
        </w:rPr>
      </w:pPr>
      <w:r>
        <w:rPr>
          <w:b/>
          <w:bCs/>
          <w:color w:val="000000" w:themeColor="text1"/>
          <w:sz w:val="24"/>
          <w:szCs w:val="28"/>
          <w:u w:val="single"/>
        </w:rPr>
        <w:t>由监测结果可知，</w:t>
      </w:r>
      <w:r>
        <w:rPr>
          <w:b/>
          <w:bCs/>
          <w:color w:val="000000" w:themeColor="text1"/>
          <w:sz w:val="24"/>
          <w:u w:val="single"/>
        </w:rPr>
        <w:t>各监测点位监测因子均满足《地下水质量标准》（GB/T 14848-2017）中的</w:t>
      </w:r>
      <w:r>
        <w:rPr>
          <w:b/>
          <w:bCs/>
          <w:color w:val="000000" w:themeColor="text1"/>
          <w:sz w:val="24"/>
          <w:u w:val="single"/>
        </w:rPr>
        <w:fldChar w:fldCharType="begin"/>
      </w:r>
      <w:r>
        <w:rPr>
          <w:b/>
          <w:bCs/>
          <w:color w:val="000000" w:themeColor="text1"/>
          <w:sz w:val="24"/>
          <w:u w:val="single"/>
        </w:rPr>
        <w:instrText xml:space="preserve"> = 3 \* ROMAN </w:instrText>
      </w:r>
      <w:r>
        <w:rPr>
          <w:b/>
          <w:bCs/>
          <w:color w:val="000000" w:themeColor="text1"/>
          <w:sz w:val="24"/>
          <w:u w:val="single"/>
        </w:rPr>
        <w:fldChar w:fldCharType="separate"/>
      </w:r>
      <w:r>
        <w:rPr>
          <w:b/>
          <w:bCs/>
          <w:color w:val="000000" w:themeColor="text1"/>
          <w:sz w:val="24"/>
          <w:u w:val="single"/>
        </w:rPr>
        <w:t>III</w:t>
      </w:r>
      <w:r>
        <w:rPr>
          <w:b/>
          <w:bCs/>
          <w:color w:val="000000" w:themeColor="text1"/>
          <w:sz w:val="24"/>
          <w:u w:val="single"/>
        </w:rPr>
        <w:fldChar w:fldCharType="end"/>
      </w:r>
      <w:r>
        <w:rPr>
          <w:b/>
          <w:bCs/>
          <w:color w:val="000000" w:themeColor="text1"/>
          <w:sz w:val="24"/>
          <w:u w:val="single"/>
        </w:rPr>
        <w:t>类标准</w:t>
      </w:r>
      <w:r>
        <w:rPr>
          <w:b/>
          <w:bCs/>
          <w:color w:val="000000" w:themeColor="text1"/>
          <w:szCs w:val="28"/>
          <w:u w:val="single"/>
        </w:rPr>
        <w:t>。</w:t>
      </w:r>
    </w:p>
    <w:p>
      <w:pPr>
        <w:tabs>
          <w:tab w:val="right" w:leader="dot" w:pos="8647"/>
        </w:tabs>
        <w:topLinePunct/>
        <w:spacing w:line="500" w:lineRule="exact"/>
        <w:rPr>
          <w:b/>
          <w:bCs/>
          <w:color w:val="000000" w:themeColor="text1"/>
          <w:sz w:val="24"/>
          <w:u w:val="single"/>
        </w:rPr>
      </w:pPr>
      <w:r>
        <w:rPr>
          <w:b/>
          <w:bCs/>
          <w:color w:val="000000" w:themeColor="text1"/>
          <w:sz w:val="24"/>
          <w:u w:val="single"/>
        </w:rPr>
        <w:t>9.1.3.4 声环境</w:t>
      </w:r>
    </w:p>
    <w:p>
      <w:pPr>
        <w:tabs>
          <w:tab w:val="right" w:leader="dot" w:pos="8647"/>
        </w:tabs>
        <w:topLinePunct/>
        <w:spacing w:line="500" w:lineRule="exact"/>
        <w:ind w:firstLine="723" w:firstLineChars="300"/>
        <w:rPr>
          <w:b/>
          <w:bCs/>
          <w:color w:val="000000" w:themeColor="text1"/>
          <w:sz w:val="24"/>
          <w:u w:val="single"/>
        </w:rPr>
      </w:pPr>
      <w:r>
        <w:rPr>
          <w:b/>
          <w:bCs/>
          <w:color w:val="000000" w:themeColor="text1"/>
          <w:sz w:val="24"/>
          <w:u w:val="single"/>
        </w:rPr>
        <w:t>项目场界昼、夜噪声监测值均可以满足《声环境质量标准》(GB3096-2008)2类标准要求。</w:t>
      </w:r>
    </w:p>
    <w:p>
      <w:pPr>
        <w:tabs>
          <w:tab w:val="right" w:leader="dot" w:pos="8647"/>
        </w:tabs>
        <w:topLinePunct/>
        <w:spacing w:line="500" w:lineRule="exact"/>
        <w:rPr>
          <w:b/>
          <w:bCs/>
          <w:color w:val="000000" w:themeColor="text1"/>
          <w:sz w:val="24"/>
          <w:u w:val="single"/>
        </w:rPr>
      </w:pPr>
      <w:r>
        <w:rPr>
          <w:b/>
          <w:bCs/>
          <w:color w:val="000000" w:themeColor="text1"/>
          <w:sz w:val="24"/>
          <w:u w:val="single"/>
        </w:rPr>
        <w:t>9.1.3.5 土壤</w:t>
      </w:r>
    </w:p>
    <w:p>
      <w:pPr>
        <w:tabs>
          <w:tab w:val="right" w:leader="dot" w:pos="8647"/>
        </w:tabs>
        <w:topLinePunct/>
        <w:autoSpaceDE w:val="0"/>
        <w:adjustRightInd w:val="0"/>
        <w:spacing w:line="500" w:lineRule="exact"/>
        <w:ind w:firstLine="487" w:firstLineChars="202"/>
        <w:rPr>
          <w:b/>
          <w:bCs/>
          <w:color w:val="000000" w:themeColor="text1"/>
          <w:sz w:val="24"/>
          <w:u w:val="single"/>
        </w:rPr>
      </w:pPr>
      <w:r>
        <w:rPr>
          <w:b/>
          <w:bCs/>
          <w:color w:val="000000" w:themeColor="text1"/>
          <w:kern w:val="0"/>
          <w:sz w:val="24"/>
          <w:u w:val="single"/>
        </w:rPr>
        <w:t>项目场区及沼液消纳区土壤各监测因子均能满足</w:t>
      </w:r>
      <w:r>
        <w:rPr>
          <w:b/>
          <w:bCs/>
          <w:sz w:val="24"/>
          <w:u w:val="single"/>
        </w:rPr>
        <w:t>《土壤环境质量农用地土壤污染风险管控标准》</w:t>
      </w:r>
      <w:r>
        <w:rPr>
          <w:b/>
          <w:bCs/>
          <w:color w:val="000000" w:themeColor="text1"/>
          <w:sz w:val="24"/>
          <w:u w:val="single"/>
        </w:rPr>
        <w:t>（GB15618-2018）中二级标准要求。</w:t>
      </w:r>
    </w:p>
    <w:p>
      <w:pPr>
        <w:tabs>
          <w:tab w:val="right" w:leader="dot" w:pos="8647"/>
        </w:tabs>
        <w:autoSpaceDE w:val="0"/>
        <w:autoSpaceDN w:val="0"/>
        <w:adjustRightInd w:val="0"/>
        <w:spacing w:line="500" w:lineRule="exact"/>
        <w:ind w:firstLine="487" w:firstLineChars="202"/>
        <w:rPr>
          <w:rFonts w:ascii="Times New Roman" w:hAnsi="Times New Roman" w:cs="Times New Roman"/>
          <w:b/>
          <w:bCs/>
          <w:color w:val="000000" w:themeColor="text1"/>
          <w:kern w:val="0"/>
          <w:sz w:val="24"/>
          <w:u w:val="single"/>
        </w:rPr>
      </w:pPr>
      <w:r>
        <w:rPr>
          <w:rFonts w:hint="eastAsia" w:ascii="Times New Roman" w:hAnsi="Times New Roman"/>
          <w:b/>
          <w:bCs/>
          <w:kern w:val="0"/>
          <w:sz w:val="24"/>
          <w:szCs w:val="24"/>
          <w:u w:val="single"/>
          <w:lang w:eastAsia="zh-CN"/>
        </w:rPr>
        <w:t>综上，项目选址区域现状能够满足相关标准要求，同时能够满足《畜禽养殖产地环境评价规范》（HJ568-2010）中</w:t>
      </w:r>
      <w:r>
        <w:rPr>
          <w:rFonts w:hint="default" w:ascii="Times New Roman" w:hAnsi="Times New Roman"/>
          <w:b/>
          <w:bCs/>
          <w:kern w:val="0"/>
          <w:sz w:val="24"/>
          <w:szCs w:val="24"/>
          <w:u w:val="single"/>
        </w:rPr>
        <w:t>土壤环境质量评价指标限值</w:t>
      </w:r>
      <w:r>
        <w:rPr>
          <w:rFonts w:hint="eastAsia" w:ascii="Times New Roman" w:hAnsi="Times New Roman"/>
          <w:b/>
          <w:bCs/>
          <w:kern w:val="0"/>
          <w:sz w:val="24"/>
          <w:szCs w:val="24"/>
          <w:u w:val="single"/>
          <w:lang w:eastAsia="zh-CN"/>
        </w:rPr>
        <w:t>、环境空气质量评价指标限值和声环境质量评价指标限值的要求。</w:t>
      </w:r>
    </w:p>
    <w:p>
      <w:pPr>
        <w:spacing w:line="600" w:lineRule="exact"/>
        <w:outlineLvl w:val="2"/>
        <w:rPr>
          <w:b/>
          <w:color w:val="000000"/>
          <w:sz w:val="24"/>
        </w:rPr>
      </w:pPr>
      <w:r>
        <w:rPr>
          <w:b/>
          <w:color w:val="000000"/>
          <w:sz w:val="24"/>
        </w:rPr>
        <w:t>9.1.4 污染防治措施</w:t>
      </w:r>
    </w:p>
    <w:p>
      <w:pPr>
        <w:tabs>
          <w:tab w:val="right" w:leader="dot" w:pos="8647"/>
        </w:tabs>
        <w:topLinePunct/>
        <w:spacing w:line="500" w:lineRule="exact"/>
        <w:rPr>
          <w:color w:val="000000"/>
          <w:sz w:val="24"/>
        </w:rPr>
      </w:pPr>
      <w:r>
        <w:rPr>
          <w:color w:val="000000"/>
          <w:sz w:val="24"/>
        </w:rPr>
        <w:t>9.1.4.1 废气</w:t>
      </w:r>
    </w:p>
    <w:p>
      <w:pPr>
        <w:tabs>
          <w:tab w:val="right" w:leader="dot" w:pos="8647"/>
        </w:tabs>
        <w:topLinePunct/>
        <w:spacing w:line="500" w:lineRule="exact"/>
        <w:ind w:firstLine="480" w:firstLineChars="200"/>
        <w:rPr>
          <w:color w:val="000000"/>
          <w:sz w:val="24"/>
        </w:rPr>
      </w:pPr>
      <w:r>
        <w:rPr>
          <w:color w:val="000000"/>
          <w:sz w:val="24"/>
        </w:rPr>
        <w:t>项目全场产生废气为猪舍、污水处理系统、固粪处置区、沼液储存池等产生的恶臭气体、沼气燃烧废气、无害化处理废气等。</w:t>
      </w:r>
    </w:p>
    <w:p>
      <w:pPr>
        <w:tabs>
          <w:tab w:val="right" w:leader="dot" w:pos="8647"/>
        </w:tabs>
        <w:topLinePunct/>
        <w:spacing w:line="500" w:lineRule="exact"/>
        <w:ind w:firstLine="480" w:firstLineChars="200"/>
        <w:rPr>
          <w:color w:val="000000"/>
          <w:sz w:val="24"/>
        </w:rPr>
      </w:pPr>
      <w:r>
        <w:rPr>
          <w:color w:val="000000"/>
          <w:sz w:val="24"/>
        </w:rPr>
        <w:t>废气根据不同产生单元，采取相应的处理方式，</w:t>
      </w:r>
      <w:r>
        <w:rPr>
          <w:rFonts w:hint="eastAsia" w:ascii="宋体" w:hAnsi="宋体" w:cs="宋体"/>
          <w:color w:val="000000"/>
          <w:sz w:val="24"/>
        </w:rPr>
        <w:t>①</w:t>
      </w:r>
      <w:r>
        <w:rPr>
          <w:color w:val="000000"/>
          <w:sz w:val="24"/>
        </w:rPr>
        <w:t>猪舍：猪舍定期冲洗、喷洒除臭剂，饲料添加除臭剂；</w:t>
      </w:r>
      <w:r>
        <w:rPr>
          <w:rFonts w:hint="eastAsia" w:ascii="宋体" w:hAnsi="宋体" w:cs="宋体"/>
          <w:color w:val="000000"/>
          <w:sz w:val="24"/>
        </w:rPr>
        <w:t>②</w:t>
      </w:r>
      <w:r>
        <w:rPr>
          <w:color w:val="000000"/>
          <w:sz w:val="24"/>
        </w:rPr>
        <w:t>污水处理系统、粪污处理过程喷洒除臭剂：</w:t>
      </w:r>
      <w:r>
        <w:rPr>
          <w:rFonts w:hint="eastAsia" w:ascii="宋体" w:hAnsi="宋体" w:cs="宋体"/>
          <w:color w:val="000000"/>
          <w:sz w:val="24"/>
        </w:rPr>
        <w:t>③</w:t>
      </w:r>
      <w:r>
        <w:rPr>
          <w:color w:val="000000"/>
          <w:sz w:val="24"/>
        </w:rPr>
        <w:t>臭气产生单元周围加强绿化工作。</w:t>
      </w:r>
    </w:p>
    <w:p>
      <w:pPr>
        <w:tabs>
          <w:tab w:val="right" w:leader="dot" w:pos="8647"/>
        </w:tabs>
        <w:topLinePunct/>
        <w:spacing w:line="500" w:lineRule="exact"/>
        <w:ind w:firstLine="480" w:firstLineChars="200"/>
        <w:rPr>
          <w:color w:val="000000"/>
          <w:sz w:val="24"/>
        </w:rPr>
      </w:pPr>
      <w:r>
        <w:rPr>
          <w:color w:val="000000"/>
          <w:sz w:val="24"/>
        </w:rPr>
        <w:t>通过各项防护措施后，经预测场界废气均能达标排放，场区周围各敏感目标处可满足《环境影响评价技术导则 大气环境（HJ2.2-2018</w:t>
      </w:r>
      <w:r>
        <w:rPr>
          <w:color w:val="000000"/>
        </w:rPr>
        <w:t>）》</w:t>
      </w:r>
      <w:r>
        <w:rPr>
          <w:color w:val="000000"/>
          <w:sz w:val="24"/>
        </w:rPr>
        <w:t>中附录D中的表1居住区大气中有害物质的最高容许浓度要求，废气在对周围环境的影响较小。</w:t>
      </w:r>
    </w:p>
    <w:p>
      <w:pPr>
        <w:tabs>
          <w:tab w:val="right" w:leader="dot" w:pos="8647"/>
        </w:tabs>
        <w:topLinePunct/>
        <w:spacing w:line="500" w:lineRule="exact"/>
        <w:rPr>
          <w:color w:val="000000"/>
          <w:sz w:val="24"/>
        </w:rPr>
      </w:pPr>
      <w:r>
        <w:rPr>
          <w:color w:val="000000"/>
          <w:sz w:val="24"/>
        </w:rPr>
        <w:t>9.1.4.2 废水</w:t>
      </w:r>
    </w:p>
    <w:p>
      <w:pPr>
        <w:tabs>
          <w:tab w:val="right" w:leader="dot" w:pos="8647"/>
        </w:tabs>
        <w:topLinePunct/>
        <w:adjustRightInd w:val="0"/>
        <w:snapToGrid w:val="0"/>
        <w:spacing w:line="500" w:lineRule="exact"/>
        <w:ind w:firstLine="480" w:firstLineChars="200"/>
        <w:rPr>
          <w:color w:val="000000"/>
          <w:sz w:val="24"/>
        </w:rPr>
      </w:pPr>
      <w:r>
        <w:rPr>
          <w:color w:val="000000"/>
          <w:sz w:val="24"/>
        </w:rPr>
        <w:t>项目废水主要为养殖废水、生活污水。</w:t>
      </w:r>
      <w:r>
        <w:rPr>
          <w:bCs/>
          <w:color w:val="000000"/>
          <w:sz w:val="24"/>
        </w:rPr>
        <w:t>全场废水总量为72737.2m</w:t>
      </w:r>
      <w:r>
        <w:rPr>
          <w:bCs/>
          <w:color w:val="000000"/>
          <w:sz w:val="24"/>
          <w:vertAlign w:val="superscript"/>
        </w:rPr>
        <w:t>3</w:t>
      </w:r>
      <w:r>
        <w:rPr>
          <w:bCs/>
          <w:color w:val="000000"/>
          <w:sz w:val="24"/>
        </w:rPr>
        <w:t>/a。全场废水经污水处理系统处理后做农肥。</w:t>
      </w:r>
    </w:p>
    <w:p>
      <w:pPr>
        <w:tabs>
          <w:tab w:val="right" w:leader="dot" w:pos="8647"/>
        </w:tabs>
        <w:topLinePunct/>
        <w:spacing w:line="500" w:lineRule="exact"/>
        <w:ind w:firstLine="360" w:firstLineChars="150"/>
        <w:rPr>
          <w:color w:val="000000"/>
          <w:sz w:val="24"/>
        </w:rPr>
      </w:pPr>
      <w:r>
        <w:rPr>
          <w:color w:val="000000"/>
          <w:sz w:val="24"/>
        </w:rPr>
        <w:t>经上述措施处理后，废水实现资源化利用不排入地表水体，措施可行。</w:t>
      </w:r>
    </w:p>
    <w:p>
      <w:pPr>
        <w:tabs>
          <w:tab w:val="right" w:leader="dot" w:pos="8647"/>
        </w:tabs>
        <w:topLinePunct/>
        <w:spacing w:line="500" w:lineRule="exact"/>
        <w:rPr>
          <w:color w:val="000000"/>
          <w:sz w:val="24"/>
        </w:rPr>
      </w:pPr>
      <w:r>
        <w:rPr>
          <w:color w:val="000000"/>
          <w:sz w:val="24"/>
        </w:rPr>
        <w:t>9.1.4.3 噪声</w:t>
      </w:r>
    </w:p>
    <w:p>
      <w:pPr>
        <w:tabs>
          <w:tab w:val="right" w:leader="dot" w:pos="8647"/>
        </w:tabs>
        <w:topLinePunct/>
        <w:spacing w:line="500" w:lineRule="exact"/>
        <w:ind w:firstLine="480"/>
        <w:rPr>
          <w:color w:val="000000"/>
          <w:sz w:val="24"/>
        </w:rPr>
      </w:pPr>
      <w:r>
        <w:rPr>
          <w:bCs/>
          <w:color w:val="000000"/>
          <w:sz w:val="24"/>
        </w:rPr>
        <w:t>全场噪声主要为猪猪叫声、猪舍降温配套负压风机、粪污处理设施等设备运行时产生的噪声，根据类比调查，其源强为70～85dB(A)。</w:t>
      </w:r>
      <w:r>
        <w:rPr>
          <w:color w:val="000000"/>
          <w:sz w:val="24"/>
        </w:rPr>
        <w:t>在采取相应的隔声减振措施后，全场噪声能够达标排放，措施可行。</w:t>
      </w:r>
    </w:p>
    <w:p>
      <w:pPr>
        <w:tabs>
          <w:tab w:val="right" w:leader="dot" w:pos="8647"/>
        </w:tabs>
        <w:topLinePunct/>
        <w:spacing w:line="500" w:lineRule="exact"/>
        <w:rPr>
          <w:color w:val="000000"/>
          <w:sz w:val="24"/>
        </w:rPr>
      </w:pPr>
      <w:r>
        <w:rPr>
          <w:color w:val="000000"/>
          <w:sz w:val="24"/>
        </w:rPr>
        <w:t>9.1.4.4 固体废物</w:t>
      </w:r>
    </w:p>
    <w:p>
      <w:pPr>
        <w:tabs>
          <w:tab w:val="right" w:leader="dot" w:pos="8647"/>
        </w:tabs>
        <w:topLinePunct/>
        <w:spacing w:line="500" w:lineRule="exact"/>
        <w:ind w:firstLine="480" w:firstLineChars="200"/>
        <w:rPr>
          <w:color w:val="000000"/>
          <w:sz w:val="24"/>
        </w:rPr>
      </w:pPr>
      <w:r>
        <w:rPr>
          <w:color w:val="000000"/>
          <w:sz w:val="24"/>
        </w:rPr>
        <w:t>全场猪粪在场区内固粪处理区进行发酵，制成有机肥基肥直接出售。沼渣晾晒后作为有机肥基肥外售。病死猪尸每天由密闭罐车运送至场区内自建无害化处理中</w:t>
      </w:r>
      <w:r>
        <w:rPr>
          <w:szCs w:val="21"/>
        </w:rPr>
        <w:t>心</w:t>
      </w:r>
      <w:r>
        <w:rPr>
          <w:color w:val="000000"/>
          <w:sz w:val="24"/>
        </w:rPr>
        <w:t>处理；医疗废物定期交由新蔡县中绿环保科技有限公司处置；废脱硫剂由生产厂家统一回收处置；生活垃圾外运至垃圾处理场进行处理。</w:t>
      </w:r>
    </w:p>
    <w:p>
      <w:pPr>
        <w:spacing w:line="600" w:lineRule="exact"/>
        <w:outlineLvl w:val="2"/>
        <w:rPr>
          <w:b/>
          <w:color w:val="000000"/>
          <w:sz w:val="24"/>
        </w:rPr>
      </w:pPr>
      <w:r>
        <w:rPr>
          <w:b/>
          <w:color w:val="000000"/>
          <w:sz w:val="24"/>
        </w:rPr>
        <w:t>9.1.5 环境影响预测与评价</w:t>
      </w:r>
    </w:p>
    <w:p>
      <w:pPr>
        <w:tabs>
          <w:tab w:val="right" w:leader="dot" w:pos="8647"/>
        </w:tabs>
        <w:topLinePunct/>
        <w:spacing w:line="500" w:lineRule="exact"/>
        <w:rPr>
          <w:color w:val="000000"/>
          <w:sz w:val="24"/>
        </w:rPr>
      </w:pPr>
      <w:r>
        <w:rPr>
          <w:color w:val="000000"/>
          <w:sz w:val="24"/>
        </w:rPr>
        <w:t>9.1.5.1地表水</w:t>
      </w:r>
    </w:p>
    <w:p>
      <w:pPr>
        <w:tabs>
          <w:tab w:val="right" w:leader="dot" w:pos="8647"/>
        </w:tabs>
        <w:topLinePunct/>
        <w:spacing w:line="500" w:lineRule="exact"/>
        <w:ind w:firstLine="480" w:firstLineChars="200"/>
        <w:rPr>
          <w:color w:val="000000"/>
          <w:sz w:val="24"/>
        </w:rPr>
      </w:pPr>
      <w:r>
        <w:rPr>
          <w:rFonts w:hint="eastAsia" w:ascii="宋体" w:hAnsi="宋体" w:cs="宋体"/>
          <w:color w:val="000000"/>
          <w:sz w:val="24"/>
        </w:rPr>
        <w:t>①</w:t>
      </w:r>
      <w:r>
        <w:rPr>
          <w:color w:val="000000"/>
          <w:sz w:val="24"/>
        </w:rPr>
        <w:t>正常工况</w:t>
      </w:r>
    </w:p>
    <w:p>
      <w:pPr>
        <w:tabs>
          <w:tab w:val="right" w:leader="dot" w:pos="8647"/>
        </w:tabs>
        <w:topLinePunct/>
        <w:adjustRightInd w:val="0"/>
        <w:snapToGrid w:val="0"/>
        <w:spacing w:line="500" w:lineRule="exact"/>
        <w:ind w:left="47" w:firstLine="480" w:firstLineChars="200"/>
        <w:rPr>
          <w:color w:val="000000"/>
          <w:sz w:val="24"/>
        </w:rPr>
      </w:pPr>
      <w:r>
        <w:rPr>
          <w:color w:val="000000"/>
          <w:sz w:val="24"/>
        </w:rPr>
        <w:t>由工程分析可知，项目全场废水属高浓度有机废水，经场区内污水处理站厌氧处理后，沼液作为农肥施于配套农田，因此项目废水对地表水无影响。</w:t>
      </w:r>
    </w:p>
    <w:p>
      <w:pPr>
        <w:tabs>
          <w:tab w:val="right" w:leader="dot" w:pos="8647"/>
        </w:tabs>
        <w:topLinePunct/>
        <w:adjustRightInd w:val="0"/>
        <w:snapToGrid w:val="0"/>
        <w:spacing w:line="500" w:lineRule="exact"/>
        <w:ind w:firstLine="480" w:firstLineChars="200"/>
        <w:rPr>
          <w:color w:val="000000"/>
          <w:sz w:val="24"/>
        </w:rPr>
      </w:pPr>
      <w:r>
        <w:rPr>
          <w:rFonts w:hint="eastAsia" w:ascii="宋体" w:hAnsi="宋体" w:cs="宋体"/>
          <w:color w:val="000000"/>
          <w:sz w:val="24"/>
        </w:rPr>
        <w:t>②</w:t>
      </w:r>
      <w:r>
        <w:rPr>
          <w:color w:val="000000"/>
          <w:sz w:val="24"/>
        </w:rPr>
        <w:t>雨季及非施肥期</w:t>
      </w:r>
    </w:p>
    <w:p>
      <w:pPr>
        <w:tabs>
          <w:tab w:val="right" w:leader="dot" w:pos="8647"/>
        </w:tabs>
        <w:topLinePunct/>
        <w:adjustRightInd w:val="0"/>
        <w:snapToGrid w:val="0"/>
        <w:spacing w:line="500" w:lineRule="exact"/>
        <w:ind w:firstLine="480"/>
        <w:rPr>
          <w:color w:val="000000"/>
          <w:sz w:val="24"/>
        </w:rPr>
      </w:pPr>
      <w:r>
        <w:rPr>
          <w:color w:val="000000"/>
          <w:sz w:val="24"/>
        </w:rPr>
        <w:t>项目采取雨污分流，雨季及非施肥期沼液由</w:t>
      </w:r>
      <w:r>
        <w:rPr>
          <w:bCs/>
          <w:color w:val="000000"/>
          <w:sz w:val="24"/>
        </w:rPr>
        <w:t>沼液储存池</w:t>
      </w:r>
      <w:r>
        <w:rPr>
          <w:color w:val="000000"/>
          <w:sz w:val="24"/>
        </w:rPr>
        <w:t>暂存。</w:t>
      </w:r>
    </w:p>
    <w:p>
      <w:pPr>
        <w:tabs>
          <w:tab w:val="right" w:leader="dot" w:pos="8647"/>
        </w:tabs>
        <w:topLinePunct/>
        <w:spacing w:line="500" w:lineRule="exact"/>
        <w:rPr>
          <w:color w:val="000000"/>
          <w:sz w:val="24"/>
        </w:rPr>
      </w:pPr>
      <w:r>
        <w:rPr>
          <w:color w:val="000000"/>
          <w:sz w:val="24"/>
        </w:rPr>
        <w:t>9.1.5.2环境空气</w:t>
      </w:r>
    </w:p>
    <w:p>
      <w:pPr>
        <w:tabs>
          <w:tab w:val="right" w:leader="dot" w:pos="8647"/>
        </w:tabs>
        <w:topLinePunct/>
        <w:spacing w:line="500" w:lineRule="exact"/>
        <w:ind w:firstLine="484" w:firstLineChars="202"/>
        <w:rPr>
          <w:color w:val="000000"/>
          <w:sz w:val="24"/>
        </w:rPr>
      </w:pPr>
      <w:r>
        <w:rPr>
          <w:rFonts w:hint="eastAsia" w:ascii="宋体" w:hAnsi="宋体" w:cs="宋体"/>
          <w:color w:val="000000"/>
          <w:sz w:val="24"/>
        </w:rPr>
        <w:t>①</w:t>
      </w:r>
      <w:r>
        <w:rPr>
          <w:color w:val="000000"/>
          <w:sz w:val="24"/>
        </w:rPr>
        <w:t>项目实施后，工程排放的SO</w:t>
      </w:r>
      <w:r>
        <w:rPr>
          <w:color w:val="000000"/>
          <w:sz w:val="24"/>
          <w:vertAlign w:val="subscript"/>
        </w:rPr>
        <w:t>2</w:t>
      </w:r>
      <w:r>
        <w:rPr>
          <w:color w:val="000000"/>
          <w:sz w:val="24"/>
        </w:rPr>
        <w:t>、NO</w:t>
      </w:r>
      <w:r>
        <w:rPr>
          <w:color w:val="000000"/>
          <w:sz w:val="24"/>
          <w:vertAlign w:val="subscript"/>
        </w:rPr>
        <w:t>2</w:t>
      </w:r>
      <w:r>
        <w:rPr>
          <w:color w:val="000000"/>
          <w:sz w:val="24"/>
        </w:rPr>
        <w:t>在各关心点处的污染物浓度均能满足《环境空气质量标准》（GB3095-2012）</w:t>
      </w:r>
      <w:r>
        <w:rPr>
          <w:bCs/>
          <w:color w:val="000000"/>
          <w:sz w:val="24"/>
          <w:szCs w:val="22"/>
        </w:rPr>
        <w:t>二级标准</w:t>
      </w:r>
      <w:r>
        <w:rPr>
          <w:color w:val="000000"/>
          <w:sz w:val="24"/>
        </w:rPr>
        <w:t>。采取脱臭措施后排放的H</w:t>
      </w:r>
      <w:r>
        <w:rPr>
          <w:color w:val="000000"/>
          <w:sz w:val="24"/>
          <w:vertAlign w:val="subscript"/>
        </w:rPr>
        <w:t>2</w:t>
      </w:r>
      <w:r>
        <w:rPr>
          <w:color w:val="000000"/>
          <w:sz w:val="24"/>
        </w:rPr>
        <w:t>S、NH</w:t>
      </w:r>
      <w:r>
        <w:rPr>
          <w:color w:val="000000"/>
          <w:sz w:val="24"/>
          <w:vertAlign w:val="subscript"/>
        </w:rPr>
        <w:t>3</w:t>
      </w:r>
      <w:r>
        <w:rPr>
          <w:color w:val="000000"/>
          <w:sz w:val="24"/>
        </w:rPr>
        <w:t>在各敏感点处的污染物浓度均能满足《环境影响评价技术导则 大气环境（HJ2.2-2018）》中附录D中居住区大气中有害物质的最高允许浓度限值；</w:t>
      </w:r>
    </w:p>
    <w:p>
      <w:pPr>
        <w:tabs>
          <w:tab w:val="right" w:leader="dot" w:pos="8647"/>
        </w:tabs>
        <w:topLinePunct/>
        <w:spacing w:line="500" w:lineRule="exact"/>
        <w:ind w:firstLine="480"/>
        <w:rPr>
          <w:color w:val="000000"/>
          <w:sz w:val="24"/>
        </w:rPr>
      </w:pPr>
      <w:r>
        <w:rPr>
          <w:rFonts w:hint="eastAsia" w:ascii="宋体" w:hAnsi="宋体" w:cs="宋体"/>
          <w:color w:val="000000"/>
          <w:sz w:val="24"/>
        </w:rPr>
        <w:t>②</w:t>
      </w:r>
      <w:r>
        <w:rPr>
          <w:color w:val="000000"/>
          <w:sz w:val="24"/>
        </w:rPr>
        <w:t>经计算，本项目卫生防护距离均为100m。根据场区平面布置，确定本项目厂界卫生防护距离范围为：</w:t>
      </w:r>
      <w:r>
        <w:rPr>
          <w:bCs/>
          <w:color w:val="000000"/>
          <w:sz w:val="24"/>
          <w:szCs w:val="22"/>
        </w:rPr>
        <w:t>东场界100m、南场界100m、西场界100m、北场界100m。</w:t>
      </w:r>
    </w:p>
    <w:p>
      <w:pPr>
        <w:tabs>
          <w:tab w:val="right" w:leader="dot" w:pos="8647"/>
        </w:tabs>
        <w:topLinePunct/>
        <w:spacing w:line="500" w:lineRule="exact"/>
        <w:ind w:firstLine="484" w:firstLineChars="202"/>
        <w:rPr>
          <w:color w:val="000000"/>
          <w:sz w:val="24"/>
        </w:rPr>
      </w:pPr>
      <w:r>
        <w:rPr>
          <w:rFonts w:hint="eastAsia" w:ascii="宋体" w:hAnsi="宋体" w:cs="宋体"/>
          <w:color w:val="000000"/>
          <w:sz w:val="24"/>
        </w:rPr>
        <w:t>③</w:t>
      </w:r>
      <w:r>
        <w:rPr>
          <w:color w:val="000000"/>
          <w:sz w:val="24"/>
        </w:rPr>
        <w:t>卫生防护距离内无敏感点存在，满足项目防护距离的条件下，评价认为项目无组织废气的排放对环境的影响可以接受。</w:t>
      </w:r>
    </w:p>
    <w:p>
      <w:pPr>
        <w:tabs>
          <w:tab w:val="right" w:leader="dot" w:pos="8647"/>
        </w:tabs>
        <w:topLinePunct/>
        <w:spacing w:line="520" w:lineRule="exact"/>
        <w:rPr>
          <w:color w:val="000000"/>
          <w:sz w:val="24"/>
        </w:rPr>
      </w:pPr>
      <w:r>
        <w:rPr>
          <w:color w:val="000000"/>
          <w:sz w:val="24"/>
        </w:rPr>
        <w:t>9.1.5.3噪声</w:t>
      </w:r>
    </w:p>
    <w:p>
      <w:pPr>
        <w:tabs>
          <w:tab w:val="right" w:leader="dot" w:pos="8647"/>
        </w:tabs>
        <w:topLinePunct/>
        <w:spacing w:line="500" w:lineRule="exact"/>
        <w:ind w:firstLine="480" w:firstLineChars="200"/>
        <w:rPr>
          <w:color w:val="000000"/>
          <w:sz w:val="24"/>
        </w:rPr>
      </w:pPr>
      <w:r>
        <w:rPr>
          <w:color w:val="000000"/>
          <w:sz w:val="24"/>
        </w:rPr>
        <w:t xml:space="preserve">建设项目实施后，通过对主要高噪声源采取隔声、减振、厂房屏蔽等降噪措施后，全场各厂界噪声可满足《工业企业厂界噪声排放标准》（GB12348-2008） </w:t>
      </w:r>
      <w:r>
        <w:rPr>
          <w:color w:val="000000"/>
          <w:kern w:val="0"/>
          <w:sz w:val="24"/>
        </w:rPr>
        <w:t>2</w:t>
      </w:r>
      <w:r>
        <w:rPr>
          <w:color w:val="000000"/>
          <w:sz w:val="24"/>
        </w:rPr>
        <w:t>类标准要求。</w:t>
      </w:r>
    </w:p>
    <w:p>
      <w:pPr>
        <w:tabs>
          <w:tab w:val="right" w:leader="dot" w:pos="8647"/>
        </w:tabs>
        <w:topLinePunct/>
        <w:spacing w:line="520" w:lineRule="exact"/>
        <w:rPr>
          <w:color w:val="000000"/>
          <w:sz w:val="24"/>
        </w:rPr>
      </w:pPr>
      <w:r>
        <w:rPr>
          <w:color w:val="000000"/>
          <w:sz w:val="24"/>
        </w:rPr>
        <w:t>9.1.5.4固体废物</w:t>
      </w:r>
    </w:p>
    <w:p>
      <w:pPr>
        <w:tabs>
          <w:tab w:val="right" w:leader="dot" w:pos="8647"/>
        </w:tabs>
        <w:topLinePunct/>
        <w:spacing w:line="520" w:lineRule="exact"/>
        <w:ind w:firstLine="480" w:firstLineChars="200"/>
        <w:rPr>
          <w:color w:val="000000"/>
          <w:sz w:val="24"/>
        </w:rPr>
      </w:pPr>
      <w:r>
        <w:rPr>
          <w:color w:val="000000"/>
          <w:sz w:val="24"/>
        </w:rPr>
        <w:t>项目全场产生的固体废物均得到合理处理、处置，不会对周围环境造成二次污染。</w:t>
      </w:r>
    </w:p>
    <w:p>
      <w:pPr>
        <w:spacing w:line="600" w:lineRule="exact"/>
        <w:outlineLvl w:val="2"/>
        <w:rPr>
          <w:b/>
          <w:color w:val="000000"/>
          <w:sz w:val="24"/>
        </w:rPr>
      </w:pPr>
      <w:r>
        <w:rPr>
          <w:b/>
          <w:color w:val="000000"/>
          <w:sz w:val="24"/>
        </w:rPr>
        <w:t>9.1.6场址选择及场区平面布置合理性分析</w:t>
      </w:r>
    </w:p>
    <w:p>
      <w:pPr>
        <w:tabs>
          <w:tab w:val="right" w:leader="dot" w:pos="8647"/>
        </w:tabs>
        <w:topLinePunct/>
        <w:spacing w:line="500" w:lineRule="exact"/>
        <w:ind w:firstLine="480" w:firstLineChars="200"/>
        <w:rPr>
          <w:color w:val="000000"/>
          <w:sz w:val="24"/>
        </w:rPr>
      </w:pPr>
      <w:r>
        <w:rPr>
          <w:color w:val="000000"/>
          <w:sz w:val="24"/>
        </w:rPr>
        <w:t>项目选择符合平舆县城市总体规划和畜禽养殖规划选址要求，该场址具有较好的区位优势，场区平面布置比较合理，评价综合分析后认为，从环保角度考虑，本工程在该场址建设可行。</w:t>
      </w:r>
    </w:p>
    <w:p>
      <w:pPr>
        <w:tabs>
          <w:tab w:val="right" w:leader="dot" w:pos="8647"/>
        </w:tabs>
        <w:topLinePunct/>
        <w:spacing w:line="500" w:lineRule="exact"/>
        <w:rPr>
          <w:color w:val="000000"/>
          <w:sz w:val="24"/>
        </w:rPr>
      </w:pPr>
      <w:r>
        <w:rPr>
          <w:color w:val="000000"/>
          <w:sz w:val="24"/>
        </w:rPr>
        <w:t xml:space="preserve">    工程总图布置工艺流程顺畅、物流简洁合理、运输短捷，交通运输布局组织合理、功能分区明确，充分考虑工艺流程衔接，布置紧凑，符合国家卫生、安全规定及有关设计规范，符合有关环保要求。评价认为本工程总图布置较为合理。</w:t>
      </w:r>
    </w:p>
    <w:p>
      <w:pPr>
        <w:spacing w:line="600" w:lineRule="exact"/>
        <w:outlineLvl w:val="2"/>
        <w:rPr>
          <w:b/>
          <w:bCs/>
          <w:color w:val="000000"/>
          <w:sz w:val="24"/>
          <w:szCs w:val="32"/>
        </w:rPr>
      </w:pPr>
      <w:r>
        <w:rPr>
          <w:b/>
          <w:bCs/>
          <w:color w:val="000000"/>
          <w:sz w:val="24"/>
          <w:szCs w:val="32"/>
        </w:rPr>
        <w:t>9.1.7公众参与</w:t>
      </w:r>
    </w:p>
    <w:p>
      <w:pPr>
        <w:adjustRightInd w:val="0"/>
        <w:snapToGrid w:val="0"/>
        <w:spacing w:line="500" w:lineRule="exact"/>
        <w:ind w:firstLine="480" w:firstLineChars="200"/>
        <w:rPr>
          <w:color w:val="000000"/>
          <w:sz w:val="24"/>
        </w:rPr>
      </w:pPr>
      <w:r>
        <w:rPr>
          <w:color w:val="000000"/>
          <w:sz w:val="24"/>
        </w:rPr>
        <w:t>公众参与调查结果表明，100%的公众对本项目表示支持，无人反对本项目的建设，同意本项目选址和建设。</w:t>
      </w:r>
    </w:p>
    <w:p>
      <w:pPr>
        <w:spacing w:line="600" w:lineRule="exact"/>
        <w:outlineLvl w:val="2"/>
        <w:rPr>
          <w:b/>
          <w:bCs/>
          <w:color w:val="000000"/>
          <w:sz w:val="24"/>
          <w:szCs w:val="32"/>
        </w:rPr>
      </w:pPr>
      <w:r>
        <w:rPr>
          <w:b/>
          <w:bCs/>
          <w:color w:val="000000"/>
          <w:sz w:val="24"/>
          <w:szCs w:val="32"/>
        </w:rPr>
        <w:t>9.1.8总量控制</w:t>
      </w:r>
    </w:p>
    <w:p>
      <w:pPr>
        <w:tabs>
          <w:tab w:val="right" w:leader="dot" w:pos="8647"/>
        </w:tabs>
        <w:topLinePunct/>
        <w:adjustRightInd w:val="0"/>
        <w:snapToGrid w:val="0"/>
        <w:spacing w:line="500" w:lineRule="exact"/>
        <w:ind w:firstLine="480" w:firstLineChars="200"/>
        <w:rPr>
          <w:color w:val="000000"/>
          <w:sz w:val="24"/>
        </w:rPr>
      </w:pPr>
      <w:r>
        <w:rPr>
          <w:bCs/>
          <w:color w:val="000000"/>
          <w:sz w:val="24"/>
          <w:szCs w:val="22"/>
        </w:rPr>
        <w:t>全场</w:t>
      </w:r>
      <w:r>
        <w:rPr>
          <w:color w:val="000000"/>
          <w:sz w:val="24"/>
        </w:rPr>
        <w:t>总量控制指标为SO</w:t>
      </w:r>
      <w:r>
        <w:rPr>
          <w:color w:val="000000"/>
          <w:sz w:val="24"/>
          <w:vertAlign w:val="subscript"/>
        </w:rPr>
        <w:t>2</w:t>
      </w:r>
      <w:r>
        <w:rPr>
          <w:color w:val="000000"/>
          <w:sz w:val="24"/>
        </w:rPr>
        <w:t>：</w:t>
      </w:r>
      <w:r>
        <w:rPr>
          <w:sz w:val="24"/>
        </w:rPr>
        <w:t>0.0018</w:t>
      </w:r>
      <w:r>
        <w:rPr>
          <w:color w:val="000000"/>
          <w:sz w:val="24"/>
        </w:rPr>
        <w:t>t/a、NOx：</w:t>
      </w:r>
      <w:r>
        <w:rPr>
          <w:sz w:val="24"/>
        </w:rPr>
        <w:t>0.013</w:t>
      </w:r>
      <w:r>
        <w:rPr>
          <w:color w:val="000000"/>
          <w:sz w:val="24"/>
        </w:rPr>
        <w:t>t/a。。</w:t>
      </w:r>
    </w:p>
    <w:p>
      <w:pPr>
        <w:pStyle w:val="4"/>
        <w:spacing w:before="156" w:after="156"/>
        <w:rPr>
          <w:rFonts w:hAnsi="Times New Roman"/>
          <w:color w:val="000000"/>
        </w:rPr>
      </w:pPr>
      <w:bookmarkStart w:id="333" w:name="_Toc3019559"/>
      <w:bookmarkStart w:id="334" w:name="_Toc488572592"/>
      <w:r>
        <w:rPr>
          <w:rFonts w:hAnsi="Times New Roman"/>
          <w:color w:val="000000"/>
        </w:rPr>
        <w:t>9.2对策建议</w:t>
      </w:r>
      <w:bookmarkEnd w:id="333"/>
      <w:bookmarkEnd w:id="334"/>
    </w:p>
    <w:p>
      <w:pPr>
        <w:spacing w:line="600" w:lineRule="exact"/>
        <w:outlineLvl w:val="2"/>
        <w:rPr>
          <w:b/>
          <w:bCs/>
          <w:color w:val="000000"/>
          <w:sz w:val="24"/>
          <w:szCs w:val="32"/>
        </w:rPr>
      </w:pPr>
      <w:r>
        <w:rPr>
          <w:b/>
          <w:bCs/>
          <w:color w:val="000000"/>
          <w:sz w:val="24"/>
          <w:szCs w:val="32"/>
        </w:rPr>
        <w:t>9.2.1 环保政策及管理建议</w:t>
      </w:r>
    </w:p>
    <w:p>
      <w:pPr>
        <w:tabs>
          <w:tab w:val="right" w:leader="dot" w:pos="8647"/>
        </w:tabs>
        <w:topLinePunct/>
        <w:spacing w:line="500" w:lineRule="exact"/>
        <w:ind w:firstLine="480" w:firstLineChars="200"/>
        <w:rPr>
          <w:color w:val="000000"/>
          <w:sz w:val="24"/>
        </w:rPr>
      </w:pPr>
      <w:r>
        <w:rPr>
          <w:color w:val="000000"/>
          <w:sz w:val="24"/>
        </w:rPr>
        <w:t>严格执行环保“三同时”制度，评价中提出的各项污染防治设施必须与主体工程同时设计、同时施工、同时投入使用。</w:t>
      </w:r>
    </w:p>
    <w:p>
      <w:pPr>
        <w:spacing w:line="600" w:lineRule="exact"/>
        <w:outlineLvl w:val="2"/>
        <w:rPr>
          <w:b/>
          <w:bCs/>
          <w:color w:val="000000"/>
          <w:sz w:val="24"/>
          <w:szCs w:val="32"/>
        </w:rPr>
      </w:pPr>
      <w:r>
        <w:rPr>
          <w:b/>
          <w:bCs/>
          <w:color w:val="000000"/>
          <w:sz w:val="24"/>
          <w:szCs w:val="32"/>
        </w:rPr>
        <w:t>9.2.2施工期环境管理建议</w:t>
      </w:r>
    </w:p>
    <w:p>
      <w:pPr>
        <w:tabs>
          <w:tab w:val="right" w:leader="dot" w:pos="8647"/>
        </w:tabs>
        <w:topLinePunct/>
        <w:spacing w:line="500" w:lineRule="exact"/>
        <w:ind w:firstLine="480" w:firstLineChars="200"/>
        <w:rPr>
          <w:color w:val="000000"/>
          <w:sz w:val="24"/>
        </w:rPr>
      </w:pPr>
      <w:r>
        <w:rPr>
          <w:color w:val="000000"/>
          <w:sz w:val="24"/>
        </w:rPr>
        <w:t>合理安排工期，尽可能地加快施工速度，减少施工时间，并建议施工单位采取逐段施工方式；优先选用低噪声设备，日常应注意对施工设备的维修、保养，使各种施工机械保持良好的运行状态；施工现场应设污水收集和简易处理设施；现场搅拌砂浆、混凝土时应按用量进行配料，尽量做到不洒、不漏、不剩、不弃。</w:t>
      </w:r>
    </w:p>
    <w:p>
      <w:pPr>
        <w:spacing w:line="600" w:lineRule="exact"/>
        <w:outlineLvl w:val="2"/>
        <w:rPr>
          <w:b/>
          <w:bCs/>
          <w:color w:val="000000"/>
          <w:sz w:val="24"/>
          <w:szCs w:val="32"/>
        </w:rPr>
      </w:pPr>
      <w:r>
        <w:rPr>
          <w:b/>
          <w:bCs/>
          <w:color w:val="000000"/>
          <w:sz w:val="24"/>
          <w:szCs w:val="32"/>
        </w:rPr>
        <w:t>9.2.3防止疾病传播和病死猪尸处理要求</w:t>
      </w:r>
    </w:p>
    <w:p>
      <w:pPr>
        <w:tabs>
          <w:tab w:val="right" w:leader="dot" w:pos="8647"/>
        </w:tabs>
        <w:topLinePunct/>
        <w:spacing w:line="500" w:lineRule="exact"/>
        <w:ind w:firstLine="480" w:firstLineChars="200"/>
        <w:rPr>
          <w:bCs/>
          <w:color w:val="000000"/>
          <w:sz w:val="24"/>
        </w:rPr>
      </w:pPr>
      <w:r>
        <w:rPr>
          <w:color w:val="000000"/>
          <w:sz w:val="24"/>
        </w:rPr>
        <w:t>加强全场卫生管理，防止疫病传播与扩散；定期对场区进行消毒，防止蝇、蛆滋生，防止病原体的传播与扩散；场区应合理布局，实现安全生产和无害化管理；</w:t>
      </w:r>
      <w:r>
        <w:rPr>
          <w:bCs/>
          <w:color w:val="000000"/>
          <w:sz w:val="24"/>
        </w:rPr>
        <w:t>病死猪尸体每天由密闭罐车运送至场内无害化处理车间进行无害化处理。</w:t>
      </w:r>
    </w:p>
    <w:p>
      <w:pPr>
        <w:spacing w:line="600" w:lineRule="exact"/>
        <w:outlineLvl w:val="2"/>
        <w:rPr>
          <w:b/>
          <w:bCs/>
          <w:color w:val="000000"/>
          <w:sz w:val="24"/>
          <w:szCs w:val="32"/>
        </w:rPr>
      </w:pPr>
      <w:r>
        <w:rPr>
          <w:b/>
          <w:bCs/>
          <w:color w:val="000000"/>
          <w:sz w:val="24"/>
          <w:szCs w:val="32"/>
        </w:rPr>
        <w:t>9.2.4 恶臭污染防治及防护距离管理要求</w:t>
      </w:r>
    </w:p>
    <w:p>
      <w:pPr>
        <w:tabs>
          <w:tab w:val="right" w:leader="dot" w:pos="8647"/>
        </w:tabs>
        <w:topLinePunct/>
        <w:spacing w:line="500" w:lineRule="exact"/>
        <w:ind w:firstLine="480" w:firstLineChars="200"/>
        <w:rPr>
          <w:color w:val="000000"/>
          <w:sz w:val="24"/>
        </w:rPr>
      </w:pPr>
      <w:r>
        <w:rPr>
          <w:color w:val="000000"/>
          <w:sz w:val="24"/>
        </w:rPr>
        <w:t>企业应积极稳妥地采取措施，按《畜禽养殖业污染防治技术规范》（HJ/T81－2001）要求强化流程管理，防止各主要环节恶臭污染物的产生。在场界外500m距离内，规划部门不得再规划建设居民区、学校、医院、疗养院等环境敏感点。</w:t>
      </w:r>
    </w:p>
    <w:p>
      <w:pPr>
        <w:spacing w:line="600" w:lineRule="exact"/>
        <w:outlineLvl w:val="2"/>
        <w:rPr>
          <w:b/>
          <w:bCs/>
          <w:color w:val="000000"/>
          <w:sz w:val="24"/>
          <w:szCs w:val="32"/>
        </w:rPr>
      </w:pPr>
      <w:r>
        <w:rPr>
          <w:b/>
          <w:bCs/>
          <w:color w:val="000000"/>
          <w:sz w:val="24"/>
          <w:szCs w:val="32"/>
        </w:rPr>
        <w:t>9.2.5切实落实主要高噪声源的污染防治措施，确保场界噪声达标排放</w:t>
      </w:r>
    </w:p>
    <w:p>
      <w:pPr>
        <w:tabs>
          <w:tab w:val="right" w:leader="dot" w:pos="8647"/>
        </w:tabs>
        <w:topLinePunct/>
        <w:adjustRightInd w:val="0"/>
        <w:snapToGrid w:val="0"/>
        <w:spacing w:line="500" w:lineRule="exact"/>
        <w:ind w:firstLine="480" w:firstLineChars="200"/>
        <w:rPr>
          <w:bCs/>
          <w:color w:val="000000"/>
          <w:sz w:val="24"/>
        </w:rPr>
      </w:pPr>
      <w:r>
        <w:rPr>
          <w:bCs/>
          <w:color w:val="000000"/>
          <w:sz w:val="24"/>
        </w:rPr>
        <w:t>高噪声设备如鼓风机应采取设备基础减振、场房密闭隔声等措施，实现场界噪声达标排放</w:t>
      </w:r>
      <w:r>
        <w:rPr>
          <w:color w:val="000000"/>
          <w:sz w:val="24"/>
        </w:rPr>
        <w:t>。</w:t>
      </w:r>
    </w:p>
    <w:p>
      <w:pPr>
        <w:spacing w:line="600" w:lineRule="exact"/>
        <w:outlineLvl w:val="2"/>
        <w:rPr>
          <w:b/>
          <w:bCs/>
          <w:color w:val="000000"/>
          <w:sz w:val="24"/>
          <w:szCs w:val="32"/>
        </w:rPr>
      </w:pPr>
      <w:r>
        <w:rPr>
          <w:b/>
          <w:bCs/>
          <w:color w:val="000000"/>
          <w:sz w:val="24"/>
          <w:szCs w:val="32"/>
        </w:rPr>
        <w:t>9.2.6废水处理措施及综合利用</w:t>
      </w:r>
    </w:p>
    <w:p>
      <w:pPr>
        <w:tabs>
          <w:tab w:val="right" w:leader="dot" w:pos="8647"/>
        </w:tabs>
        <w:topLinePunct/>
        <w:adjustRightInd w:val="0"/>
        <w:snapToGrid w:val="0"/>
        <w:spacing w:line="500" w:lineRule="exact"/>
        <w:ind w:firstLine="480" w:firstLineChars="200"/>
        <w:rPr>
          <w:color w:val="000000"/>
          <w:sz w:val="24"/>
        </w:rPr>
      </w:pPr>
      <w:r>
        <w:rPr>
          <w:bCs/>
          <w:color w:val="000000"/>
          <w:sz w:val="24"/>
        </w:rPr>
        <w:t>评价采用厌氧处理工艺进行处理，出水输送至农田综合利用，实现废水全部还田</w:t>
      </w:r>
      <w:r>
        <w:rPr>
          <w:color w:val="000000"/>
          <w:sz w:val="24"/>
        </w:rPr>
        <w:t>。</w:t>
      </w:r>
    </w:p>
    <w:p>
      <w:pPr>
        <w:spacing w:line="600" w:lineRule="exact"/>
        <w:outlineLvl w:val="2"/>
        <w:rPr>
          <w:b/>
          <w:bCs/>
          <w:color w:val="000000"/>
          <w:sz w:val="24"/>
          <w:szCs w:val="32"/>
        </w:rPr>
      </w:pPr>
      <w:r>
        <w:rPr>
          <w:b/>
          <w:bCs/>
          <w:color w:val="000000"/>
          <w:sz w:val="24"/>
          <w:szCs w:val="32"/>
        </w:rPr>
        <w:t>9.2.7场区防洪措施</w:t>
      </w:r>
    </w:p>
    <w:p>
      <w:pPr>
        <w:tabs>
          <w:tab w:val="right" w:leader="dot" w:pos="8647"/>
        </w:tabs>
        <w:topLinePunct/>
        <w:adjustRightInd w:val="0"/>
        <w:snapToGrid w:val="0"/>
        <w:spacing w:line="500" w:lineRule="exact"/>
        <w:ind w:firstLine="480" w:firstLineChars="200"/>
        <w:rPr>
          <w:color w:val="000000"/>
          <w:sz w:val="24"/>
        </w:rPr>
      </w:pPr>
      <w:r>
        <w:rPr>
          <w:color w:val="000000"/>
          <w:sz w:val="24"/>
        </w:rPr>
        <w:t>项目建设过程中雨、污管网不得影响行洪，项目建筑物应按照20年一遇即0.05%洪水频率进行设计，并在场界周边建设防洪堤，在场区设置泄洪排水沟，能够容纳当地最大降雨强度，同时在周边修建生态护坡，能够有效防止水土流失，并加强场区绿化。</w:t>
      </w:r>
    </w:p>
    <w:p>
      <w:pPr>
        <w:pStyle w:val="4"/>
        <w:spacing w:before="156" w:after="156"/>
        <w:rPr>
          <w:rFonts w:hAnsi="Times New Roman"/>
          <w:color w:val="000000"/>
        </w:rPr>
      </w:pPr>
      <w:bookmarkStart w:id="335" w:name="_Toc488572593"/>
      <w:bookmarkStart w:id="336" w:name="_Toc3019560"/>
      <w:r>
        <w:rPr>
          <w:rFonts w:hAnsi="Times New Roman"/>
          <w:color w:val="000000"/>
        </w:rPr>
        <w:t>9.3评价总结论</w:t>
      </w:r>
      <w:bookmarkEnd w:id="335"/>
      <w:bookmarkEnd w:id="336"/>
    </w:p>
    <w:p>
      <w:pPr>
        <w:tabs>
          <w:tab w:val="right" w:leader="dot" w:pos="8647"/>
        </w:tabs>
        <w:topLinePunct/>
        <w:spacing w:line="500" w:lineRule="exact"/>
        <w:ind w:firstLine="482" w:firstLineChars="200"/>
        <w:rPr>
          <w:b/>
          <w:bCs/>
          <w:color w:val="000000"/>
          <w:kern w:val="0"/>
          <w:sz w:val="24"/>
        </w:rPr>
      </w:pPr>
      <w:r>
        <w:rPr>
          <w:b/>
          <w:bCs/>
          <w:iCs/>
          <w:color w:val="000000"/>
          <w:kern w:val="0"/>
          <w:sz w:val="24"/>
        </w:rPr>
        <w:t>综上所述，平舆牧原农牧有限公司平舆二十场生猪养殖项目</w:t>
      </w:r>
      <w:r>
        <w:rPr>
          <w:b/>
          <w:bCs/>
          <w:color w:val="000000"/>
          <w:kern w:val="0"/>
          <w:sz w:val="24"/>
        </w:rPr>
        <w:t>符合国家产业政策和清洁生产要求，项目选址可行，通过认真落实评价所提各项环保治理措施，工程排放的各类污染物对周围环境影响可以接受，可以实现其经济效益、社会效益和环境效益的协调发展。因此，在落实各项协议及承诺的前提下，从环保角度分析，本工程建设是可行的。</w:t>
      </w:r>
    </w:p>
    <w:p>
      <w:pPr>
        <w:topLinePunct/>
        <w:jc w:val="right"/>
        <w:rPr>
          <w:color w:val="000000"/>
        </w:rPr>
      </w:pPr>
    </w:p>
    <w:sectPr>
      <w:pgSz w:w="11906" w:h="16838"/>
      <w:pgMar w:top="1701" w:right="1588" w:bottom="1985" w:left="158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ambria Math">
    <w:panose1 w:val="02040503050406030204"/>
    <w:charset w:val="01"/>
    <w:family w:val="roman"/>
    <w:pitch w:val="default"/>
    <w:sig w:usb0="E00002FF" w:usb1="420024FF" w:usb2="00000000" w:usb3="00000000" w:csb0="2000019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1"/>
    <w:family w:val="auto"/>
    <w:pitch w:val="default"/>
    <w:sig w:usb0="00000287" w:usb1="00000800" w:usb2="00000000" w:usb3="00000000" w:csb0="2000009F" w:csb1="DFD70000"/>
  </w:font>
  <w:font w:name="仿宋_GB2312">
    <w:altName w:val="仿宋"/>
    <w:panose1 w:val="00000000000000000000"/>
    <w:charset w:val="01"/>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top w:val="none" w:color="auto" w:sz="0" w:space="0"/>
        <w:left w:val="none" w:color="auto" w:sz="0" w:space="0"/>
        <w:bottom w:val="none" w:color="auto" w:sz="0" w:space="0"/>
        <w:right w:val="none" w:color="auto" w:sz="0" w:space="0"/>
      </w:pBdr>
      <w:spacing w:before="240" w:after="120"/>
      <w:ind w:firstLine="420"/>
      <w:jc w:val="center"/>
    </w:pPr>
    <w:r>
      <w:rPr>
        <w:sz w:val="21"/>
      </w:rPr>
      <w:pict>
        <v:shape id="_x0000_s2073" o:spid="_x0000_s2073"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sdt>
                <w:sdtPr>
                  <w:id w:val="8072085"/>
                </w:sdtPr>
                <w:sdtContent>
                  <w:p>
                    <w:pPr>
                      <w:pStyle w:val="27"/>
                      <w:pBdr>
                        <w:top w:val="none" w:color="auto" w:sz="0" w:space="0"/>
                        <w:left w:val="none" w:color="auto" w:sz="0" w:space="0"/>
                        <w:bottom w:val="none" w:color="auto" w:sz="0" w:space="0"/>
                        <w:right w:val="none" w:color="auto" w:sz="0" w:space="0"/>
                      </w:pBdr>
                      <w:spacing w:before="240" w:after="120"/>
                      <w:ind w:firstLine="420"/>
                      <w:jc w:val="center"/>
                    </w:pPr>
                    <w:r>
                      <w:fldChar w:fldCharType="begin"/>
                    </w:r>
                    <w:r>
                      <w:instrText xml:space="preserve"> PAGE   \* MERGEFORMAT </w:instrText>
                    </w:r>
                    <w:r>
                      <w:fldChar w:fldCharType="separate"/>
                    </w:r>
                    <w:r>
                      <w:rPr>
                        <w:lang w:val="zh-CN"/>
                      </w:rPr>
                      <w:t>III</w:t>
                    </w:r>
                    <w:r>
                      <w:rPr>
                        <w:lang w:val="zh-CN"/>
                      </w:rPr>
                      <w:fldChar w:fldCharType="end"/>
                    </w:r>
                  </w:p>
                </w:sdtContent>
              </w:sdt>
              <w:p>
                <w:pPr>
                  <w:pStyle w:val="2"/>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72085"/>
    </w:sdtPr>
    <w:sdtContent>
      <w:p>
        <w:pPr>
          <w:pStyle w:val="27"/>
          <w:pBdr>
            <w:top w:val="none" w:color="auto" w:sz="0" w:space="0"/>
            <w:left w:val="none" w:color="auto" w:sz="0" w:space="0"/>
            <w:bottom w:val="none" w:color="auto" w:sz="0" w:space="0"/>
            <w:right w:val="none" w:color="auto" w:sz="0" w:space="0"/>
          </w:pBdr>
          <w:spacing w:before="240" w:after="120"/>
          <w:ind w:firstLine="420"/>
          <w:jc w:val="center"/>
        </w:pPr>
        <w:r>
          <w:fldChar w:fldCharType="begin"/>
        </w:r>
        <w:r>
          <w:instrText xml:space="preserve"> PAGE   \* MERGEFORMAT </w:instrText>
        </w:r>
        <w:r>
          <w:fldChar w:fldCharType="separate"/>
        </w:r>
        <w:r>
          <w:rPr>
            <w:lang w:val="zh-CN"/>
          </w:rPr>
          <w:t>III</w:t>
        </w:r>
        <w:r>
          <w:rPr>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eastAsia="黑体"/>
        <w:szCs w:val="21"/>
      </w:rPr>
    </w:pPr>
    <w:r>
      <w:pict>
        <v:shape id="文本框 2066" o:spid="_x0000_s2068" o:spt="202" type="#_x0000_t202" style="position:absolute;left:0pt;margin-top:0pt;height:20.7pt;width:2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205</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lvl w:ilvl="0" w:tentative="0">
      <w:start w:val="3"/>
      <w:numFmt w:val="decimal"/>
      <w:suff w:val="nothing"/>
      <w:lvlText w:val="（%1）"/>
      <w:lvlJc w:val="left"/>
      <w:rPr>
        <w:rFonts w:cs="Times New Roman"/>
        <w:color w:val="auto"/>
      </w:rPr>
    </w:lvl>
  </w:abstractNum>
  <w:abstractNum w:abstractNumId="1">
    <w:nsid w:val="590D9554"/>
    <w:multiLevelType w:val="multilevel"/>
    <w:tmpl w:val="590D9554"/>
    <w:lvl w:ilvl="0" w:tentative="0">
      <w:start w:val="1"/>
      <w:numFmt w:val="decimalEnclosedCircle"/>
      <w:lvlText w:val="%1"/>
      <w:lvlJc w:val="left"/>
      <w:pPr>
        <w:tabs>
          <w:tab w:val="left" w:pos="720"/>
        </w:tabs>
        <w:ind w:left="720" w:hanging="360"/>
      </w:p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2">
    <w:nsid w:val="63335C8E"/>
    <w:multiLevelType w:val="multilevel"/>
    <w:tmpl w:val="63335C8E"/>
    <w:lvl w:ilvl="0" w:tentative="0">
      <w:start w:val="1"/>
      <w:numFmt w:val="decimalEnclosedCircle"/>
      <w:lvlText w:val="%1"/>
      <w:lvlJc w:val="left"/>
      <w:pPr>
        <w:ind w:left="1069" w:hanging="360"/>
      </w:pPr>
      <w:rPr>
        <w:rFonts w:hint="default" w:ascii="宋体" w:hAnsi="宋体" w:cs="宋体"/>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abstractNum w:abstractNumId="3">
    <w:nsid w:val="76B439A5"/>
    <w:multiLevelType w:val="multilevel"/>
    <w:tmpl w:val="76B439A5"/>
    <w:lvl w:ilvl="0" w:tentative="0">
      <w:start w:val="1"/>
      <w:numFmt w:val="decimalEnclosedCircle"/>
      <w:lvlText w:val="%1"/>
      <w:lvlJc w:val="left"/>
      <w:pPr>
        <w:ind w:left="1069" w:hanging="360"/>
      </w:pPr>
      <w:rPr>
        <w:rFonts w:hint="default" w:ascii="宋体" w:hAnsi="宋体" w:cs="宋体"/>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hideSpellingErrors/>
  <w:documentProtection w:enforcement="0"/>
  <w:defaultTabStop w:val="420"/>
  <w:drawingGridHorizontalSpacing w:val="105"/>
  <w:drawingGridVerticalSpacing w:val="600"/>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doNotUseIndentAsNumberingTabStop/>
    <w:useAltKinsokuLineBreakRules/>
    <w:compatSetting w:name="compatibilityMode" w:uri="http://schemas.microsoft.com/office/word" w:val="12"/>
  </w:compat>
  <w:rsids>
    <w:rsidRoot w:val="00172A27"/>
    <w:rsid w:val="00000B87"/>
    <w:rsid w:val="000033B1"/>
    <w:rsid w:val="00004BA0"/>
    <w:rsid w:val="00004D2C"/>
    <w:rsid w:val="00007AB9"/>
    <w:rsid w:val="000110F9"/>
    <w:rsid w:val="000119FF"/>
    <w:rsid w:val="00012CA0"/>
    <w:rsid w:val="000141AA"/>
    <w:rsid w:val="0001616F"/>
    <w:rsid w:val="0001649B"/>
    <w:rsid w:val="000240C4"/>
    <w:rsid w:val="00024C90"/>
    <w:rsid w:val="000264FD"/>
    <w:rsid w:val="000267CD"/>
    <w:rsid w:val="000277CE"/>
    <w:rsid w:val="0003099D"/>
    <w:rsid w:val="0003175B"/>
    <w:rsid w:val="00031E6F"/>
    <w:rsid w:val="00033470"/>
    <w:rsid w:val="00034450"/>
    <w:rsid w:val="000351C8"/>
    <w:rsid w:val="000370B8"/>
    <w:rsid w:val="00037AB5"/>
    <w:rsid w:val="00037DEB"/>
    <w:rsid w:val="0004145F"/>
    <w:rsid w:val="00042337"/>
    <w:rsid w:val="00044D71"/>
    <w:rsid w:val="00044EF9"/>
    <w:rsid w:val="000450B5"/>
    <w:rsid w:val="00045775"/>
    <w:rsid w:val="00045A61"/>
    <w:rsid w:val="00050A4D"/>
    <w:rsid w:val="00050DD0"/>
    <w:rsid w:val="00050F85"/>
    <w:rsid w:val="0005134B"/>
    <w:rsid w:val="0005265F"/>
    <w:rsid w:val="00055940"/>
    <w:rsid w:val="00056040"/>
    <w:rsid w:val="00056DA9"/>
    <w:rsid w:val="00057B83"/>
    <w:rsid w:val="00060374"/>
    <w:rsid w:val="00060C47"/>
    <w:rsid w:val="00061079"/>
    <w:rsid w:val="00063669"/>
    <w:rsid w:val="00070D19"/>
    <w:rsid w:val="000710D8"/>
    <w:rsid w:val="0007149A"/>
    <w:rsid w:val="0007187F"/>
    <w:rsid w:val="00072960"/>
    <w:rsid w:val="00073FED"/>
    <w:rsid w:val="0007428C"/>
    <w:rsid w:val="00074EA7"/>
    <w:rsid w:val="00075D36"/>
    <w:rsid w:val="00076B68"/>
    <w:rsid w:val="00076CC4"/>
    <w:rsid w:val="00077CC3"/>
    <w:rsid w:val="00080302"/>
    <w:rsid w:val="00083A52"/>
    <w:rsid w:val="00084715"/>
    <w:rsid w:val="00085492"/>
    <w:rsid w:val="00090909"/>
    <w:rsid w:val="000918F8"/>
    <w:rsid w:val="0009234C"/>
    <w:rsid w:val="00096B59"/>
    <w:rsid w:val="000A0413"/>
    <w:rsid w:val="000A1D72"/>
    <w:rsid w:val="000A1E84"/>
    <w:rsid w:val="000A228D"/>
    <w:rsid w:val="000A28EB"/>
    <w:rsid w:val="000A39FF"/>
    <w:rsid w:val="000A5436"/>
    <w:rsid w:val="000A564B"/>
    <w:rsid w:val="000A711A"/>
    <w:rsid w:val="000A7ACB"/>
    <w:rsid w:val="000B249A"/>
    <w:rsid w:val="000B3521"/>
    <w:rsid w:val="000B7269"/>
    <w:rsid w:val="000C05CF"/>
    <w:rsid w:val="000C06C8"/>
    <w:rsid w:val="000C18C9"/>
    <w:rsid w:val="000C1E5B"/>
    <w:rsid w:val="000C1F9E"/>
    <w:rsid w:val="000C2EBD"/>
    <w:rsid w:val="000C317F"/>
    <w:rsid w:val="000C40B5"/>
    <w:rsid w:val="000C686F"/>
    <w:rsid w:val="000D3C37"/>
    <w:rsid w:val="000D3EA0"/>
    <w:rsid w:val="000D4FBD"/>
    <w:rsid w:val="000D6294"/>
    <w:rsid w:val="000E0EF0"/>
    <w:rsid w:val="000E2FA0"/>
    <w:rsid w:val="000E3CAE"/>
    <w:rsid w:val="000E3F62"/>
    <w:rsid w:val="000E458A"/>
    <w:rsid w:val="000E4E79"/>
    <w:rsid w:val="000E54CA"/>
    <w:rsid w:val="000E5659"/>
    <w:rsid w:val="000E698E"/>
    <w:rsid w:val="000E751B"/>
    <w:rsid w:val="000E772D"/>
    <w:rsid w:val="000E7921"/>
    <w:rsid w:val="000F1E5E"/>
    <w:rsid w:val="000F1E71"/>
    <w:rsid w:val="000F1FA9"/>
    <w:rsid w:val="000F2DC3"/>
    <w:rsid w:val="000F63DE"/>
    <w:rsid w:val="000F72CD"/>
    <w:rsid w:val="000F7813"/>
    <w:rsid w:val="001007AD"/>
    <w:rsid w:val="00104478"/>
    <w:rsid w:val="0010519A"/>
    <w:rsid w:val="00105CE6"/>
    <w:rsid w:val="00106ED5"/>
    <w:rsid w:val="00107EA0"/>
    <w:rsid w:val="001108B5"/>
    <w:rsid w:val="00110A84"/>
    <w:rsid w:val="00111B21"/>
    <w:rsid w:val="0011208B"/>
    <w:rsid w:val="00112A16"/>
    <w:rsid w:val="0011321F"/>
    <w:rsid w:val="001137C1"/>
    <w:rsid w:val="00114556"/>
    <w:rsid w:val="00114915"/>
    <w:rsid w:val="00114983"/>
    <w:rsid w:val="00116016"/>
    <w:rsid w:val="00117328"/>
    <w:rsid w:val="0012079B"/>
    <w:rsid w:val="00122AB3"/>
    <w:rsid w:val="00122EA2"/>
    <w:rsid w:val="0012331A"/>
    <w:rsid w:val="00123C7B"/>
    <w:rsid w:val="00124EFE"/>
    <w:rsid w:val="001264FA"/>
    <w:rsid w:val="00126528"/>
    <w:rsid w:val="00130CF1"/>
    <w:rsid w:val="00131BA5"/>
    <w:rsid w:val="00133A50"/>
    <w:rsid w:val="00133AF4"/>
    <w:rsid w:val="00133D80"/>
    <w:rsid w:val="00136C2C"/>
    <w:rsid w:val="001374C1"/>
    <w:rsid w:val="00143A98"/>
    <w:rsid w:val="00143C76"/>
    <w:rsid w:val="00147C40"/>
    <w:rsid w:val="00147EA7"/>
    <w:rsid w:val="00151675"/>
    <w:rsid w:val="00153853"/>
    <w:rsid w:val="00153B43"/>
    <w:rsid w:val="00155D18"/>
    <w:rsid w:val="00156D42"/>
    <w:rsid w:val="001572C1"/>
    <w:rsid w:val="00160742"/>
    <w:rsid w:val="00160AFF"/>
    <w:rsid w:val="00161A07"/>
    <w:rsid w:val="001628BB"/>
    <w:rsid w:val="00162C74"/>
    <w:rsid w:val="001640C0"/>
    <w:rsid w:val="00164D54"/>
    <w:rsid w:val="001671AF"/>
    <w:rsid w:val="00167D68"/>
    <w:rsid w:val="00172A27"/>
    <w:rsid w:val="001754D2"/>
    <w:rsid w:val="00176ECB"/>
    <w:rsid w:val="001814C5"/>
    <w:rsid w:val="00181983"/>
    <w:rsid w:val="00181C48"/>
    <w:rsid w:val="00181EB2"/>
    <w:rsid w:val="00183695"/>
    <w:rsid w:val="00184471"/>
    <w:rsid w:val="00185AA6"/>
    <w:rsid w:val="00185F0B"/>
    <w:rsid w:val="00187088"/>
    <w:rsid w:val="001909ED"/>
    <w:rsid w:val="001912F4"/>
    <w:rsid w:val="001917F2"/>
    <w:rsid w:val="00192E57"/>
    <w:rsid w:val="00193257"/>
    <w:rsid w:val="00194626"/>
    <w:rsid w:val="00194798"/>
    <w:rsid w:val="001952CA"/>
    <w:rsid w:val="00196C2B"/>
    <w:rsid w:val="001A1BA5"/>
    <w:rsid w:val="001A38F4"/>
    <w:rsid w:val="001A3AD7"/>
    <w:rsid w:val="001A4E90"/>
    <w:rsid w:val="001A7E6F"/>
    <w:rsid w:val="001B08B4"/>
    <w:rsid w:val="001B1F82"/>
    <w:rsid w:val="001B206A"/>
    <w:rsid w:val="001B2FD9"/>
    <w:rsid w:val="001B3A64"/>
    <w:rsid w:val="001B4551"/>
    <w:rsid w:val="001B5F15"/>
    <w:rsid w:val="001B69DF"/>
    <w:rsid w:val="001B7808"/>
    <w:rsid w:val="001B7D8B"/>
    <w:rsid w:val="001C0773"/>
    <w:rsid w:val="001C1FF9"/>
    <w:rsid w:val="001C37E6"/>
    <w:rsid w:val="001C60E5"/>
    <w:rsid w:val="001C7F18"/>
    <w:rsid w:val="001D2699"/>
    <w:rsid w:val="001D338A"/>
    <w:rsid w:val="001D3D1B"/>
    <w:rsid w:val="001D41FE"/>
    <w:rsid w:val="001D583A"/>
    <w:rsid w:val="001D5FBA"/>
    <w:rsid w:val="001D660B"/>
    <w:rsid w:val="001D6DFE"/>
    <w:rsid w:val="001D7263"/>
    <w:rsid w:val="001E1433"/>
    <w:rsid w:val="001E1883"/>
    <w:rsid w:val="001E18A4"/>
    <w:rsid w:val="001E5E07"/>
    <w:rsid w:val="001E7D51"/>
    <w:rsid w:val="001F1AD2"/>
    <w:rsid w:val="001F2376"/>
    <w:rsid w:val="001F41CC"/>
    <w:rsid w:val="001F49B4"/>
    <w:rsid w:val="001F58C7"/>
    <w:rsid w:val="001F7319"/>
    <w:rsid w:val="001F7541"/>
    <w:rsid w:val="001F7AAE"/>
    <w:rsid w:val="002011AE"/>
    <w:rsid w:val="002029D6"/>
    <w:rsid w:val="00203379"/>
    <w:rsid w:val="00203673"/>
    <w:rsid w:val="002043FD"/>
    <w:rsid w:val="00204EE3"/>
    <w:rsid w:val="00206832"/>
    <w:rsid w:val="002073E2"/>
    <w:rsid w:val="00207490"/>
    <w:rsid w:val="00212F31"/>
    <w:rsid w:val="00213B7C"/>
    <w:rsid w:val="00214C3C"/>
    <w:rsid w:val="002167EC"/>
    <w:rsid w:val="00217862"/>
    <w:rsid w:val="00220800"/>
    <w:rsid w:val="0022224E"/>
    <w:rsid w:val="00222601"/>
    <w:rsid w:val="00223817"/>
    <w:rsid w:val="00223E78"/>
    <w:rsid w:val="00224D46"/>
    <w:rsid w:val="00224EEE"/>
    <w:rsid w:val="00225248"/>
    <w:rsid w:val="0022590C"/>
    <w:rsid w:val="0022612C"/>
    <w:rsid w:val="00227ADE"/>
    <w:rsid w:val="00230635"/>
    <w:rsid w:val="00231791"/>
    <w:rsid w:val="00232343"/>
    <w:rsid w:val="00233238"/>
    <w:rsid w:val="002343E5"/>
    <w:rsid w:val="002353E6"/>
    <w:rsid w:val="0023563E"/>
    <w:rsid w:val="00235D04"/>
    <w:rsid w:val="002361DA"/>
    <w:rsid w:val="00237CA0"/>
    <w:rsid w:val="00240C0E"/>
    <w:rsid w:val="00243D77"/>
    <w:rsid w:val="00244F0B"/>
    <w:rsid w:val="00245DEB"/>
    <w:rsid w:val="0024719D"/>
    <w:rsid w:val="00250A69"/>
    <w:rsid w:val="00252081"/>
    <w:rsid w:val="00252970"/>
    <w:rsid w:val="00252C2D"/>
    <w:rsid w:val="002544BF"/>
    <w:rsid w:val="00257805"/>
    <w:rsid w:val="00260601"/>
    <w:rsid w:val="00260651"/>
    <w:rsid w:val="00261605"/>
    <w:rsid w:val="00261A18"/>
    <w:rsid w:val="002625E0"/>
    <w:rsid w:val="00262D43"/>
    <w:rsid w:val="00264793"/>
    <w:rsid w:val="0026679E"/>
    <w:rsid w:val="00266E24"/>
    <w:rsid w:val="002672F4"/>
    <w:rsid w:val="00270672"/>
    <w:rsid w:val="00271028"/>
    <w:rsid w:val="00275A7F"/>
    <w:rsid w:val="0028064D"/>
    <w:rsid w:val="00281F6D"/>
    <w:rsid w:val="00282E8A"/>
    <w:rsid w:val="00285957"/>
    <w:rsid w:val="0028691B"/>
    <w:rsid w:val="00287D8F"/>
    <w:rsid w:val="00290851"/>
    <w:rsid w:val="002913C7"/>
    <w:rsid w:val="0029197D"/>
    <w:rsid w:val="00293A66"/>
    <w:rsid w:val="00294535"/>
    <w:rsid w:val="002948F4"/>
    <w:rsid w:val="002959DB"/>
    <w:rsid w:val="00296224"/>
    <w:rsid w:val="00297ECD"/>
    <w:rsid w:val="002A03F5"/>
    <w:rsid w:val="002A0E8B"/>
    <w:rsid w:val="002A1CA1"/>
    <w:rsid w:val="002A23CB"/>
    <w:rsid w:val="002A4680"/>
    <w:rsid w:val="002A4C17"/>
    <w:rsid w:val="002A4C83"/>
    <w:rsid w:val="002A58FD"/>
    <w:rsid w:val="002A6DAF"/>
    <w:rsid w:val="002B0423"/>
    <w:rsid w:val="002B04D0"/>
    <w:rsid w:val="002B0685"/>
    <w:rsid w:val="002B0CA2"/>
    <w:rsid w:val="002B0E1D"/>
    <w:rsid w:val="002B0E69"/>
    <w:rsid w:val="002B2E45"/>
    <w:rsid w:val="002B2E91"/>
    <w:rsid w:val="002B3F85"/>
    <w:rsid w:val="002B6A6F"/>
    <w:rsid w:val="002B6EE2"/>
    <w:rsid w:val="002B79B7"/>
    <w:rsid w:val="002C400B"/>
    <w:rsid w:val="002C4E18"/>
    <w:rsid w:val="002C5E32"/>
    <w:rsid w:val="002D1B68"/>
    <w:rsid w:val="002D1C00"/>
    <w:rsid w:val="002E0B63"/>
    <w:rsid w:val="002E2B49"/>
    <w:rsid w:val="002E2FBC"/>
    <w:rsid w:val="002E44A7"/>
    <w:rsid w:val="002E5DD5"/>
    <w:rsid w:val="002E5F28"/>
    <w:rsid w:val="002F03C0"/>
    <w:rsid w:val="002F1AD4"/>
    <w:rsid w:val="002F1CB9"/>
    <w:rsid w:val="002F2891"/>
    <w:rsid w:val="002F30FF"/>
    <w:rsid w:val="002F372A"/>
    <w:rsid w:val="002F38C3"/>
    <w:rsid w:val="002F40A5"/>
    <w:rsid w:val="002F5315"/>
    <w:rsid w:val="002F53EE"/>
    <w:rsid w:val="00301B1F"/>
    <w:rsid w:val="003024D4"/>
    <w:rsid w:val="0030304C"/>
    <w:rsid w:val="0030556C"/>
    <w:rsid w:val="00305C88"/>
    <w:rsid w:val="00305CCD"/>
    <w:rsid w:val="00306037"/>
    <w:rsid w:val="00306112"/>
    <w:rsid w:val="00306CE2"/>
    <w:rsid w:val="00307669"/>
    <w:rsid w:val="00310846"/>
    <w:rsid w:val="003109E6"/>
    <w:rsid w:val="0031267A"/>
    <w:rsid w:val="0031332A"/>
    <w:rsid w:val="00316837"/>
    <w:rsid w:val="00316F6A"/>
    <w:rsid w:val="00320E3B"/>
    <w:rsid w:val="003210E1"/>
    <w:rsid w:val="00322578"/>
    <w:rsid w:val="003230D9"/>
    <w:rsid w:val="003234AA"/>
    <w:rsid w:val="00323D9A"/>
    <w:rsid w:val="00323DC9"/>
    <w:rsid w:val="003243E1"/>
    <w:rsid w:val="00325117"/>
    <w:rsid w:val="00326064"/>
    <w:rsid w:val="0032737C"/>
    <w:rsid w:val="00331972"/>
    <w:rsid w:val="00333446"/>
    <w:rsid w:val="0033379B"/>
    <w:rsid w:val="00334125"/>
    <w:rsid w:val="00334B8A"/>
    <w:rsid w:val="00334CC1"/>
    <w:rsid w:val="003405D3"/>
    <w:rsid w:val="003406AB"/>
    <w:rsid w:val="00340F28"/>
    <w:rsid w:val="003431A7"/>
    <w:rsid w:val="003469AE"/>
    <w:rsid w:val="00346E9E"/>
    <w:rsid w:val="00350DA1"/>
    <w:rsid w:val="00351312"/>
    <w:rsid w:val="003515D2"/>
    <w:rsid w:val="00351CBB"/>
    <w:rsid w:val="00351EFA"/>
    <w:rsid w:val="00355A88"/>
    <w:rsid w:val="003610D9"/>
    <w:rsid w:val="0036161F"/>
    <w:rsid w:val="003627DE"/>
    <w:rsid w:val="003645B0"/>
    <w:rsid w:val="00365FC7"/>
    <w:rsid w:val="00366E38"/>
    <w:rsid w:val="00367913"/>
    <w:rsid w:val="00371A29"/>
    <w:rsid w:val="003720AB"/>
    <w:rsid w:val="00372BFF"/>
    <w:rsid w:val="00372F66"/>
    <w:rsid w:val="003742B1"/>
    <w:rsid w:val="003753C4"/>
    <w:rsid w:val="00376671"/>
    <w:rsid w:val="00376CA6"/>
    <w:rsid w:val="0037770E"/>
    <w:rsid w:val="00377A48"/>
    <w:rsid w:val="00383AA8"/>
    <w:rsid w:val="00384ADE"/>
    <w:rsid w:val="0038639A"/>
    <w:rsid w:val="003877FB"/>
    <w:rsid w:val="0039065A"/>
    <w:rsid w:val="00390F3F"/>
    <w:rsid w:val="00393423"/>
    <w:rsid w:val="003939EB"/>
    <w:rsid w:val="00394C3A"/>
    <w:rsid w:val="0039520D"/>
    <w:rsid w:val="0039651C"/>
    <w:rsid w:val="003978A7"/>
    <w:rsid w:val="003A0A1E"/>
    <w:rsid w:val="003A2492"/>
    <w:rsid w:val="003A3288"/>
    <w:rsid w:val="003A3D35"/>
    <w:rsid w:val="003A42AB"/>
    <w:rsid w:val="003A5B44"/>
    <w:rsid w:val="003A6901"/>
    <w:rsid w:val="003A7ADD"/>
    <w:rsid w:val="003A7AE7"/>
    <w:rsid w:val="003B009D"/>
    <w:rsid w:val="003B1FDF"/>
    <w:rsid w:val="003B2A4A"/>
    <w:rsid w:val="003B3A0D"/>
    <w:rsid w:val="003B58DF"/>
    <w:rsid w:val="003B6193"/>
    <w:rsid w:val="003B7093"/>
    <w:rsid w:val="003C132D"/>
    <w:rsid w:val="003C2F29"/>
    <w:rsid w:val="003C3B51"/>
    <w:rsid w:val="003C3E33"/>
    <w:rsid w:val="003C3F79"/>
    <w:rsid w:val="003C3F97"/>
    <w:rsid w:val="003C4A38"/>
    <w:rsid w:val="003C58DB"/>
    <w:rsid w:val="003C5D88"/>
    <w:rsid w:val="003C7D62"/>
    <w:rsid w:val="003D377D"/>
    <w:rsid w:val="003D37FA"/>
    <w:rsid w:val="003D5841"/>
    <w:rsid w:val="003D5B10"/>
    <w:rsid w:val="003D660F"/>
    <w:rsid w:val="003D73B6"/>
    <w:rsid w:val="003E1317"/>
    <w:rsid w:val="003E33B5"/>
    <w:rsid w:val="003E3607"/>
    <w:rsid w:val="003E4A4B"/>
    <w:rsid w:val="003E6F29"/>
    <w:rsid w:val="003E772F"/>
    <w:rsid w:val="003F10BD"/>
    <w:rsid w:val="003F3893"/>
    <w:rsid w:val="003F644A"/>
    <w:rsid w:val="003F6C6D"/>
    <w:rsid w:val="003F7235"/>
    <w:rsid w:val="003F741E"/>
    <w:rsid w:val="003F7BE3"/>
    <w:rsid w:val="00400FE7"/>
    <w:rsid w:val="00401829"/>
    <w:rsid w:val="00401A65"/>
    <w:rsid w:val="00402640"/>
    <w:rsid w:val="00405C0F"/>
    <w:rsid w:val="004069A6"/>
    <w:rsid w:val="0041110D"/>
    <w:rsid w:val="0041111E"/>
    <w:rsid w:val="0041140B"/>
    <w:rsid w:val="00412FA8"/>
    <w:rsid w:val="004142CF"/>
    <w:rsid w:val="004144B0"/>
    <w:rsid w:val="00415F63"/>
    <w:rsid w:val="0042149F"/>
    <w:rsid w:val="00421A3B"/>
    <w:rsid w:val="00421D83"/>
    <w:rsid w:val="00424B4F"/>
    <w:rsid w:val="004260BD"/>
    <w:rsid w:val="00426AC4"/>
    <w:rsid w:val="0043001E"/>
    <w:rsid w:val="00430DDD"/>
    <w:rsid w:val="00432209"/>
    <w:rsid w:val="004329D4"/>
    <w:rsid w:val="00433092"/>
    <w:rsid w:val="004358F6"/>
    <w:rsid w:val="004365DE"/>
    <w:rsid w:val="00440266"/>
    <w:rsid w:val="00441D2F"/>
    <w:rsid w:val="00441F25"/>
    <w:rsid w:val="004424AA"/>
    <w:rsid w:val="004428E7"/>
    <w:rsid w:val="00446DBB"/>
    <w:rsid w:val="0044754F"/>
    <w:rsid w:val="00450CA8"/>
    <w:rsid w:val="0045104E"/>
    <w:rsid w:val="0045185C"/>
    <w:rsid w:val="00451FDF"/>
    <w:rsid w:val="004546AA"/>
    <w:rsid w:val="00456D29"/>
    <w:rsid w:val="0046044A"/>
    <w:rsid w:val="00462EBC"/>
    <w:rsid w:val="004632E0"/>
    <w:rsid w:val="0046393D"/>
    <w:rsid w:val="00463B92"/>
    <w:rsid w:val="00463BBB"/>
    <w:rsid w:val="0046478D"/>
    <w:rsid w:val="004649F0"/>
    <w:rsid w:val="00465F53"/>
    <w:rsid w:val="004660B7"/>
    <w:rsid w:val="004664DA"/>
    <w:rsid w:val="004667F5"/>
    <w:rsid w:val="00467216"/>
    <w:rsid w:val="00467407"/>
    <w:rsid w:val="00467994"/>
    <w:rsid w:val="00470D2A"/>
    <w:rsid w:val="004750CD"/>
    <w:rsid w:val="0047667F"/>
    <w:rsid w:val="004768DE"/>
    <w:rsid w:val="00477A5B"/>
    <w:rsid w:val="00480193"/>
    <w:rsid w:val="004804A5"/>
    <w:rsid w:val="00482B94"/>
    <w:rsid w:val="00484A54"/>
    <w:rsid w:val="0048583B"/>
    <w:rsid w:val="00485ABF"/>
    <w:rsid w:val="00485DA6"/>
    <w:rsid w:val="00486B57"/>
    <w:rsid w:val="00487B4B"/>
    <w:rsid w:val="004914FF"/>
    <w:rsid w:val="00492BD2"/>
    <w:rsid w:val="0049304D"/>
    <w:rsid w:val="0049404B"/>
    <w:rsid w:val="00494215"/>
    <w:rsid w:val="00494BD6"/>
    <w:rsid w:val="004964D5"/>
    <w:rsid w:val="004976F5"/>
    <w:rsid w:val="004A2869"/>
    <w:rsid w:val="004A3CC7"/>
    <w:rsid w:val="004A4F2D"/>
    <w:rsid w:val="004A5827"/>
    <w:rsid w:val="004A5CB6"/>
    <w:rsid w:val="004A764A"/>
    <w:rsid w:val="004B12B3"/>
    <w:rsid w:val="004B1C60"/>
    <w:rsid w:val="004B34F6"/>
    <w:rsid w:val="004B50E2"/>
    <w:rsid w:val="004B58B9"/>
    <w:rsid w:val="004B6140"/>
    <w:rsid w:val="004B6448"/>
    <w:rsid w:val="004B6474"/>
    <w:rsid w:val="004B69D7"/>
    <w:rsid w:val="004C011D"/>
    <w:rsid w:val="004C2AA0"/>
    <w:rsid w:val="004C3035"/>
    <w:rsid w:val="004C3A93"/>
    <w:rsid w:val="004C3AC1"/>
    <w:rsid w:val="004C5C95"/>
    <w:rsid w:val="004C5EA5"/>
    <w:rsid w:val="004C6BF7"/>
    <w:rsid w:val="004D1E4A"/>
    <w:rsid w:val="004D3236"/>
    <w:rsid w:val="004D6122"/>
    <w:rsid w:val="004D6BA1"/>
    <w:rsid w:val="004D7B02"/>
    <w:rsid w:val="004E0688"/>
    <w:rsid w:val="004E26CB"/>
    <w:rsid w:val="004E3901"/>
    <w:rsid w:val="004E4AEE"/>
    <w:rsid w:val="004E674C"/>
    <w:rsid w:val="004E6853"/>
    <w:rsid w:val="004E7D6B"/>
    <w:rsid w:val="004F0716"/>
    <w:rsid w:val="004F1703"/>
    <w:rsid w:val="004F363C"/>
    <w:rsid w:val="004F5C3F"/>
    <w:rsid w:val="004F6274"/>
    <w:rsid w:val="005006D3"/>
    <w:rsid w:val="0050555E"/>
    <w:rsid w:val="00506A46"/>
    <w:rsid w:val="00513F03"/>
    <w:rsid w:val="00514275"/>
    <w:rsid w:val="005142CB"/>
    <w:rsid w:val="00514628"/>
    <w:rsid w:val="005147A3"/>
    <w:rsid w:val="005156F2"/>
    <w:rsid w:val="00515E39"/>
    <w:rsid w:val="005168B2"/>
    <w:rsid w:val="0051694B"/>
    <w:rsid w:val="00516AC3"/>
    <w:rsid w:val="00516C5E"/>
    <w:rsid w:val="005207BE"/>
    <w:rsid w:val="00522AF1"/>
    <w:rsid w:val="00523D1C"/>
    <w:rsid w:val="005245EE"/>
    <w:rsid w:val="00524A94"/>
    <w:rsid w:val="0052588F"/>
    <w:rsid w:val="00526474"/>
    <w:rsid w:val="00526A44"/>
    <w:rsid w:val="005315B2"/>
    <w:rsid w:val="00531F36"/>
    <w:rsid w:val="005326E4"/>
    <w:rsid w:val="005326F3"/>
    <w:rsid w:val="00533AFA"/>
    <w:rsid w:val="005348C0"/>
    <w:rsid w:val="00535757"/>
    <w:rsid w:val="005377B1"/>
    <w:rsid w:val="00537E4E"/>
    <w:rsid w:val="0054007A"/>
    <w:rsid w:val="00540F8B"/>
    <w:rsid w:val="005412AA"/>
    <w:rsid w:val="005421A3"/>
    <w:rsid w:val="0054381C"/>
    <w:rsid w:val="00544046"/>
    <w:rsid w:val="005468A5"/>
    <w:rsid w:val="005475D2"/>
    <w:rsid w:val="00550CB3"/>
    <w:rsid w:val="00552E3C"/>
    <w:rsid w:val="005532A3"/>
    <w:rsid w:val="00554C29"/>
    <w:rsid w:val="005553DC"/>
    <w:rsid w:val="0055612F"/>
    <w:rsid w:val="00556220"/>
    <w:rsid w:val="00556EB8"/>
    <w:rsid w:val="00557A54"/>
    <w:rsid w:val="00561E1F"/>
    <w:rsid w:val="005644E9"/>
    <w:rsid w:val="005646AB"/>
    <w:rsid w:val="00566EB5"/>
    <w:rsid w:val="0057011D"/>
    <w:rsid w:val="005702B0"/>
    <w:rsid w:val="0057091A"/>
    <w:rsid w:val="0057357E"/>
    <w:rsid w:val="00573EA9"/>
    <w:rsid w:val="0057465D"/>
    <w:rsid w:val="00574FA4"/>
    <w:rsid w:val="0057585E"/>
    <w:rsid w:val="005812BE"/>
    <w:rsid w:val="005826C9"/>
    <w:rsid w:val="00584B71"/>
    <w:rsid w:val="00584F07"/>
    <w:rsid w:val="00586822"/>
    <w:rsid w:val="00587779"/>
    <w:rsid w:val="00587884"/>
    <w:rsid w:val="0059029C"/>
    <w:rsid w:val="00591193"/>
    <w:rsid w:val="005913BD"/>
    <w:rsid w:val="00592021"/>
    <w:rsid w:val="0059236A"/>
    <w:rsid w:val="005925A0"/>
    <w:rsid w:val="00594358"/>
    <w:rsid w:val="005947CF"/>
    <w:rsid w:val="005970F5"/>
    <w:rsid w:val="00597E60"/>
    <w:rsid w:val="005A023D"/>
    <w:rsid w:val="005A0C97"/>
    <w:rsid w:val="005A2347"/>
    <w:rsid w:val="005A42DA"/>
    <w:rsid w:val="005A6DB0"/>
    <w:rsid w:val="005A727E"/>
    <w:rsid w:val="005B0D80"/>
    <w:rsid w:val="005B0F20"/>
    <w:rsid w:val="005B2062"/>
    <w:rsid w:val="005B2168"/>
    <w:rsid w:val="005B3D16"/>
    <w:rsid w:val="005B4484"/>
    <w:rsid w:val="005B476A"/>
    <w:rsid w:val="005B500D"/>
    <w:rsid w:val="005B7CC5"/>
    <w:rsid w:val="005C22CF"/>
    <w:rsid w:val="005C2E42"/>
    <w:rsid w:val="005C3ACF"/>
    <w:rsid w:val="005C3F13"/>
    <w:rsid w:val="005C40EA"/>
    <w:rsid w:val="005C49CD"/>
    <w:rsid w:val="005C4CCA"/>
    <w:rsid w:val="005C4D41"/>
    <w:rsid w:val="005C61EE"/>
    <w:rsid w:val="005D10D0"/>
    <w:rsid w:val="005D1834"/>
    <w:rsid w:val="005D78C9"/>
    <w:rsid w:val="005E0CA5"/>
    <w:rsid w:val="005E1467"/>
    <w:rsid w:val="005E1683"/>
    <w:rsid w:val="005E183D"/>
    <w:rsid w:val="005E1E09"/>
    <w:rsid w:val="005E2699"/>
    <w:rsid w:val="005E39EC"/>
    <w:rsid w:val="005E76B0"/>
    <w:rsid w:val="005E770D"/>
    <w:rsid w:val="005F0040"/>
    <w:rsid w:val="005F09B1"/>
    <w:rsid w:val="005F143D"/>
    <w:rsid w:val="005F1B89"/>
    <w:rsid w:val="005F290B"/>
    <w:rsid w:val="005F319D"/>
    <w:rsid w:val="005F447A"/>
    <w:rsid w:val="005F47E9"/>
    <w:rsid w:val="005F503C"/>
    <w:rsid w:val="005F5A7A"/>
    <w:rsid w:val="005F6FC9"/>
    <w:rsid w:val="005F7F48"/>
    <w:rsid w:val="00602303"/>
    <w:rsid w:val="0060365C"/>
    <w:rsid w:val="00610CF8"/>
    <w:rsid w:val="006119FC"/>
    <w:rsid w:val="00612EF6"/>
    <w:rsid w:val="00613B32"/>
    <w:rsid w:val="00613E91"/>
    <w:rsid w:val="0061411D"/>
    <w:rsid w:val="006218B0"/>
    <w:rsid w:val="006226E4"/>
    <w:rsid w:val="00624ED3"/>
    <w:rsid w:val="00625328"/>
    <w:rsid w:val="00626056"/>
    <w:rsid w:val="006312A4"/>
    <w:rsid w:val="006335EF"/>
    <w:rsid w:val="006337DC"/>
    <w:rsid w:val="00634EA3"/>
    <w:rsid w:val="00637CAA"/>
    <w:rsid w:val="00640690"/>
    <w:rsid w:val="0064244D"/>
    <w:rsid w:val="00642594"/>
    <w:rsid w:val="0064398C"/>
    <w:rsid w:val="00643EFE"/>
    <w:rsid w:val="00644995"/>
    <w:rsid w:val="00646368"/>
    <w:rsid w:val="006517E1"/>
    <w:rsid w:val="00652A17"/>
    <w:rsid w:val="0065418C"/>
    <w:rsid w:val="00654C5B"/>
    <w:rsid w:val="0065784D"/>
    <w:rsid w:val="00657F1A"/>
    <w:rsid w:val="0066076B"/>
    <w:rsid w:val="00661D49"/>
    <w:rsid w:val="00661EE4"/>
    <w:rsid w:val="0066356B"/>
    <w:rsid w:val="00665BEC"/>
    <w:rsid w:val="0067362F"/>
    <w:rsid w:val="00673BC3"/>
    <w:rsid w:val="006745C6"/>
    <w:rsid w:val="00675BF5"/>
    <w:rsid w:val="00676036"/>
    <w:rsid w:val="006772B5"/>
    <w:rsid w:val="006806FD"/>
    <w:rsid w:val="00680A8C"/>
    <w:rsid w:val="006837AD"/>
    <w:rsid w:val="00683C75"/>
    <w:rsid w:val="00685CCD"/>
    <w:rsid w:val="00685E2D"/>
    <w:rsid w:val="00687980"/>
    <w:rsid w:val="0069025C"/>
    <w:rsid w:val="0069082D"/>
    <w:rsid w:val="00691BA7"/>
    <w:rsid w:val="00694158"/>
    <w:rsid w:val="00695EE7"/>
    <w:rsid w:val="0069601F"/>
    <w:rsid w:val="00696B85"/>
    <w:rsid w:val="00696CF8"/>
    <w:rsid w:val="006A2336"/>
    <w:rsid w:val="006A56C0"/>
    <w:rsid w:val="006A5FFF"/>
    <w:rsid w:val="006A6A5E"/>
    <w:rsid w:val="006A6A6F"/>
    <w:rsid w:val="006A6D57"/>
    <w:rsid w:val="006A727D"/>
    <w:rsid w:val="006B0701"/>
    <w:rsid w:val="006B15D5"/>
    <w:rsid w:val="006B1A63"/>
    <w:rsid w:val="006B1B30"/>
    <w:rsid w:val="006B2B48"/>
    <w:rsid w:val="006B3A87"/>
    <w:rsid w:val="006B52EE"/>
    <w:rsid w:val="006B68C8"/>
    <w:rsid w:val="006C02D7"/>
    <w:rsid w:val="006C16EE"/>
    <w:rsid w:val="006C1D92"/>
    <w:rsid w:val="006C2145"/>
    <w:rsid w:val="006C56E8"/>
    <w:rsid w:val="006C5F35"/>
    <w:rsid w:val="006C662C"/>
    <w:rsid w:val="006C6855"/>
    <w:rsid w:val="006C6BC6"/>
    <w:rsid w:val="006C6CE3"/>
    <w:rsid w:val="006C7595"/>
    <w:rsid w:val="006D1AFA"/>
    <w:rsid w:val="006D420A"/>
    <w:rsid w:val="006D49BC"/>
    <w:rsid w:val="006D4A43"/>
    <w:rsid w:val="006D62BD"/>
    <w:rsid w:val="006D6427"/>
    <w:rsid w:val="006D65C3"/>
    <w:rsid w:val="006D7391"/>
    <w:rsid w:val="006E0038"/>
    <w:rsid w:val="006E25FF"/>
    <w:rsid w:val="006E27BC"/>
    <w:rsid w:val="006E3039"/>
    <w:rsid w:val="006E6E31"/>
    <w:rsid w:val="006E7C52"/>
    <w:rsid w:val="006F02F9"/>
    <w:rsid w:val="006F0325"/>
    <w:rsid w:val="006F1FE6"/>
    <w:rsid w:val="0070175B"/>
    <w:rsid w:val="00702A98"/>
    <w:rsid w:val="007038A7"/>
    <w:rsid w:val="00704588"/>
    <w:rsid w:val="00705182"/>
    <w:rsid w:val="00705AE0"/>
    <w:rsid w:val="00711250"/>
    <w:rsid w:val="00711252"/>
    <w:rsid w:val="00711292"/>
    <w:rsid w:val="007123DC"/>
    <w:rsid w:val="00713542"/>
    <w:rsid w:val="00716299"/>
    <w:rsid w:val="00716554"/>
    <w:rsid w:val="00717092"/>
    <w:rsid w:val="00717786"/>
    <w:rsid w:val="007177CF"/>
    <w:rsid w:val="0072112B"/>
    <w:rsid w:val="00721463"/>
    <w:rsid w:val="007215EC"/>
    <w:rsid w:val="0072182A"/>
    <w:rsid w:val="00722C84"/>
    <w:rsid w:val="0072361F"/>
    <w:rsid w:val="00727C4F"/>
    <w:rsid w:val="0073143C"/>
    <w:rsid w:val="007314FC"/>
    <w:rsid w:val="00733615"/>
    <w:rsid w:val="00733617"/>
    <w:rsid w:val="0074091A"/>
    <w:rsid w:val="0074136C"/>
    <w:rsid w:val="00741797"/>
    <w:rsid w:val="007442F5"/>
    <w:rsid w:val="00744958"/>
    <w:rsid w:val="00747E4A"/>
    <w:rsid w:val="0075114D"/>
    <w:rsid w:val="00751303"/>
    <w:rsid w:val="00752BE9"/>
    <w:rsid w:val="00754F6C"/>
    <w:rsid w:val="00754F94"/>
    <w:rsid w:val="00756202"/>
    <w:rsid w:val="00756E53"/>
    <w:rsid w:val="00757848"/>
    <w:rsid w:val="007607CB"/>
    <w:rsid w:val="00761308"/>
    <w:rsid w:val="00761782"/>
    <w:rsid w:val="00766EF7"/>
    <w:rsid w:val="007677CB"/>
    <w:rsid w:val="007677D1"/>
    <w:rsid w:val="00772E91"/>
    <w:rsid w:val="007732B5"/>
    <w:rsid w:val="0077362F"/>
    <w:rsid w:val="00773904"/>
    <w:rsid w:val="007745BF"/>
    <w:rsid w:val="00774A1C"/>
    <w:rsid w:val="00774EFA"/>
    <w:rsid w:val="00775BBE"/>
    <w:rsid w:val="00776040"/>
    <w:rsid w:val="00776312"/>
    <w:rsid w:val="00776559"/>
    <w:rsid w:val="0078019F"/>
    <w:rsid w:val="00781135"/>
    <w:rsid w:val="00783C16"/>
    <w:rsid w:val="007847FB"/>
    <w:rsid w:val="00784915"/>
    <w:rsid w:val="00784B3E"/>
    <w:rsid w:val="00784E6A"/>
    <w:rsid w:val="007851FF"/>
    <w:rsid w:val="007859A0"/>
    <w:rsid w:val="0078632D"/>
    <w:rsid w:val="0078653E"/>
    <w:rsid w:val="0078770E"/>
    <w:rsid w:val="00792DB6"/>
    <w:rsid w:val="00792F6F"/>
    <w:rsid w:val="007949A3"/>
    <w:rsid w:val="00794B1C"/>
    <w:rsid w:val="00794E10"/>
    <w:rsid w:val="007955EC"/>
    <w:rsid w:val="00796775"/>
    <w:rsid w:val="007A017A"/>
    <w:rsid w:val="007A089B"/>
    <w:rsid w:val="007A4359"/>
    <w:rsid w:val="007A4DF9"/>
    <w:rsid w:val="007A61CF"/>
    <w:rsid w:val="007B2348"/>
    <w:rsid w:val="007B2458"/>
    <w:rsid w:val="007B2D36"/>
    <w:rsid w:val="007B7225"/>
    <w:rsid w:val="007B7226"/>
    <w:rsid w:val="007C1191"/>
    <w:rsid w:val="007C18CA"/>
    <w:rsid w:val="007C1937"/>
    <w:rsid w:val="007C275E"/>
    <w:rsid w:val="007C5653"/>
    <w:rsid w:val="007C5B34"/>
    <w:rsid w:val="007C7F39"/>
    <w:rsid w:val="007D1F49"/>
    <w:rsid w:val="007D2265"/>
    <w:rsid w:val="007D3C3F"/>
    <w:rsid w:val="007D431B"/>
    <w:rsid w:val="007D5AFA"/>
    <w:rsid w:val="007D7F27"/>
    <w:rsid w:val="007E0168"/>
    <w:rsid w:val="007E0CAB"/>
    <w:rsid w:val="007E1F68"/>
    <w:rsid w:val="007E2250"/>
    <w:rsid w:val="007E314C"/>
    <w:rsid w:val="007E5676"/>
    <w:rsid w:val="007E63C9"/>
    <w:rsid w:val="007E736A"/>
    <w:rsid w:val="007F0D65"/>
    <w:rsid w:val="007F1353"/>
    <w:rsid w:val="007F216C"/>
    <w:rsid w:val="007F2AE5"/>
    <w:rsid w:val="007F3983"/>
    <w:rsid w:val="007F3E13"/>
    <w:rsid w:val="007F4025"/>
    <w:rsid w:val="007F532B"/>
    <w:rsid w:val="007F632C"/>
    <w:rsid w:val="007F6AE2"/>
    <w:rsid w:val="007F6E2F"/>
    <w:rsid w:val="007F7475"/>
    <w:rsid w:val="00800675"/>
    <w:rsid w:val="00802FFE"/>
    <w:rsid w:val="00805483"/>
    <w:rsid w:val="008059F1"/>
    <w:rsid w:val="00805E19"/>
    <w:rsid w:val="0080731A"/>
    <w:rsid w:val="00810EF2"/>
    <w:rsid w:val="00811283"/>
    <w:rsid w:val="008129EA"/>
    <w:rsid w:val="00812A08"/>
    <w:rsid w:val="00812BE3"/>
    <w:rsid w:val="008136E1"/>
    <w:rsid w:val="00813B34"/>
    <w:rsid w:val="008146F5"/>
    <w:rsid w:val="00814FC8"/>
    <w:rsid w:val="008162AB"/>
    <w:rsid w:val="008201B7"/>
    <w:rsid w:val="008202EA"/>
    <w:rsid w:val="00820D39"/>
    <w:rsid w:val="00822B58"/>
    <w:rsid w:val="00822BBA"/>
    <w:rsid w:val="00822C3C"/>
    <w:rsid w:val="00822C9E"/>
    <w:rsid w:val="008268F8"/>
    <w:rsid w:val="00827051"/>
    <w:rsid w:val="00832252"/>
    <w:rsid w:val="00834EBB"/>
    <w:rsid w:val="00835D62"/>
    <w:rsid w:val="0083698C"/>
    <w:rsid w:val="008374B6"/>
    <w:rsid w:val="00840C41"/>
    <w:rsid w:val="008417D0"/>
    <w:rsid w:val="008424D1"/>
    <w:rsid w:val="00842F0D"/>
    <w:rsid w:val="00844FC8"/>
    <w:rsid w:val="00846174"/>
    <w:rsid w:val="008472AC"/>
    <w:rsid w:val="008473F1"/>
    <w:rsid w:val="008503A7"/>
    <w:rsid w:val="00850CB3"/>
    <w:rsid w:val="00852E9B"/>
    <w:rsid w:val="008532FF"/>
    <w:rsid w:val="008535FC"/>
    <w:rsid w:val="00854D4C"/>
    <w:rsid w:val="00856754"/>
    <w:rsid w:val="00857634"/>
    <w:rsid w:val="00860849"/>
    <w:rsid w:val="00867064"/>
    <w:rsid w:val="00867716"/>
    <w:rsid w:val="00867D7E"/>
    <w:rsid w:val="00867F52"/>
    <w:rsid w:val="0087093A"/>
    <w:rsid w:val="00870BD4"/>
    <w:rsid w:val="0087356A"/>
    <w:rsid w:val="00873EA6"/>
    <w:rsid w:val="008761DB"/>
    <w:rsid w:val="00877075"/>
    <w:rsid w:val="00880878"/>
    <w:rsid w:val="00880C2E"/>
    <w:rsid w:val="00881EFB"/>
    <w:rsid w:val="00882738"/>
    <w:rsid w:val="008831EB"/>
    <w:rsid w:val="00884F88"/>
    <w:rsid w:val="00892127"/>
    <w:rsid w:val="0089230D"/>
    <w:rsid w:val="00892A8A"/>
    <w:rsid w:val="00892C23"/>
    <w:rsid w:val="008932AF"/>
    <w:rsid w:val="008932CB"/>
    <w:rsid w:val="008947EA"/>
    <w:rsid w:val="008950C8"/>
    <w:rsid w:val="00897D7A"/>
    <w:rsid w:val="008A23D7"/>
    <w:rsid w:val="008A35DD"/>
    <w:rsid w:val="008A4A56"/>
    <w:rsid w:val="008A4A74"/>
    <w:rsid w:val="008A5577"/>
    <w:rsid w:val="008A6C0D"/>
    <w:rsid w:val="008B305E"/>
    <w:rsid w:val="008B3C84"/>
    <w:rsid w:val="008B5554"/>
    <w:rsid w:val="008B61A1"/>
    <w:rsid w:val="008B6D31"/>
    <w:rsid w:val="008B77C0"/>
    <w:rsid w:val="008B783A"/>
    <w:rsid w:val="008C10C1"/>
    <w:rsid w:val="008C2610"/>
    <w:rsid w:val="008C42A0"/>
    <w:rsid w:val="008D1DDD"/>
    <w:rsid w:val="008D23CE"/>
    <w:rsid w:val="008D289B"/>
    <w:rsid w:val="008D34FA"/>
    <w:rsid w:val="008D4CC4"/>
    <w:rsid w:val="008D523A"/>
    <w:rsid w:val="008E0042"/>
    <w:rsid w:val="008E05E5"/>
    <w:rsid w:val="008E2840"/>
    <w:rsid w:val="008E28D7"/>
    <w:rsid w:val="008E3B3E"/>
    <w:rsid w:val="008E4672"/>
    <w:rsid w:val="008E4A8D"/>
    <w:rsid w:val="008E76B1"/>
    <w:rsid w:val="008F1758"/>
    <w:rsid w:val="008F17C6"/>
    <w:rsid w:val="008F25BF"/>
    <w:rsid w:val="008F5C33"/>
    <w:rsid w:val="008F6272"/>
    <w:rsid w:val="008F69DD"/>
    <w:rsid w:val="008F74F4"/>
    <w:rsid w:val="008F7A24"/>
    <w:rsid w:val="009021A7"/>
    <w:rsid w:val="0090399C"/>
    <w:rsid w:val="00905799"/>
    <w:rsid w:val="00906093"/>
    <w:rsid w:val="009075E3"/>
    <w:rsid w:val="00907EF8"/>
    <w:rsid w:val="00910B3D"/>
    <w:rsid w:val="00910D68"/>
    <w:rsid w:val="0091164E"/>
    <w:rsid w:val="00912038"/>
    <w:rsid w:val="00912E53"/>
    <w:rsid w:val="00915575"/>
    <w:rsid w:val="00917701"/>
    <w:rsid w:val="009178EB"/>
    <w:rsid w:val="00920D57"/>
    <w:rsid w:val="00921B88"/>
    <w:rsid w:val="00921C93"/>
    <w:rsid w:val="00923F1C"/>
    <w:rsid w:val="00924DC1"/>
    <w:rsid w:val="00924E67"/>
    <w:rsid w:val="0092543E"/>
    <w:rsid w:val="00926217"/>
    <w:rsid w:val="00926B0F"/>
    <w:rsid w:val="00930932"/>
    <w:rsid w:val="00930AC2"/>
    <w:rsid w:val="00930CCF"/>
    <w:rsid w:val="00930DBF"/>
    <w:rsid w:val="00931412"/>
    <w:rsid w:val="00931ADA"/>
    <w:rsid w:val="009320BF"/>
    <w:rsid w:val="00933D7B"/>
    <w:rsid w:val="00934513"/>
    <w:rsid w:val="00935EAD"/>
    <w:rsid w:val="0093709F"/>
    <w:rsid w:val="009374AB"/>
    <w:rsid w:val="009410E3"/>
    <w:rsid w:val="00941E39"/>
    <w:rsid w:val="009429D6"/>
    <w:rsid w:val="00945664"/>
    <w:rsid w:val="00946E8B"/>
    <w:rsid w:val="00950B99"/>
    <w:rsid w:val="009515C7"/>
    <w:rsid w:val="00952FEF"/>
    <w:rsid w:val="00953631"/>
    <w:rsid w:val="00954A63"/>
    <w:rsid w:val="00954E46"/>
    <w:rsid w:val="00955C5F"/>
    <w:rsid w:val="0095609D"/>
    <w:rsid w:val="00960152"/>
    <w:rsid w:val="00960B20"/>
    <w:rsid w:val="009613EA"/>
    <w:rsid w:val="0096246A"/>
    <w:rsid w:val="00964B3C"/>
    <w:rsid w:val="00964E45"/>
    <w:rsid w:val="00967F9B"/>
    <w:rsid w:val="00970C99"/>
    <w:rsid w:val="009749E9"/>
    <w:rsid w:val="00974BA7"/>
    <w:rsid w:val="00974CDA"/>
    <w:rsid w:val="0097678C"/>
    <w:rsid w:val="00976967"/>
    <w:rsid w:val="00976C21"/>
    <w:rsid w:val="009773E8"/>
    <w:rsid w:val="009777DE"/>
    <w:rsid w:val="0098285E"/>
    <w:rsid w:val="009838D4"/>
    <w:rsid w:val="00983A71"/>
    <w:rsid w:val="00983FE7"/>
    <w:rsid w:val="00984107"/>
    <w:rsid w:val="00984CBE"/>
    <w:rsid w:val="00985606"/>
    <w:rsid w:val="00986E4D"/>
    <w:rsid w:val="00990629"/>
    <w:rsid w:val="00991929"/>
    <w:rsid w:val="009919A2"/>
    <w:rsid w:val="009919D8"/>
    <w:rsid w:val="00992587"/>
    <w:rsid w:val="00992F85"/>
    <w:rsid w:val="0099484E"/>
    <w:rsid w:val="00997517"/>
    <w:rsid w:val="009A048B"/>
    <w:rsid w:val="009A11C7"/>
    <w:rsid w:val="009A2E50"/>
    <w:rsid w:val="009A31C0"/>
    <w:rsid w:val="009A33AD"/>
    <w:rsid w:val="009A6D0B"/>
    <w:rsid w:val="009A7ED5"/>
    <w:rsid w:val="009B1FA4"/>
    <w:rsid w:val="009B5727"/>
    <w:rsid w:val="009B66C9"/>
    <w:rsid w:val="009B6D36"/>
    <w:rsid w:val="009B736E"/>
    <w:rsid w:val="009B7CA6"/>
    <w:rsid w:val="009C3434"/>
    <w:rsid w:val="009C3F46"/>
    <w:rsid w:val="009C417A"/>
    <w:rsid w:val="009C4714"/>
    <w:rsid w:val="009C4EE9"/>
    <w:rsid w:val="009C5641"/>
    <w:rsid w:val="009D0C11"/>
    <w:rsid w:val="009D0D95"/>
    <w:rsid w:val="009D1A92"/>
    <w:rsid w:val="009D1CBC"/>
    <w:rsid w:val="009D227B"/>
    <w:rsid w:val="009D2656"/>
    <w:rsid w:val="009D5A55"/>
    <w:rsid w:val="009D6E97"/>
    <w:rsid w:val="009E00C2"/>
    <w:rsid w:val="009E0CAB"/>
    <w:rsid w:val="009E38F9"/>
    <w:rsid w:val="009E490F"/>
    <w:rsid w:val="009E5B58"/>
    <w:rsid w:val="009E5E98"/>
    <w:rsid w:val="009E5EBE"/>
    <w:rsid w:val="009E5F4E"/>
    <w:rsid w:val="009F1C4B"/>
    <w:rsid w:val="009F1F93"/>
    <w:rsid w:val="00A01862"/>
    <w:rsid w:val="00A026E7"/>
    <w:rsid w:val="00A05777"/>
    <w:rsid w:val="00A058CB"/>
    <w:rsid w:val="00A05B8B"/>
    <w:rsid w:val="00A05E77"/>
    <w:rsid w:val="00A06334"/>
    <w:rsid w:val="00A06916"/>
    <w:rsid w:val="00A06D5D"/>
    <w:rsid w:val="00A06DBC"/>
    <w:rsid w:val="00A071C2"/>
    <w:rsid w:val="00A1085B"/>
    <w:rsid w:val="00A1093B"/>
    <w:rsid w:val="00A14294"/>
    <w:rsid w:val="00A14654"/>
    <w:rsid w:val="00A14E18"/>
    <w:rsid w:val="00A15357"/>
    <w:rsid w:val="00A15991"/>
    <w:rsid w:val="00A1684D"/>
    <w:rsid w:val="00A20C4E"/>
    <w:rsid w:val="00A23987"/>
    <w:rsid w:val="00A2415A"/>
    <w:rsid w:val="00A269C3"/>
    <w:rsid w:val="00A271E4"/>
    <w:rsid w:val="00A27558"/>
    <w:rsid w:val="00A27BE8"/>
    <w:rsid w:val="00A32B9D"/>
    <w:rsid w:val="00A3330F"/>
    <w:rsid w:val="00A335EF"/>
    <w:rsid w:val="00A338AC"/>
    <w:rsid w:val="00A3436F"/>
    <w:rsid w:val="00A34587"/>
    <w:rsid w:val="00A35721"/>
    <w:rsid w:val="00A35A86"/>
    <w:rsid w:val="00A36D58"/>
    <w:rsid w:val="00A37714"/>
    <w:rsid w:val="00A378DB"/>
    <w:rsid w:val="00A401BF"/>
    <w:rsid w:val="00A40FE4"/>
    <w:rsid w:val="00A421F9"/>
    <w:rsid w:val="00A42D23"/>
    <w:rsid w:val="00A440BD"/>
    <w:rsid w:val="00A46835"/>
    <w:rsid w:val="00A46DA9"/>
    <w:rsid w:val="00A47CDB"/>
    <w:rsid w:val="00A5157F"/>
    <w:rsid w:val="00A526FF"/>
    <w:rsid w:val="00A53136"/>
    <w:rsid w:val="00A54C5D"/>
    <w:rsid w:val="00A55C34"/>
    <w:rsid w:val="00A56F15"/>
    <w:rsid w:val="00A61DF3"/>
    <w:rsid w:val="00A62A57"/>
    <w:rsid w:val="00A64DE4"/>
    <w:rsid w:val="00A64F61"/>
    <w:rsid w:val="00A66097"/>
    <w:rsid w:val="00A66973"/>
    <w:rsid w:val="00A66FEB"/>
    <w:rsid w:val="00A67CB7"/>
    <w:rsid w:val="00A702A6"/>
    <w:rsid w:val="00A70C31"/>
    <w:rsid w:val="00A71B3C"/>
    <w:rsid w:val="00A73B48"/>
    <w:rsid w:val="00A749EC"/>
    <w:rsid w:val="00A752D3"/>
    <w:rsid w:val="00A76C40"/>
    <w:rsid w:val="00A776B1"/>
    <w:rsid w:val="00A80D74"/>
    <w:rsid w:val="00A81C94"/>
    <w:rsid w:val="00A8210B"/>
    <w:rsid w:val="00A8573D"/>
    <w:rsid w:val="00A8649B"/>
    <w:rsid w:val="00A86841"/>
    <w:rsid w:val="00A86CC4"/>
    <w:rsid w:val="00A87FB4"/>
    <w:rsid w:val="00A91AAC"/>
    <w:rsid w:val="00A944D7"/>
    <w:rsid w:val="00AA0AA7"/>
    <w:rsid w:val="00AA505A"/>
    <w:rsid w:val="00AA63CD"/>
    <w:rsid w:val="00AA65B8"/>
    <w:rsid w:val="00AB0467"/>
    <w:rsid w:val="00AB1B4C"/>
    <w:rsid w:val="00AB1C5B"/>
    <w:rsid w:val="00AB1D0B"/>
    <w:rsid w:val="00AB2D35"/>
    <w:rsid w:val="00AB2E61"/>
    <w:rsid w:val="00AB362A"/>
    <w:rsid w:val="00AB4941"/>
    <w:rsid w:val="00AB51C6"/>
    <w:rsid w:val="00AB562A"/>
    <w:rsid w:val="00AB7D97"/>
    <w:rsid w:val="00AC025F"/>
    <w:rsid w:val="00AC04B0"/>
    <w:rsid w:val="00AC269A"/>
    <w:rsid w:val="00AC3D10"/>
    <w:rsid w:val="00AC55B6"/>
    <w:rsid w:val="00AC617C"/>
    <w:rsid w:val="00AC6A56"/>
    <w:rsid w:val="00AD0563"/>
    <w:rsid w:val="00AD0A16"/>
    <w:rsid w:val="00AD0D94"/>
    <w:rsid w:val="00AD147B"/>
    <w:rsid w:val="00AD17B4"/>
    <w:rsid w:val="00AD47FA"/>
    <w:rsid w:val="00AD4B10"/>
    <w:rsid w:val="00AE0B7F"/>
    <w:rsid w:val="00AE1D89"/>
    <w:rsid w:val="00AE45AA"/>
    <w:rsid w:val="00AE524B"/>
    <w:rsid w:val="00AE570B"/>
    <w:rsid w:val="00AE645C"/>
    <w:rsid w:val="00AE6520"/>
    <w:rsid w:val="00AE6A88"/>
    <w:rsid w:val="00AE74B0"/>
    <w:rsid w:val="00AE7639"/>
    <w:rsid w:val="00AE7C3C"/>
    <w:rsid w:val="00AF029E"/>
    <w:rsid w:val="00AF2611"/>
    <w:rsid w:val="00AF26A4"/>
    <w:rsid w:val="00AF3D3F"/>
    <w:rsid w:val="00AF451A"/>
    <w:rsid w:val="00AF4664"/>
    <w:rsid w:val="00AF5056"/>
    <w:rsid w:val="00AF5615"/>
    <w:rsid w:val="00AF696F"/>
    <w:rsid w:val="00AF6C82"/>
    <w:rsid w:val="00AF6FA1"/>
    <w:rsid w:val="00AF7280"/>
    <w:rsid w:val="00AF7824"/>
    <w:rsid w:val="00B0233B"/>
    <w:rsid w:val="00B02C43"/>
    <w:rsid w:val="00B02E56"/>
    <w:rsid w:val="00B030C8"/>
    <w:rsid w:val="00B05E2A"/>
    <w:rsid w:val="00B06530"/>
    <w:rsid w:val="00B065AB"/>
    <w:rsid w:val="00B1019F"/>
    <w:rsid w:val="00B1123D"/>
    <w:rsid w:val="00B11DE0"/>
    <w:rsid w:val="00B14885"/>
    <w:rsid w:val="00B20B36"/>
    <w:rsid w:val="00B21A3B"/>
    <w:rsid w:val="00B22F09"/>
    <w:rsid w:val="00B23012"/>
    <w:rsid w:val="00B23FAC"/>
    <w:rsid w:val="00B275D1"/>
    <w:rsid w:val="00B32172"/>
    <w:rsid w:val="00B339E5"/>
    <w:rsid w:val="00B33BA8"/>
    <w:rsid w:val="00B36A5C"/>
    <w:rsid w:val="00B3774B"/>
    <w:rsid w:val="00B410F3"/>
    <w:rsid w:val="00B41BAE"/>
    <w:rsid w:val="00B43C8B"/>
    <w:rsid w:val="00B47913"/>
    <w:rsid w:val="00B50E60"/>
    <w:rsid w:val="00B53D05"/>
    <w:rsid w:val="00B53FE5"/>
    <w:rsid w:val="00B54FC5"/>
    <w:rsid w:val="00B557E8"/>
    <w:rsid w:val="00B55E4C"/>
    <w:rsid w:val="00B56ABA"/>
    <w:rsid w:val="00B56CCE"/>
    <w:rsid w:val="00B574D5"/>
    <w:rsid w:val="00B61CE6"/>
    <w:rsid w:val="00B625B4"/>
    <w:rsid w:val="00B64FC8"/>
    <w:rsid w:val="00B66DD2"/>
    <w:rsid w:val="00B674A5"/>
    <w:rsid w:val="00B67894"/>
    <w:rsid w:val="00B70418"/>
    <w:rsid w:val="00B72321"/>
    <w:rsid w:val="00B75DF0"/>
    <w:rsid w:val="00B7731D"/>
    <w:rsid w:val="00B80532"/>
    <w:rsid w:val="00B8137E"/>
    <w:rsid w:val="00B82121"/>
    <w:rsid w:val="00B82871"/>
    <w:rsid w:val="00B828CA"/>
    <w:rsid w:val="00B84D29"/>
    <w:rsid w:val="00B85CDA"/>
    <w:rsid w:val="00B90B1E"/>
    <w:rsid w:val="00B9251B"/>
    <w:rsid w:val="00B92FDA"/>
    <w:rsid w:val="00B93776"/>
    <w:rsid w:val="00B94F28"/>
    <w:rsid w:val="00B97887"/>
    <w:rsid w:val="00BA01FF"/>
    <w:rsid w:val="00BA281E"/>
    <w:rsid w:val="00BA374F"/>
    <w:rsid w:val="00BA395A"/>
    <w:rsid w:val="00BA3FF3"/>
    <w:rsid w:val="00BA56F4"/>
    <w:rsid w:val="00BA689C"/>
    <w:rsid w:val="00BB0BBF"/>
    <w:rsid w:val="00BB2D2B"/>
    <w:rsid w:val="00BB35A3"/>
    <w:rsid w:val="00BB432B"/>
    <w:rsid w:val="00BB6C79"/>
    <w:rsid w:val="00BB74C6"/>
    <w:rsid w:val="00BC04E6"/>
    <w:rsid w:val="00BC0722"/>
    <w:rsid w:val="00BC0B1E"/>
    <w:rsid w:val="00BC12FD"/>
    <w:rsid w:val="00BC271C"/>
    <w:rsid w:val="00BC38D6"/>
    <w:rsid w:val="00BC491A"/>
    <w:rsid w:val="00BC5916"/>
    <w:rsid w:val="00BC5F46"/>
    <w:rsid w:val="00BD1990"/>
    <w:rsid w:val="00BD1E9C"/>
    <w:rsid w:val="00BD20FC"/>
    <w:rsid w:val="00BD2880"/>
    <w:rsid w:val="00BD4D1F"/>
    <w:rsid w:val="00BD5339"/>
    <w:rsid w:val="00BD5619"/>
    <w:rsid w:val="00BD5AEF"/>
    <w:rsid w:val="00BD5ECC"/>
    <w:rsid w:val="00BD6FCE"/>
    <w:rsid w:val="00BE1A69"/>
    <w:rsid w:val="00BE5455"/>
    <w:rsid w:val="00BE5772"/>
    <w:rsid w:val="00BE5C00"/>
    <w:rsid w:val="00BE775C"/>
    <w:rsid w:val="00BF4C00"/>
    <w:rsid w:val="00BF6090"/>
    <w:rsid w:val="00C0078F"/>
    <w:rsid w:val="00C007CF"/>
    <w:rsid w:val="00C01589"/>
    <w:rsid w:val="00C01868"/>
    <w:rsid w:val="00C029A0"/>
    <w:rsid w:val="00C05ECC"/>
    <w:rsid w:val="00C065E2"/>
    <w:rsid w:val="00C066A6"/>
    <w:rsid w:val="00C07019"/>
    <w:rsid w:val="00C0751F"/>
    <w:rsid w:val="00C119DC"/>
    <w:rsid w:val="00C11BE8"/>
    <w:rsid w:val="00C12C17"/>
    <w:rsid w:val="00C13EFC"/>
    <w:rsid w:val="00C14C73"/>
    <w:rsid w:val="00C17E70"/>
    <w:rsid w:val="00C215A7"/>
    <w:rsid w:val="00C21A7F"/>
    <w:rsid w:val="00C237B5"/>
    <w:rsid w:val="00C23A7E"/>
    <w:rsid w:val="00C24105"/>
    <w:rsid w:val="00C25104"/>
    <w:rsid w:val="00C2574F"/>
    <w:rsid w:val="00C3018D"/>
    <w:rsid w:val="00C34C9B"/>
    <w:rsid w:val="00C36052"/>
    <w:rsid w:val="00C44B3A"/>
    <w:rsid w:val="00C44E10"/>
    <w:rsid w:val="00C50276"/>
    <w:rsid w:val="00C517CD"/>
    <w:rsid w:val="00C51DBB"/>
    <w:rsid w:val="00C526A0"/>
    <w:rsid w:val="00C546A5"/>
    <w:rsid w:val="00C57D8A"/>
    <w:rsid w:val="00C62042"/>
    <w:rsid w:val="00C6349B"/>
    <w:rsid w:val="00C66217"/>
    <w:rsid w:val="00C67BD6"/>
    <w:rsid w:val="00C70571"/>
    <w:rsid w:val="00C70D4E"/>
    <w:rsid w:val="00C72AF6"/>
    <w:rsid w:val="00C73E96"/>
    <w:rsid w:val="00C7418C"/>
    <w:rsid w:val="00C74467"/>
    <w:rsid w:val="00C76EB7"/>
    <w:rsid w:val="00C814C9"/>
    <w:rsid w:val="00C818F7"/>
    <w:rsid w:val="00C85993"/>
    <w:rsid w:val="00C859EE"/>
    <w:rsid w:val="00C87131"/>
    <w:rsid w:val="00C872A6"/>
    <w:rsid w:val="00C872D3"/>
    <w:rsid w:val="00C874F2"/>
    <w:rsid w:val="00C87A1B"/>
    <w:rsid w:val="00C90D3D"/>
    <w:rsid w:val="00C91C0B"/>
    <w:rsid w:val="00C92353"/>
    <w:rsid w:val="00C93C5A"/>
    <w:rsid w:val="00C955B9"/>
    <w:rsid w:val="00C9683E"/>
    <w:rsid w:val="00CA31A9"/>
    <w:rsid w:val="00CA5BEC"/>
    <w:rsid w:val="00CA6F42"/>
    <w:rsid w:val="00CA7E00"/>
    <w:rsid w:val="00CB01FF"/>
    <w:rsid w:val="00CB0434"/>
    <w:rsid w:val="00CB0A5E"/>
    <w:rsid w:val="00CB0CD9"/>
    <w:rsid w:val="00CB2668"/>
    <w:rsid w:val="00CB2859"/>
    <w:rsid w:val="00CB2958"/>
    <w:rsid w:val="00CB2DAC"/>
    <w:rsid w:val="00CB4A54"/>
    <w:rsid w:val="00CB6694"/>
    <w:rsid w:val="00CB6ACE"/>
    <w:rsid w:val="00CB7080"/>
    <w:rsid w:val="00CB7487"/>
    <w:rsid w:val="00CB7FA3"/>
    <w:rsid w:val="00CC0234"/>
    <w:rsid w:val="00CC2AE0"/>
    <w:rsid w:val="00CC2CAB"/>
    <w:rsid w:val="00CC4A11"/>
    <w:rsid w:val="00CC744F"/>
    <w:rsid w:val="00CD007E"/>
    <w:rsid w:val="00CD04AF"/>
    <w:rsid w:val="00CD07CC"/>
    <w:rsid w:val="00CD082E"/>
    <w:rsid w:val="00CD0C2C"/>
    <w:rsid w:val="00CD0F86"/>
    <w:rsid w:val="00CD1623"/>
    <w:rsid w:val="00CD2420"/>
    <w:rsid w:val="00CD448B"/>
    <w:rsid w:val="00CD4A5E"/>
    <w:rsid w:val="00CD4AC4"/>
    <w:rsid w:val="00CD4FC3"/>
    <w:rsid w:val="00CD53D8"/>
    <w:rsid w:val="00CD5CD6"/>
    <w:rsid w:val="00CD680D"/>
    <w:rsid w:val="00CD76F4"/>
    <w:rsid w:val="00CE1DD7"/>
    <w:rsid w:val="00CE403E"/>
    <w:rsid w:val="00CE54AF"/>
    <w:rsid w:val="00CE5A3E"/>
    <w:rsid w:val="00CE5B85"/>
    <w:rsid w:val="00CE5BEA"/>
    <w:rsid w:val="00CE5CBD"/>
    <w:rsid w:val="00CE61C1"/>
    <w:rsid w:val="00CE6954"/>
    <w:rsid w:val="00CE6BB7"/>
    <w:rsid w:val="00CF1880"/>
    <w:rsid w:val="00CF21B6"/>
    <w:rsid w:val="00CF4655"/>
    <w:rsid w:val="00CF4F14"/>
    <w:rsid w:val="00CF5B9A"/>
    <w:rsid w:val="00CF746D"/>
    <w:rsid w:val="00D00086"/>
    <w:rsid w:val="00D0074C"/>
    <w:rsid w:val="00D014CE"/>
    <w:rsid w:val="00D025F0"/>
    <w:rsid w:val="00D02641"/>
    <w:rsid w:val="00D03087"/>
    <w:rsid w:val="00D0357D"/>
    <w:rsid w:val="00D03597"/>
    <w:rsid w:val="00D03B57"/>
    <w:rsid w:val="00D04E81"/>
    <w:rsid w:val="00D05AC8"/>
    <w:rsid w:val="00D066FD"/>
    <w:rsid w:val="00D06BA4"/>
    <w:rsid w:val="00D06C63"/>
    <w:rsid w:val="00D10EC4"/>
    <w:rsid w:val="00D11238"/>
    <w:rsid w:val="00D11644"/>
    <w:rsid w:val="00D119D9"/>
    <w:rsid w:val="00D11C43"/>
    <w:rsid w:val="00D1203A"/>
    <w:rsid w:val="00D13CBA"/>
    <w:rsid w:val="00D142FA"/>
    <w:rsid w:val="00D154C0"/>
    <w:rsid w:val="00D21850"/>
    <w:rsid w:val="00D223F0"/>
    <w:rsid w:val="00D22694"/>
    <w:rsid w:val="00D24572"/>
    <w:rsid w:val="00D263F4"/>
    <w:rsid w:val="00D31DF1"/>
    <w:rsid w:val="00D327DF"/>
    <w:rsid w:val="00D32F6A"/>
    <w:rsid w:val="00D336CD"/>
    <w:rsid w:val="00D34E31"/>
    <w:rsid w:val="00D34E7E"/>
    <w:rsid w:val="00D37502"/>
    <w:rsid w:val="00D416A8"/>
    <w:rsid w:val="00D44F19"/>
    <w:rsid w:val="00D46FF9"/>
    <w:rsid w:val="00D472A6"/>
    <w:rsid w:val="00D51423"/>
    <w:rsid w:val="00D51B2B"/>
    <w:rsid w:val="00D51FA2"/>
    <w:rsid w:val="00D5373C"/>
    <w:rsid w:val="00D57202"/>
    <w:rsid w:val="00D57AB6"/>
    <w:rsid w:val="00D63651"/>
    <w:rsid w:val="00D64615"/>
    <w:rsid w:val="00D64A7E"/>
    <w:rsid w:val="00D651E1"/>
    <w:rsid w:val="00D667B0"/>
    <w:rsid w:val="00D679D2"/>
    <w:rsid w:val="00D715F4"/>
    <w:rsid w:val="00D75C92"/>
    <w:rsid w:val="00D7752C"/>
    <w:rsid w:val="00D77D22"/>
    <w:rsid w:val="00D800F4"/>
    <w:rsid w:val="00D80677"/>
    <w:rsid w:val="00D8074E"/>
    <w:rsid w:val="00D80C55"/>
    <w:rsid w:val="00D8139B"/>
    <w:rsid w:val="00D8165F"/>
    <w:rsid w:val="00D81DDF"/>
    <w:rsid w:val="00D8236A"/>
    <w:rsid w:val="00D82AF8"/>
    <w:rsid w:val="00D85F51"/>
    <w:rsid w:val="00D8759B"/>
    <w:rsid w:val="00D87654"/>
    <w:rsid w:val="00D8782E"/>
    <w:rsid w:val="00D90117"/>
    <w:rsid w:val="00D901FF"/>
    <w:rsid w:val="00D917F0"/>
    <w:rsid w:val="00D92C10"/>
    <w:rsid w:val="00D934FB"/>
    <w:rsid w:val="00D94CCB"/>
    <w:rsid w:val="00D96571"/>
    <w:rsid w:val="00D96A3D"/>
    <w:rsid w:val="00D970D6"/>
    <w:rsid w:val="00D978BE"/>
    <w:rsid w:val="00DA075E"/>
    <w:rsid w:val="00DA07C1"/>
    <w:rsid w:val="00DA6C7A"/>
    <w:rsid w:val="00DA6DE9"/>
    <w:rsid w:val="00DA72EB"/>
    <w:rsid w:val="00DA7DF8"/>
    <w:rsid w:val="00DA7EF9"/>
    <w:rsid w:val="00DB0DAF"/>
    <w:rsid w:val="00DB1D35"/>
    <w:rsid w:val="00DB37FB"/>
    <w:rsid w:val="00DB4363"/>
    <w:rsid w:val="00DB450B"/>
    <w:rsid w:val="00DB568D"/>
    <w:rsid w:val="00DB60CF"/>
    <w:rsid w:val="00DB6312"/>
    <w:rsid w:val="00DB6D9D"/>
    <w:rsid w:val="00DB7D34"/>
    <w:rsid w:val="00DC0BD8"/>
    <w:rsid w:val="00DC5353"/>
    <w:rsid w:val="00DC55E2"/>
    <w:rsid w:val="00DC5633"/>
    <w:rsid w:val="00DC59A8"/>
    <w:rsid w:val="00DC6E0B"/>
    <w:rsid w:val="00DD2B37"/>
    <w:rsid w:val="00DD495C"/>
    <w:rsid w:val="00DD4BBD"/>
    <w:rsid w:val="00DD4BC4"/>
    <w:rsid w:val="00DD6148"/>
    <w:rsid w:val="00DD66E8"/>
    <w:rsid w:val="00DE0DC2"/>
    <w:rsid w:val="00DE141D"/>
    <w:rsid w:val="00DE339C"/>
    <w:rsid w:val="00DE4735"/>
    <w:rsid w:val="00DE526F"/>
    <w:rsid w:val="00DE6423"/>
    <w:rsid w:val="00DE6E8F"/>
    <w:rsid w:val="00DE7B6B"/>
    <w:rsid w:val="00DF059A"/>
    <w:rsid w:val="00DF064B"/>
    <w:rsid w:val="00DF0A37"/>
    <w:rsid w:val="00DF2BF3"/>
    <w:rsid w:val="00DF5955"/>
    <w:rsid w:val="00DF7EB1"/>
    <w:rsid w:val="00E00058"/>
    <w:rsid w:val="00E00062"/>
    <w:rsid w:val="00E01AFF"/>
    <w:rsid w:val="00E01F11"/>
    <w:rsid w:val="00E0226D"/>
    <w:rsid w:val="00E04EA3"/>
    <w:rsid w:val="00E12986"/>
    <w:rsid w:val="00E12AB6"/>
    <w:rsid w:val="00E1374A"/>
    <w:rsid w:val="00E13AB9"/>
    <w:rsid w:val="00E1426C"/>
    <w:rsid w:val="00E20044"/>
    <w:rsid w:val="00E20721"/>
    <w:rsid w:val="00E21956"/>
    <w:rsid w:val="00E23AB7"/>
    <w:rsid w:val="00E24640"/>
    <w:rsid w:val="00E25456"/>
    <w:rsid w:val="00E254D1"/>
    <w:rsid w:val="00E352ED"/>
    <w:rsid w:val="00E36467"/>
    <w:rsid w:val="00E366A0"/>
    <w:rsid w:val="00E366B8"/>
    <w:rsid w:val="00E4138D"/>
    <w:rsid w:val="00E41CFE"/>
    <w:rsid w:val="00E420A7"/>
    <w:rsid w:val="00E42114"/>
    <w:rsid w:val="00E42CF3"/>
    <w:rsid w:val="00E42D82"/>
    <w:rsid w:val="00E435F7"/>
    <w:rsid w:val="00E46568"/>
    <w:rsid w:val="00E478C1"/>
    <w:rsid w:val="00E51358"/>
    <w:rsid w:val="00E5239D"/>
    <w:rsid w:val="00E536E2"/>
    <w:rsid w:val="00E539CC"/>
    <w:rsid w:val="00E54480"/>
    <w:rsid w:val="00E551C2"/>
    <w:rsid w:val="00E575EA"/>
    <w:rsid w:val="00E60977"/>
    <w:rsid w:val="00E626D8"/>
    <w:rsid w:val="00E627A9"/>
    <w:rsid w:val="00E64892"/>
    <w:rsid w:val="00E6546B"/>
    <w:rsid w:val="00E6558F"/>
    <w:rsid w:val="00E65B6C"/>
    <w:rsid w:val="00E65FD6"/>
    <w:rsid w:val="00E66238"/>
    <w:rsid w:val="00E66E60"/>
    <w:rsid w:val="00E711DE"/>
    <w:rsid w:val="00E727D5"/>
    <w:rsid w:val="00E73F28"/>
    <w:rsid w:val="00E7602F"/>
    <w:rsid w:val="00E7785E"/>
    <w:rsid w:val="00E803CC"/>
    <w:rsid w:val="00E80AB5"/>
    <w:rsid w:val="00E80D3F"/>
    <w:rsid w:val="00E8129B"/>
    <w:rsid w:val="00E85813"/>
    <w:rsid w:val="00E867F0"/>
    <w:rsid w:val="00E86E7F"/>
    <w:rsid w:val="00E86F1B"/>
    <w:rsid w:val="00E8769E"/>
    <w:rsid w:val="00E90C78"/>
    <w:rsid w:val="00E92234"/>
    <w:rsid w:val="00E92347"/>
    <w:rsid w:val="00E92959"/>
    <w:rsid w:val="00E93127"/>
    <w:rsid w:val="00E952F3"/>
    <w:rsid w:val="00E96E61"/>
    <w:rsid w:val="00EA04E7"/>
    <w:rsid w:val="00EA239B"/>
    <w:rsid w:val="00EA2CAB"/>
    <w:rsid w:val="00EA2F84"/>
    <w:rsid w:val="00EA465D"/>
    <w:rsid w:val="00EA49A5"/>
    <w:rsid w:val="00EA4D05"/>
    <w:rsid w:val="00EA58EE"/>
    <w:rsid w:val="00EA58F5"/>
    <w:rsid w:val="00EA5E5F"/>
    <w:rsid w:val="00EA7691"/>
    <w:rsid w:val="00EB0F3C"/>
    <w:rsid w:val="00EB2A69"/>
    <w:rsid w:val="00EB3B3B"/>
    <w:rsid w:val="00EB59A5"/>
    <w:rsid w:val="00EB6280"/>
    <w:rsid w:val="00EC258A"/>
    <w:rsid w:val="00EC2A41"/>
    <w:rsid w:val="00EC2DB1"/>
    <w:rsid w:val="00EC3A8B"/>
    <w:rsid w:val="00EC4B6B"/>
    <w:rsid w:val="00EC5D93"/>
    <w:rsid w:val="00EC7657"/>
    <w:rsid w:val="00ED00C4"/>
    <w:rsid w:val="00ED1095"/>
    <w:rsid w:val="00ED46E5"/>
    <w:rsid w:val="00ED63B9"/>
    <w:rsid w:val="00ED7A4B"/>
    <w:rsid w:val="00EE0416"/>
    <w:rsid w:val="00EE4165"/>
    <w:rsid w:val="00EE47F8"/>
    <w:rsid w:val="00EE58C2"/>
    <w:rsid w:val="00EE7760"/>
    <w:rsid w:val="00EE7DF1"/>
    <w:rsid w:val="00EF0932"/>
    <w:rsid w:val="00EF1A97"/>
    <w:rsid w:val="00EF1AB7"/>
    <w:rsid w:val="00EF56D0"/>
    <w:rsid w:val="00EF57D2"/>
    <w:rsid w:val="00EF61ED"/>
    <w:rsid w:val="00EF69D3"/>
    <w:rsid w:val="00EF7702"/>
    <w:rsid w:val="00F00A94"/>
    <w:rsid w:val="00F01E48"/>
    <w:rsid w:val="00F01FCD"/>
    <w:rsid w:val="00F01FE1"/>
    <w:rsid w:val="00F024C7"/>
    <w:rsid w:val="00F02B5F"/>
    <w:rsid w:val="00F03E1E"/>
    <w:rsid w:val="00F04FCE"/>
    <w:rsid w:val="00F06DFC"/>
    <w:rsid w:val="00F06F30"/>
    <w:rsid w:val="00F07FBE"/>
    <w:rsid w:val="00F10FAB"/>
    <w:rsid w:val="00F14835"/>
    <w:rsid w:val="00F14AB3"/>
    <w:rsid w:val="00F15BC3"/>
    <w:rsid w:val="00F168AE"/>
    <w:rsid w:val="00F2107C"/>
    <w:rsid w:val="00F23EDB"/>
    <w:rsid w:val="00F2414E"/>
    <w:rsid w:val="00F24F42"/>
    <w:rsid w:val="00F255E8"/>
    <w:rsid w:val="00F258A2"/>
    <w:rsid w:val="00F27B09"/>
    <w:rsid w:val="00F30AA7"/>
    <w:rsid w:val="00F30AAF"/>
    <w:rsid w:val="00F320FA"/>
    <w:rsid w:val="00F33A39"/>
    <w:rsid w:val="00F35F0C"/>
    <w:rsid w:val="00F3690F"/>
    <w:rsid w:val="00F37ADD"/>
    <w:rsid w:val="00F40256"/>
    <w:rsid w:val="00F40B8E"/>
    <w:rsid w:val="00F40EFA"/>
    <w:rsid w:val="00F41A39"/>
    <w:rsid w:val="00F43186"/>
    <w:rsid w:val="00F47500"/>
    <w:rsid w:val="00F50D2E"/>
    <w:rsid w:val="00F51D3A"/>
    <w:rsid w:val="00F52222"/>
    <w:rsid w:val="00F52670"/>
    <w:rsid w:val="00F534CB"/>
    <w:rsid w:val="00F53F93"/>
    <w:rsid w:val="00F54BD2"/>
    <w:rsid w:val="00F5522D"/>
    <w:rsid w:val="00F556A8"/>
    <w:rsid w:val="00F56488"/>
    <w:rsid w:val="00F574A1"/>
    <w:rsid w:val="00F57D1B"/>
    <w:rsid w:val="00F60489"/>
    <w:rsid w:val="00F616F4"/>
    <w:rsid w:val="00F61858"/>
    <w:rsid w:val="00F61A12"/>
    <w:rsid w:val="00F624EC"/>
    <w:rsid w:val="00F638CD"/>
    <w:rsid w:val="00F65426"/>
    <w:rsid w:val="00F6555A"/>
    <w:rsid w:val="00F7028F"/>
    <w:rsid w:val="00F70356"/>
    <w:rsid w:val="00F70D9A"/>
    <w:rsid w:val="00F72DA0"/>
    <w:rsid w:val="00F7621E"/>
    <w:rsid w:val="00F775DA"/>
    <w:rsid w:val="00F803EB"/>
    <w:rsid w:val="00F827A9"/>
    <w:rsid w:val="00F83106"/>
    <w:rsid w:val="00F86E77"/>
    <w:rsid w:val="00F87D50"/>
    <w:rsid w:val="00F91C6B"/>
    <w:rsid w:val="00F94006"/>
    <w:rsid w:val="00F9420D"/>
    <w:rsid w:val="00F9469F"/>
    <w:rsid w:val="00F95FB5"/>
    <w:rsid w:val="00F96147"/>
    <w:rsid w:val="00F969FA"/>
    <w:rsid w:val="00FA023F"/>
    <w:rsid w:val="00FA03A0"/>
    <w:rsid w:val="00FA1CF9"/>
    <w:rsid w:val="00FA2D44"/>
    <w:rsid w:val="00FA4D1C"/>
    <w:rsid w:val="00FA5802"/>
    <w:rsid w:val="00FA59EE"/>
    <w:rsid w:val="00FA6E9F"/>
    <w:rsid w:val="00FA7D82"/>
    <w:rsid w:val="00FB1261"/>
    <w:rsid w:val="00FB1E50"/>
    <w:rsid w:val="00FB300F"/>
    <w:rsid w:val="00FB33AE"/>
    <w:rsid w:val="00FB5E95"/>
    <w:rsid w:val="00FB613B"/>
    <w:rsid w:val="00FB7478"/>
    <w:rsid w:val="00FC196F"/>
    <w:rsid w:val="00FC1D0F"/>
    <w:rsid w:val="00FC34AA"/>
    <w:rsid w:val="00FC36CD"/>
    <w:rsid w:val="00FC3B77"/>
    <w:rsid w:val="00FC3E30"/>
    <w:rsid w:val="00FC3E6D"/>
    <w:rsid w:val="00FC54D1"/>
    <w:rsid w:val="00FC5A9C"/>
    <w:rsid w:val="00FC5AF5"/>
    <w:rsid w:val="00FC6C81"/>
    <w:rsid w:val="00FC7346"/>
    <w:rsid w:val="00FD0112"/>
    <w:rsid w:val="00FD05D2"/>
    <w:rsid w:val="00FD2061"/>
    <w:rsid w:val="00FD22C9"/>
    <w:rsid w:val="00FD295E"/>
    <w:rsid w:val="00FD4494"/>
    <w:rsid w:val="00FD4AD2"/>
    <w:rsid w:val="00FD6591"/>
    <w:rsid w:val="00FD7281"/>
    <w:rsid w:val="00FD7414"/>
    <w:rsid w:val="00FE0A38"/>
    <w:rsid w:val="00FE23BD"/>
    <w:rsid w:val="00FE2910"/>
    <w:rsid w:val="00FE64C9"/>
    <w:rsid w:val="00FF2B87"/>
    <w:rsid w:val="00FF343C"/>
    <w:rsid w:val="00FF37C7"/>
    <w:rsid w:val="00FF4DA4"/>
    <w:rsid w:val="00FF5A39"/>
    <w:rsid w:val="01210236"/>
    <w:rsid w:val="01371DCA"/>
    <w:rsid w:val="014C17BC"/>
    <w:rsid w:val="014E7E84"/>
    <w:rsid w:val="0181313A"/>
    <w:rsid w:val="018D4877"/>
    <w:rsid w:val="01B47BA8"/>
    <w:rsid w:val="01BA2CF4"/>
    <w:rsid w:val="01DB2FB3"/>
    <w:rsid w:val="02100896"/>
    <w:rsid w:val="025175A4"/>
    <w:rsid w:val="025C4C48"/>
    <w:rsid w:val="02A50D00"/>
    <w:rsid w:val="02A54A31"/>
    <w:rsid w:val="02A8531C"/>
    <w:rsid w:val="03184C10"/>
    <w:rsid w:val="03233EAE"/>
    <w:rsid w:val="032B1AA6"/>
    <w:rsid w:val="03332071"/>
    <w:rsid w:val="036D6C9C"/>
    <w:rsid w:val="03AE57E2"/>
    <w:rsid w:val="03C218C0"/>
    <w:rsid w:val="03C339F7"/>
    <w:rsid w:val="03CB00CB"/>
    <w:rsid w:val="03E61F56"/>
    <w:rsid w:val="0400278A"/>
    <w:rsid w:val="041D6188"/>
    <w:rsid w:val="04496C52"/>
    <w:rsid w:val="04565DCB"/>
    <w:rsid w:val="045E3A0B"/>
    <w:rsid w:val="046C24E6"/>
    <w:rsid w:val="04851B9C"/>
    <w:rsid w:val="049C5976"/>
    <w:rsid w:val="04B37681"/>
    <w:rsid w:val="04D144D9"/>
    <w:rsid w:val="04EC547F"/>
    <w:rsid w:val="04FF101E"/>
    <w:rsid w:val="05077749"/>
    <w:rsid w:val="051325AF"/>
    <w:rsid w:val="051E0C84"/>
    <w:rsid w:val="054D20D0"/>
    <w:rsid w:val="055743D0"/>
    <w:rsid w:val="05603833"/>
    <w:rsid w:val="056A7D04"/>
    <w:rsid w:val="058573B4"/>
    <w:rsid w:val="05A92383"/>
    <w:rsid w:val="05BC3C9F"/>
    <w:rsid w:val="05DC5A0C"/>
    <w:rsid w:val="06465954"/>
    <w:rsid w:val="065D5AF2"/>
    <w:rsid w:val="067B08E2"/>
    <w:rsid w:val="06933924"/>
    <w:rsid w:val="069D0F8E"/>
    <w:rsid w:val="06B65558"/>
    <w:rsid w:val="06D817D7"/>
    <w:rsid w:val="06E8442C"/>
    <w:rsid w:val="06F352F7"/>
    <w:rsid w:val="071A6488"/>
    <w:rsid w:val="072920F1"/>
    <w:rsid w:val="07815636"/>
    <w:rsid w:val="078445FD"/>
    <w:rsid w:val="0787265A"/>
    <w:rsid w:val="07A27423"/>
    <w:rsid w:val="07B85FC4"/>
    <w:rsid w:val="07C33186"/>
    <w:rsid w:val="07CE7D0F"/>
    <w:rsid w:val="081F1991"/>
    <w:rsid w:val="083A192E"/>
    <w:rsid w:val="083E37C1"/>
    <w:rsid w:val="0841243E"/>
    <w:rsid w:val="089635AC"/>
    <w:rsid w:val="08B769C6"/>
    <w:rsid w:val="08C3631C"/>
    <w:rsid w:val="08C54B6B"/>
    <w:rsid w:val="091F41FF"/>
    <w:rsid w:val="09527CE2"/>
    <w:rsid w:val="096A52BB"/>
    <w:rsid w:val="09723E34"/>
    <w:rsid w:val="09CF6318"/>
    <w:rsid w:val="09D77CC9"/>
    <w:rsid w:val="0A2D4167"/>
    <w:rsid w:val="0A361876"/>
    <w:rsid w:val="0A4E45CA"/>
    <w:rsid w:val="0A776DAA"/>
    <w:rsid w:val="0AC27581"/>
    <w:rsid w:val="0B244E40"/>
    <w:rsid w:val="0B7910DC"/>
    <w:rsid w:val="0B797A59"/>
    <w:rsid w:val="0BA16D8A"/>
    <w:rsid w:val="0BBC74B2"/>
    <w:rsid w:val="0BCD06D5"/>
    <w:rsid w:val="0BD14831"/>
    <w:rsid w:val="0BE34397"/>
    <w:rsid w:val="0C12347C"/>
    <w:rsid w:val="0C226AA3"/>
    <w:rsid w:val="0C3A09E1"/>
    <w:rsid w:val="0C7E698F"/>
    <w:rsid w:val="0C9D61EA"/>
    <w:rsid w:val="0CBF01C8"/>
    <w:rsid w:val="0CBF4AAD"/>
    <w:rsid w:val="0CDD1A01"/>
    <w:rsid w:val="0D186B83"/>
    <w:rsid w:val="0D25072F"/>
    <w:rsid w:val="0D5B08BB"/>
    <w:rsid w:val="0DCA0D93"/>
    <w:rsid w:val="0DE24D95"/>
    <w:rsid w:val="0DE37BB6"/>
    <w:rsid w:val="0DE779CA"/>
    <w:rsid w:val="0E0055F0"/>
    <w:rsid w:val="0E06628C"/>
    <w:rsid w:val="0E1A78FE"/>
    <w:rsid w:val="0E1D17F6"/>
    <w:rsid w:val="0E8117B2"/>
    <w:rsid w:val="0EAC03A0"/>
    <w:rsid w:val="0EF615AF"/>
    <w:rsid w:val="0EFB7585"/>
    <w:rsid w:val="0F2D7011"/>
    <w:rsid w:val="0F350FF4"/>
    <w:rsid w:val="0F534F13"/>
    <w:rsid w:val="0F690476"/>
    <w:rsid w:val="0F78513C"/>
    <w:rsid w:val="0F8749C8"/>
    <w:rsid w:val="0F973B14"/>
    <w:rsid w:val="0F9C19E5"/>
    <w:rsid w:val="0FE72D42"/>
    <w:rsid w:val="100D12D7"/>
    <w:rsid w:val="10216D2C"/>
    <w:rsid w:val="10257FE8"/>
    <w:rsid w:val="102705F2"/>
    <w:rsid w:val="103E0520"/>
    <w:rsid w:val="104917DC"/>
    <w:rsid w:val="10546291"/>
    <w:rsid w:val="10587432"/>
    <w:rsid w:val="105911DD"/>
    <w:rsid w:val="105D79F9"/>
    <w:rsid w:val="107446CB"/>
    <w:rsid w:val="107803C2"/>
    <w:rsid w:val="108466B4"/>
    <w:rsid w:val="10A514F1"/>
    <w:rsid w:val="10D514D7"/>
    <w:rsid w:val="10E41BCA"/>
    <w:rsid w:val="11052971"/>
    <w:rsid w:val="1123705A"/>
    <w:rsid w:val="112849F0"/>
    <w:rsid w:val="112F02EF"/>
    <w:rsid w:val="114617F9"/>
    <w:rsid w:val="114B665B"/>
    <w:rsid w:val="11570837"/>
    <w:rsid w:val="11BE49C7"/>
    <w:rsid w:val="11D15DCA"/>
    <w:rsid w:val="11EF49E3"/>
    <w:rsid w:val="120045BD"/>
    <w:rsid w:val="12445644"/>
    <w:rsid w:val="12457649"/>
    <w:rsid w:val="12594F6F"/>
    <w:rsid w:val="12697447"/>
    <w:rsid w:val="127A1B45"/>
    <w:rsid w:val="12AC1433"/>
    <w:rsid w:val="13014841"/>
    <w:rsid w:val="13333A54"/>
    <w:rsid w:val="13365237"/>
    <w:rsid w:val="133C1F08"/>
    <w:rsid w:val="134F5BFE"/>
    <w:rsid w:val="135E16A1"/>
    <w:rsid w:val="136650BD"/>
    <w:rsid w:val="13C25AC0"/>
    <w:rsid w:val="1429639A"/>
    <w:rsid w:val="143754F9"/>
    <w:rsid w:val="1438793E"/>
    <w:rsid w:val="14500BF2"/>
    <w:rsid w:val="14666A98"/>
    <w:rsid w:val="1470647C"/>
    <w:rsid w:val="148A1D53"/>
    <w:rsid w:val="14B83AB2"/>
    <w:rsid w:val="14C402C0"/>
    <w:rsid w:val="14D37A2C"/>
    <w:rsid w:val="14DA732D"/>
    <w:rsid w:val="14E0698E"/>
    <w:rsid w:val="150016B6"/>
    <w:rsid w:val="151152F6"/>
    <w:rsid w:val="153129D8"/>
    <w:rsid w:val="153E51D1"/>
    <w:rsid w:val="15544E1C"/>
    <w:rsid w:val="156E7053"/>
    <w:rsid w:val="1589178B"/>
    <w:rsid w:val="15A56D19"/>
    <w:rsid w:val="15D45229"/>
    <w:rsid w:val="15FF357F"/>
    <w:rsid w:val="16271380"/>
    <w:rsid w:val="16412AE4"/>
    <w:rsid w:val="16474817"/>
    <w:rsid w:val="166D3C52"/>
    <w:rsid w:val="167E0120"/>
    <w:rsid w:val="1685433A"/>
    <w:rsid w:val="168A1074"/>
    <w:rsid w:val="168E435A"/>
    <w:rsid w:val="169A1E23"/>
    <w:rsid w:val="169B46CA"/>
    <w:rsid w:val="16B27FF2"/>
    <w:rsid w:val="16B67124"/>
    <w:rsid w:val="16CA5858"/>
    <w:rsid w:val="16CD4916"/>
    <w:rsid w:val="1707318C"/>
    <w:rsid w:val="1710220B"/>
    <w:rsid w:val="171356A8"/>
    <w:rsid w:val="17162ACC"/>
    <w:rsid w:val="1717206D"/>
    <w:rsid w:val="171C5C9C"/>
    <w:rsid w:val="172B0D9A"/>
    <w:rsid w:val="1767334A"/>
    <w:rsid w:val="179F52FF"/>
    <w:rsid w:val="17A02E35"/>
    <w:rsid w:val="17B708F1"/>
    <w:rsid w:val="17BC6647"/>
    <w:rsid w:val="17C07BD4"/>
    <w:rsid w:val="17C81FFD"/>
    <w:rsid w:val="17D06D21"/>
    <w:rsid w:val="17E06B2E"/>
    <w:rsid w:val="17EA0B86"/>
    <w:rsid w:val="181C73BE"/>
    <w:rsid w:val="182040DC"/>
    <w:rsid w:val="182820AF"/>
    <w:rsid w:val="18547C1F"/>
    <w:rsid w:val="18677F39"/>
    <w:rsid w:val="18BB7AED"/>
    <w:rsid w:val="18BD62C6"/>
    <w:rsid w:val="18C213D9"/>
    <w:rsid w:val="18E2760C"/>
    <w:rsid w:val="19010D61"/>
    <w:rsid w:val="195A205F"/>
    <w:rsid w:val="197E3970"/>
    <w:rsid w:val="19A4603E"/>
    <w:rsid w:val="19C83E8E"/>
    <w:rsid w:val="19F73BE2"/>
    <w:rsid w:val="19FE7D12"/>
    <w:rsid w:val="1A011E7A"/>
    <w:rsid w:val="1A0E4452"/>
    <w:rsid w:val="1A6011FC"/>
    <w:rsid w:val="1A740668"/>
    <w:rsid w:val="1A795D46"/>
    <w:rsid w:val="1ACA748F"/>
    <w:rsid w:val="1AE06777"/>
    <w:rsid w:val="1AEF002A"/>
    <w:rsid w:val="1AFB2EDA"/>
    <w:rsid w:val="1B434A90"/>
    <w:rsid w:val="1B4D448D"/>
    <w:rsid w:val="1B641C77"/>
    <w:rsid w:val="1B946965"/>
    <w:rsid w:val="1BBC4061"/>
    <w:rsid w:val="1BD55366"/>
    <w:rsid w:val="1BDF1B10"/>
    <w:rsid w:val="1BEE713C"/>
    <w:rsid w:val="1C131B99"/>
    <w:rsid w:val="1C17636C"/>
    <w:rsid w:val="1C280F82"/>
    <w:rsid w:val="1C4056A3"/>
    <w:rsid w:val="1C410AA8"/>
    <w:rsid w:val="1C633326"/>
    <w:rsid w:val="1C646B83"/>
    <w:rsid w:val="1C7D025F"/>
    <w:rsid w:val="1C8D7919"/>
    <w:rsid w:val="1CA6171A"/>
    <w:rsid w:val="1CC5327C"/>
    <w:rsid w:val="1CEE6FBE"/>
    <w:rsid w:val="1D06232B"/>
    <w:rsid w:val="1D113F5C"/>
    <w:rsid w:val="1D1A48DF"/>
    <w:rsid w:val="1D2859CF"/>
    <w:rsid w:val="1D303830"/>
    <w:rsid w:val="1D321D3B"/>
    <w:rsid w:val="1D52113B"/>
    <w:rsid w:val="1D5510FE"/>
    <w:rsid w:val="1D552B46"/>
    <w:rsid w:val="1DAD62DC"/>
    <w:rsid w:val="1DC77483"/>
    <w:rsid w:val="1DDF4B2E"/>
    <w:rsid w:val="1E2051A0"/>
    <w:rsid w:val="1E255B77"/>
    <w:rsid w:val="1E792BEF"/>
    <w:rsid w:val="1E872FFD"/>
    <w:rsid w:val="1E8F3183"/>
    <w:rsid w:val="1E992A2C"/>
    <w:rsid w:val="1EEE4E73"/>
    <w:rsid w:val="1EF063AC"/>
    <w:rsid w:val="1F250A2A"/>
    <w:rsid w:val="1F28633A"/>
    <w:rsid w:val="1F2967B4"/>
    <w:rsid w:val="1F37605B"/>
    <w:rsid w:val="1F5D25C9"/>
    <w:rsid w:val="1F7A7AFE"/>
    <w:rsid w:val="1F7B6C0B"/>
    <w:rsid w:val="1F984CD4"/>
    <w:rsid w:val="1F98506B"/>
    <w:rsid w:val="1FBC631C"/>
    <w:rsid w:val="1FD13770"/>
    <w:rsid w:val="1FE05E91"/>
    <w:rsid w:val="20072BA5"/>
    <w:rsid w:val="200D714F"/>
    <w:rsid w:val="205320C9"/>
    <w:rsid w:val="207116D5"/>
    <w:rsid w:val="20820453"/>
    <w:rsid w:val="20B01E08"/>
    <w:rsid w:val="20B25D4E"/>
    <w:rsid w:val="20E954CD"/>
    <w:rsid w:val="211C7FE6"/>
    <w:rsid w:val="211E507C"/>
    <w:rsid w:val="2123665C"/>
    <w:rsid w:val="212F10FB"/>
    <w:rsid w:val="215134CB"/>
    <w:rsid w:val="2163204E"/>
    <w:rsid w:val="21641D8D"/>
    <w:rsid w:val="219A5877"/>
    <w:rsid w:val="21A60F06"/>
    <w:rsid w:val="21B95DBA"/>
    <w:rsid w:val="21D87B6F"/>
    <w:rsid w:val="21F93ADE"/>
    <w:rsid w:val="220570CE"/>
    <w:rsid w:val="221C44D6"/>
    <w:rsid w:val="22322692"/>
    <w:rsid w:val="22632F08"/>
    <w:rsid w:val="229F303F"/>
    <w:rsid w:val="229F6EAF"/>
    <w:rsid w:val="22A84076"/>
    <w:rsid w:val="22B47232"/>
    <w:rsid w:val="22B936A6"/>
    <w:rsid w:val="22D247BB"/>
    <w:rsid w:val="230060D3"/>
    <w:rsid w:val="232003BE"/>
    <w:rsid w:val="23246E47"/>
    <w:rsid w:val="232A5790"/>
    <w:rsid w:val="233D2C92"/>
    <w:rsid w:val="23437C6B"/>
    <w:rsid w:val="23523426"/>
    <w:rsid w:val="23661BF7"/>
    <w:rsid w:val="237E561E"/>
    <w:rsid w:val="239640A4"/>
    <w:rsid w:val="24133D90"/>
    <w:rsid w:val="24176577"/>
    <w:rsid w:val="242E0B63"/>
    <w:rsid w:val="24364065"/>
    <w:rsid w:val="244575BA"/>
    <w:rsid w:val="246B7FA3"/>
    <w:rsid w:val="249E325E"/>
    <w:rsid w:val="24E70900"/>
    <w:rsid w:val="24F23D49"/>
    <w:rsid w:val="24FA0197"/>
    <w:rsid w:val="253A1E80"/>
    <w:rsid w:val="2553349A"/>
    <w:rsid w:val="257301FD"/>
    <w:rsid w:val="25B0239E"/>
    <w:rsid w:val="25E80DD8"/>
    <w:rsid w:val="25E85A7D"/>
    <w:rsid w:val="26167A34"/>
    <w:rsid w:val="2631170A"/>
    <w:rsid w:val="265719E6"/>
    <w:rsid w:val="26671A05"/>
    <w:rsid w:val="26685DE4"/>
    <w:rsid w:val="266E5D54"/>
    <w:rsid w:val="267A5F21"/>
    <w:rsid w:val="26873B1F"/>
    <w:rsid w:val="268B180D"/>
    <w:rsid w:val="26CA1801"/>
    <w:rsid w:val="26E41D5C"/>
    <w:rsid w:val="26FD0D7E"/>
    <w:rsid w:val="270E1666"/>
    <w:rsid w:val="27472E35"/>
    <w:rsid w:val="2766261D"/>
    <w:rsid w:val="278A5863"/>
    <w:rsid w:val="279B4538"/>
    <w:rsid w:val="27E94CB4"/>
    <w:rsid w:val="27F85538"/>
    <w:rsid w:val="28354BCC"/>
    <w:rsid w:val="285B5EFE"/>
    <w:rsid w:val="28760F29"/>
    <w:rsid w:val="289916CA"/>
    <w:rsid w:val="28A81A65"/>
    <w:rsid w:val="28AF385B"/>
    <w:rsid w:val="28B900BE"/>
    <w:rsid w:val="28CC4323"/>
    <w:rsid w:val="290A2910"/>
    <w:rsid w:val="29856BA1"/>
    <w:rsid w:val="29AA5AC2"/>
    <w:rsid w:val="29CC1821"/>
    <w:rsid w:val="29EF21B1"/>
    <w:rsid w:val="2A1E33B5"/>
    <w:rsid w:val="2A206E31"/>
    <w:rsid w:val="2A6B6DF6"/>
    <w:rsid w:val="2A80120D"/>
    <w:rsid w:val="2AA1699A"/>
    <w:rsid w:val="2AD00CA4"/>
    <w:rsid w:val="2B110F00"/>
    <w:rsid w:val="2B205CAB"/>
    <w:rsid w:val="2B68786C"/>
    <w:rsid w:val="2B7175FB"/>
    <w:rsid w:val="2B9B7D5E"/>
    <w:rsid w:val="2BA17A0B"/>
    <w:rsid w:val="2BA95117"/>
    <w:rsid w:val="2BDA695C"/>
    <w:rsid w:val="2C0278CF"/>
    <w:rsid w:val="2C060293"/>
    <w:rsid w:val="2C502E97"/>
    <w:rsid w:val="2C69797F"/>
    <w:rsid w:val="2C7E147C"/>
    <w:rsid w:val="2C924F91"/>
    <w:rsid w:val="2CA5430D"/>
    <w:rsid w:val="2CC63EEE"/>
    <w:rsid w:val="2CF361B7"/>
    <w:rsid w:val="2D0228C6"/>
    <w:rsid w:val="2D0F0D34"/>
    <w:rsid w:val="2D404E22"/>
    <w:rsid w:val="2D8175D0"/>
    <w:rsid w:val="2D8D7E80"/>
    <w:rsid w:val="2DB9028A"/>
    <w:rsid w:val="2DC063FF"/>
    <w:rsid w:val="2DC47347"/>
    <w:rsid w:val="2DEC0C62"/>
    <w:rsid w:val="2DF55FBD"/>
    <w:rsid w:val="2E1667EC"/>
    <w:rsid w:val="2E1F1136"/>
    <w:rsid w:val="2E261F1C"/>
    <w:rsid w:val="2E2A2FAA"/>
    <w:rsid w:val="2E3221B8"/>
    <w:rsid w:val="2E3966F3"/>
    <w:rsid w:val="2E3B1C23"/>
    <w:rsid w:val="2E603333"/>
    <w:rsid w:val="2E9A6DA5"/>
    <w:rsid w:val="2ECB46BE"/>
    <w:rsid w:val="2F080F58"/>
    <w:rsid w:val="2F12377F"/>
    <w:rsid w:val="2F321CCF"/>
    <w:rsid w:val="2F6939FC"/>
    <w:rsid w:val="2F7165FF"/>
    <w:rsid w:val="2F886B42"/>
    <w:rsid w:val="2FFC5EF9"/>
    <w:rsid w:val="30063D21"/>
    <w:rsid w:val="30151F27"/>
    <w:rsid w:val="30206F7D"/>
    <w:rsid w:val="3027138E"/>
    <w:rsid w:val="3063704D"/>
    <w:rsid w:val="30894E03"/>
    <w:rsid w:val="308D2CF7"/>
    <w:rsid w:val="30B176B6"/>
    <w:rsid w:val="30E21BF0"/>
    <w:rsid w:val="30F220BC"/>
    <w:rsid w:val="30F72E8C"/>
    <w:rsid w:val="312921B5"/>
    <w:rsid w:val="312F6529"/>
    <w:rsid w:val="31592348"/>
    <w:rsid w:val="31751623"/>
    <w:rsid w:val="3178206A"/>
    <w:rsid w:val="31842558"/>
    <w:rsid w:val="318A0386"/>
    <w:rsid w:val="31930CFB"/>
    <w:rsid w:val="31987569"/>
    <w:rsid w:val="31BC2F1B"/>
    <w:rsid w:val="31E14F2F"/>
    <w:rsid w:val="32142E61"/>
    <w:rsid w:val="32395E62"/>
    <w:rsid w:val="324F7604"/>
    <w:rsid w:val="327A6069"/>
    <w:rsid w:val="328D6EB8"/>
    <w:rsid w:val="32AD0BEC"/>
    <w:rsid w:val="32B41178"/>
    <w:rsid w:val="32BF5AD2"/>
    <w:rsid w:val="32C057F1"/>
    <w:rsid w:val="32D03FEE"/>
    <w:rsid w:val="32E50221"/>
    <w:rsid w:val="32E60AE0"/>
    <w:rsid w:val="32F87A75"/>
    <w:rsid w:val="334D6B04"/>
    <w:rsid w:val="336D24D8"/>
    <w:rsid w:val="33AC3F38"/>
    <w:rsid w:val="33C55CE0"/>
    <w:rsid w:val="33DE1181"/>
    <w:rsid w:val="33F30009"/>
    <w:rsid w:val="341B6788"/>
    <w:rsid w:val="342C54C4"/>
    <w:rsid w:val="343434BF"/>
    <w:rsid w:val="343A3870"/>
    <w:rsid w:val="344258A6"/>
    <w:rsid w:val="344337FC"/>
    <w:rsid w:val="34470E43"/>
    <w:rsid w:val="34600A8F"/>
    <w:rsid w:val="349414A9"/>
    <w:rsid w:val="34A627D1"/>
    <w:rsid w:val="35557486"/>
    <w:rsid w:val="356236EB"/>
    <w:rsid w:val="356E3F63"/>
    <w:rsid w:val="3583527B"/>
    <w:rsid w:val="35A270C9"/>
    <w:rsid w:val="35A96A9A"/>
    <w:rsid w:val="35DD2E13"/>
    <w:rsid w:val="35FC4479"/>
    <w:rsid w:val="36236249"/>
    <w:rsid w:val="36532BB8"/>
    <w:rsid w:val="366448C0"/>
    <w:rsid w:val="36782B49"/>
    <w:rsid w:val="36783D44"/>
    <w:rsid w:val="36787B27"/>
    <w:rsid w:val="36850CB0"/>
    <w:rsid w:val="36BB1F94"/>
    <w:rsid w:val="36C2206C"/>
    <w:rsid w:val="371630BD"/>
    <w:rsid w:val="374B7DA2"/>
    <w:rsid w:val="3770031E"/>
    <w:rsid w:val="37826D44"/>
    <w:rsid w:val="378343D4"/>
    <w:rsid w:val="379D2853"/>
    <w:rsid w:val="379D5C0D"/>
    <w:rsid w:val="37CB05B8"/>
    <w:rsid w:val="37E6108F"/>
    <w:rsid w:val="37FB41F9"/>
    <w:rsid w:val="38006237"/>
    <w:rsid w:val="38156CC0"/>
    <w:rsid w:val="381861D7"/>
    <w:rsid w:val="381D1668"/>
    <w:rsid w:val="381D4AE4"/>
    <w:rsid w:val="38765D37"/>
    <w:rsid w:val="38873E52"/>
    <w:rsid w:val="38894F04"/>
    <w:rsid w:val="38917EDD"/>
    <w:rsid w:val="38CD7EC0"/>
    <w:rsid w:val="38D94119"/>
    <w:rsid w:val="38DF2366"/>
    <w:rsid w:val="38E629E4"/>
    <w:rsid w:val="38FC76D1"/>
    <w:rsid w:val="390E6CB0"/>
    <w:rsid w:val="391D0CC2"/>
    <w:rsid w:val="39233B30"/>
    <w:rsid w:val="394C76E3"/>
    <w:rsid w:val="39550BC5"/>
    <w:rsid w:val="395A433F"/>
    <w:rsid w:val="39660897"/>
    <w:rsid w:val="396A4B5D"/>
    <w:rsid w:val="39D336D3"/>
    <w:rsid w:val="39E9232D"/>
    <w:rsid w:val="3A1924FF"/>
    <w:rsid w:val="3A1D706E"/>
    <w:rsid w:val="3A1E285E"/>
    <w:rsid w:val="3A23232B"/>
    <w:rsid w:val="3A370C2A"/>
    <w:rsid w:val="3A4659A1"/>
    <w:rsid w:val="3A8E4AAB"/>
    <w:rsid w:val="3AAE36F5"/>
    <w:rsid w:val="3AE112F9"/>
    <w:rsid w:val="3AF13C52"/>
    <w:rsid w:val="3AF939EA"/>
    <w:rsid w:val="3B143256"/>
    <w:rsid w:val="3B231854"/>
    <w:rsid w:val="3B2E4D3E"/>
    <w:rsid w:val="3B3D0803"/>
    <w:rsid w:val="3B806F95"/>
    <w:rsid w:val="3B91462E"/>
    <w:rsid w:val="3B952636"/>
    <w:rsid w:val="3BB02426"/>
    <w:rsid w:val="3BB748F4"/>
    <w:rsid w:val="3BCE28E3"/>
    <w:rsid w:val="3C0522E9"/>
    <w:rsid w:val="3C0A6BE9"/>
    <w:rsid w:val="3C0D6156"/>
    <w:rsid w:val="3C373857"/>
    <w:rsid w:val="3C705128"/>
    <w:rsid w:val="3C9F17E9"/>
    <w:rsid w:val="3CC0368A"/>
    <w:rsid w:val="3CC63189"/>
    <w:rsid w:val="3CC72906"/>
    <w:rsid w:val="3CCC4A60"/>
    <w:rsid w:val="3CD62288"/>
    <w:rsid w:val="3CF91AC1"/>
    <w:rsid w:val="3D077327"/>
    <w:rsid w:val="3D126885"/>
    <w:rsid w:val="3D197B5E"/>
    <w:rsid w:val="3D380051"/>
    <w:rsid w:val="3D3C0DF5"/>
    <w:rsid w:val="3D436195"/>
    <w:rsid w:val="3D6E03C2"/>
    <w:rsid w:val="3D705C7E"/>
    <w:rsid w:val="3D794DCE"/>
    <w:rsid w:val="3DC458AA"/>
    <w:rsid w:val="3DE6265F"/>
    <w:rsid w:val="3E1B66C5"/>
    <w:rsid w:val="3E1C553D"/>
    <w:rsid w:val="3E4A0EE0"/>
    <w:rsid w:val="3E5172EF"/>
    <w:rsid w:val="3E642AD6"/>
    <w:rsid w:val="3ED0293E"/>
    <w:rsid w:val="3EDB3BA7"/>
    <w:rsid w:val="3EE52056"/>
    <w:rsid w:val="3F0052E0"/>
    <w:rsid w:val="3F2D4E42"/>
    <w:rsid w:val="3F951640"/>
    <w:rsid w:val="3FC17063"/>
    <w:rsid w:val="3FE97EDD"/>
    <w:rsid w:val="400B44E4"/>
    <w:rsid w:val="40115408"/>
    <w:rsid w:val="40551B6F"/>
    <w:rsid w:val="40825B58"/>
    <w:rsid w:val="4085535B"/>
    <w:rsid w:val="40863572"/>
    <w:rsid w:val="40870EED"/>
    <w:rsid w:val="40A43771"/>
    <w:rsid w:val="40AD37E2"/>
    <w:rsid w:val="40B82403"/>
    <w:rsid w:val="40CE3F71"/>
    <w:rsid w:val="40CE5F9F"/>
    <w:rsid w:val="40D858BD"/>
    <w:rsid w:val="40F668D5"/>
    <w:rsid w:val="41111BE1"/>
    <w:rsid w:val="41387937"/>
    <w:rsid w:val="413B5353"/>
    <w:rsid w:val="41515DEA"/>
    <w:rsid w:val="41582EF2"/>
    <w:rsid w:val="41965B8F"/>
    <w:rsid w:val="419923B2"/>
    <w:rsid w:val="41B06825"/>
    <w:rsid w:val="41DA4452"/>
    <w:rsid w:val="41EB643F"/>
    <w:rsid w:val="421A2904"/>
    <w:rsid w:val="421A355E"/>
    <w:rsid w:val="421A569D"/>
    <w:rsid w:val="42282592"/>
    <w:rsid w:val="425A4117"/>
    <w:rsid w:val="42B71CE2"/>
    <w:rsid w:val="42B91096"/>
    <w:rsid w:val="42BA74AE"/>
    <w:rsid w:val="42CC5064"/>
    <w:rsid w:val="43690AF3"/>
    <w:rsid w:val="43930874"/>
    <w:rsid w:val="43A21710"/>
    <w:rsid w:val="43B95330"/>
    <w:rsid w:val="43C104B2"/>
    <w:rsid w:val="43C26281"/>
    <w:rsid w:val="43D665DF"/>
    <w:rsid w:val="44083E88"/>
    <w:rsid w:val="44155CEB"/>
    <w:rsid w:val="44332C8D"/>
    <w:rsid w:val="445A6A2B"/>
    <w:rsid w:val="4499670A"/>
    <w:rsid w:val="44A5523F"/>
    <w:rsid w:val="44AD4D37"/>
    <w:rsid w:val="44AF59AC"/>
    <w:rsid w:val="44E72465"/>
    <w:rsid w:val="44E750BD"/>
    <w:rsid w:val="45510439"/>
    <w:rsid w:val="458C1751"/>
    <w:rsid w:val="45A55C23"/>
    <w:rsid w:val="45A62446"/>
    <w:rsid w:val="45D65461"/>
    <w:rsid w:val="45FD6092"/>
    <w:rsid w:val="46116D0C"/>
    <w:rsid w:val="4626423E"/>
    <w:rsid w:val="4639461A"/>
    <w:rsid w:val="465B07B7"/>
    <w:rsid w:val="468256E9"/>
    <w:rsid w:val="46915F52"/>
    <w:rsid w:val="4696561B"/>
    <w:rsid w:val="46AF5979"/>
    <w:rsid w:val="46BC58FD"/>
    <w:rsid w:val="46DA08E9"/>
    <w:rsid w:val="46DD31A5"/>
    <w:rsid w:val="46E26035"/>
    <w:rsid w:val="46EC1BC1"/>
    <w:rsid w:val="471D53B0"/>
    <w:rsid w:val="472D50FD"/>
    <w:rsid w:val="478539AE"/>
    <w:rsid w:val="479847E1"/>
    <w:rsid w:val="47987A56"/>
    <w:rsid w:val="47AC64E9"/>
    <w:rsid w:val="47AD1654"/>
    <w:rsid w:val="47B62332"/>
    <w:rsid w:val="47B91E51"/>
    <w:rsid w:val="47C33CFA"/>
    <w:rsid w:val="47D5614B"/>
    <w:rsid w:val="47E8339B"/>
    <w:rsid w:val="47F23615"/>
    <w:rsid w:val="48142F41"/>
    <w:rsid w:val="48457B46"/>
    <w:rsid w:val="48682E61"/>
    <w:rsid w:val="48C11A8B"/>
    <w:rsid w:val="48E10330"/>
    <w:rsid w:val="49281923"/>
    <w:rsid w:val="492F3E36"/>
    <w:rsid w:val="49361571"/>
    <w:rsid w:val="496268CE"/>
    <w:rsid w:val="497843E9"/>
    <w:rsid w:val="497A05D9"/>
    <w:rsid w:val="499C2CD8"/>
    <w:rsid w:val="49A12F7E"/>
    <w:rsid w:val="49CF6E42"/>
    <w:rsid w:val="4A0E2779"/>
    <w:rsid w:val="4A7813A7"/>
    <w:rsid w:val="4AD61F4B"/>
    <w:rsid w:val="4B071F64"/>
    <w:rsid w:val="4B0E5DF3"/>
    <w:rsid w:val="4B574DD6"/>
    <w:rsid w:val="4B7078C8"/>
    <w:rsid w:val="4B841727"/>
    <w:rsid w:val="4B873BDE"/>
    <w:rsid w:val="4B89449F"/>
    <w:rsid w:val="4B9D06AA"/>
    <w:rsid w:val="4BD91F8D"/>
    <w:rsid w:val="4C161FFD"/>
    <w:rsid w:val="4C2B3111"/>
    <w:rsid w:val="4C347658"/>
    <w:rsid w:val="4C3601B3"/>
    <w:rsid w:val="4C4D4470"/>
    <w:rsid w:val="4C736411"/>
    <w:rsid w:val="4C7C4891"/>
    <w:rsid w:val="4C974838"/>
    <w:rsid w:val="4CCB1409"/>
    <w:rsid w:val="4D024A62"/>
    <w:rsid w:val="4D274A6D"/>
    <w:rsid w:val="4D2E0041"/>
    <w:rsid w:val="4D446EBE"/>
    <w:rsid w:val="4D4750B0"/>
    <w:rsid w:val="4D8464F3"/>
    <w:rsid w:val="4E091E95"/>
    <w:rsid w:val="4E303E3B"/>
    <w:rsid w:val="4E614F66"/>
    <w:rsid w:val="4E6A2B30"/>
    <w:rsid w:val="4E80373F"/>
    <w:rsid w:val="4EA30781"/>
    <w:rsid w:val="4EDA2696"/>
    <w:rsid w:val="4EED0308"/>
    <w:rsid w:val="4F52127C"/>
    <w:rsid w:val="4F5243E9"/>
    <w:rsid w:val="4F5528FD"/>
    <w:rsid w:val="4F833BFA"/>
    <w:rsid w:val="4FA36C5A"/>
    <w:rsid w:val="4FB62541"/>
    <w:rsid w:val="4FE1099E"/>
    <w:rsid w:val="50413A23"/>
    <w:rsid w:val="50523D15"/>
    <w:rsid w:val="50532B8C"/>
    <w:rsid w:val="50584131"/>
    <w:rsid w:val="505A6EB6"/>
    <w:rsid w:val="506D4DF3"/>
    <w:rsid w:val="50740C76"/>
    <w:rsid w:val="50875B41"/>
    <w:rsid w:val="50923CDC"/>
    <w:rsid w:val="509C7153"/>
    <w:rsid w:val="50D55306"/>
    <w:rsid w:val="50E652DF"/>
    <w:rsid w:val="50EB31CC"/>
    <w:rsid w:val="50FA7A34"/>
    <w:rsid w:val="514019B6"/>
    <w:rsid w:val="5140202D"/>
    <w:rsid w:val="51427404"/>
    <w:rsid w:val="51482EA4"/>
    <w:rsid w:val="516056F9"/>
    <w:rsid w:val="519F47D3"/>
    <w:rsid w:val="51AD5AE6"/>
    <w:rsid w:val="51DE4CF9"/>
    <w:rsid w:val="51E10428"/>
    <w:rsid w:val="522B1F77"/>
    <w:rsid w:val="523418F6"/>
    <w:rsid w:val="52887DAA"/>
    <w:rsid w:val="52C64499"/>
    <w:rsid w:val="52DD5CD2"/>
    <w:rsid w:val="52E81914"/>
    <w:rsid w:val="53323640"/>
    <w:rsid w:val="53651378"/>
    <w:rsid w:val="539357CA"/>
    <w:rsid w:val="53AC13C2"/>
    <w:rsid w:val="53C93F80"/>
    <w:rsid w:val="53D738B7"/>
    <w:rsid w:val="53E22FCE"/>
    <w:rsid w:val="5414735C"/>
    <w:rsid w:val="542C1C20"/>
    <w:rsid w:val="544B7C9C"/>
    <w:rsid w:val="545401E5"/>
    <w:rsid w:val="54C0518C"/>
    <w:rsid w:val="553D754A"/>
    <w:rsid w:val="555703D2"/>
    <w:rsid w:val="557506D9"/>
    <w:rsid w:val="55755E25"/>
    <w:rsid w:val="55FA4421"/>
    <w:rsid w:val="56024F63"/>
    <w:rsid w:val="56120E13"/>
    <w:rsid w:val="564A52BD"/>
    <w:rsid w:val="5664331D"/>
    <w:rsid w:val="56C4373E"/>
    <w:rsid w:val="56C76B80"/>
    <w:rsid w:val="56DC1B86"/>
    <w:rsid w:val="57030D63"/>
    <w:rsid w:val="5713710C"/>
    <w:rsid w:val="57362E41"/>
    <w:rsid w:val="575A530A"/>
    <w:rsid w:val="576524E8"/>
    <w:rsid w:val="5786750A"/>
    <w:rsid w:val="579D54F2"/>
    <w:rsid w:val="57A926DF"/>
    <w:rsid w:val="57B06C3C"/>
    <w:rsid w:val="57E330EF"/>
    <w:rsid w:val="57E35348"/>
    <w:rsid w:val="57F020CD"/>
    <w:rsid w:val="57F42EE5"/>
    <w:rsid w:val="57FA3FA3"/>
    <w:rsid w:val="57FE46BE"/>
    <w:rsid w:val="580B6761"/>
    <w:rsid w:val="581C3E57"/>
    <w:rsid w:val="58353495"/>
    <w:rsid w:val="58486639"/>
    <w:rsid w:val="584B02B3"/>
    <w:rsid w:val="586D4238"/>
    <w:rsid w:val="58B54AB6"/>
    <w:rsid w:val="59074804"/>
    <w:rsid w:val="59120F0D"/>
    <w:rsid w:val="5923752C"/>
    <w:rsid w:val="59B94DF3"/>
    <w:rsid w:val="59BD51EF"/>
    <w:rsid w:val="59C510CE"/>
    <w:rsid w:val="5A06291D"/>
    <w:rsid w:val="5A421307"/>
    <w:rsid w:val="5A672ABB"/>
    <w:rsid w:val="5A85208D"/>
    <w:rsid w:val="5A8B41AD"/>
    <w:rsid w:val="5ADC34E9"/>
    <w:rsid w:val="5AEF2C64"/>
    <w:rsid w:val="5B294523"/>
    <w:rsid w:val="5B51747F"/>
    <w:rsid w:val="5B562103"/>
    <w:rsid w:val="5B584EEB"/>
    <w:rsid w:val="5B700DAD"/>
    <w:rsid w:val="5B8127EB"/>
    <w:rsid w:val="5B896634"/>
    <w:rsid w:val="5BB40B9A"/>
    <w:rsid w:val="5BB862BE"/>
    <w:rsid w:val="5BE23EA9"/>
    <w:rsid w:val="5BFC2A7D"/>
    <w:rsid w:val="5C0C0176"/>
    <w:rsid w:val="5C146DFA"/>
    <w:rsid w:val="5C3E1FBA"/>
    <w:rsid w:val="5C413139"/>
    <w:rsid w:val="5C49372A"/>
    <w:rsid w:val="5C671BFE"/>
    <w:rsid w:val="5C9C5A07"/>
    <w:rsid w:val="5CA53C8E"/>
    <w:rsid w:val="5CAF37CE"/>
    <w:rsid w:val="5CC62503"/>
    <w:rsid w:val="5CC64BF1"/>
    <w:rsid w:val="5CD21AA7"/>
    <w:rsid w:val="5CE86629"/>
    <w:rsid w:val="5D0860C8"/>
    <w:rsid w:val="5D28086A"/>
    <w:rsid w:val="5D2F414D"/>
    <w:rsid w:val="5D533D2D"/>
    <w:rsid w:val="5D5C5604"/>
    <w:rsid w:val="5D603BBB"/>
    <w:rsid w:val="5D6E0DA9"/>
    <w:rsid w:val="5D732F7B"/>
    <w:rsid w:val="5D7C4F91"/>
    <w:rsid w:val="5DB805C0"/>
    <w:rsid w:val="5DDA0F7E"/>
    <w:rsid w:val="5DE0542A"/>
    <w:rsid w:val="5E242CB9"/>
    <w:rsid w:val="5E262ABC"/>
    <w:rsid w:val="5E3076A2"/>
    <w:rsid w:val="5E3219C1"/>
    <w:rsid w:val="5E440D7D"/>
    <w:rsid w:val="5E54072E"/>
    <w:rsid w:val="5E63335D"/>
    <w:rsid w:val="5E6C5CBC"/>
    <w:rsid w:val="5EBE1BD9"/>
    <w:rsid w:val="5EE26867"/>
    <w:rsid w:val="5EED569F"/>
    <w:rsid w:val="5F0F6857"/>
    <w:rsid w:val="5F162B68"/>
    <w:rsid w:val="5F384286"/>
    <w:rsid w:val="5F506330"/>
    <w:rsid w:val="5F6D7B0E"/>
    <w:rsid w:val="5FD23DA7"/>
    <w:rsid w:val="60043902"/>
    <w:rsid w:val="60567B3E"/>
    <w:rsid w:val="606741AC"/>
    <w:rsid w:val="60A424F3"/>
    <w:rsid w:val="60B2633C"/>
    <w:rsid w:val="60E16B3D"/>
    <w:rsid w:val="60FA3041"/>
    <w:rsid w:val="60FE63FA"/>
    <w:rsid w:val="60FF6664"/>
    <w:rsid w:val="610E5F02"/>
    <w:rsid w:val="611F3770"/>
    <w:rsid w:val="615F0256"/>
    <w:rsid w:val="61805358"/>
    <w:rsid w:val="61B61BA1"/>
    <w:rsid w:val="61BD2CC4"/>
    <w:rsid w:val="61BD38C3"/>
    <w:rsid w:val="61CD7CA6"/>
    <w:rsid w:val="61E07E56"/>
    <w:rsid w:val="61EE01C8"/>
    <w:rsid w:val="61F51675"/>
    <w:rsid w:val="61F635EC"/>
    <w:rsid w:val="62111FB0"/>
    <w:rsid w:val="621B35AB"/>
    <w:rsid w:val="62312992"/>
    <w:rsid w:val="623813AC"/>
    <w:rsid w:val="624713B1"/>
    <w:rsid w:val="62494F0D"/>
    <w:rsid w:val="626175A3"/>
    <w:rsid w:val="62652E11"/>
    <w:rsid w:val="62733134"/>
    <w:rsid w:val="62964CAC"/>
    <w:rsid w:val="62AE3C32"/>
    <w:rsid w:val="62BF4AA1"/>
    <w:rsid w:val="62C00FF9"/>
    <w:rsid w:val="6305753A"/>
    <w:rsid w:val="630966EB"/>
    <w:rsid w:val="630B4107"/>
    <w:rsid w:val="630B476C"/>
    <w:rsid w:val="630B69B8"/>
    <w:rsid w:val="631C4CAC"/>
    <w:rsid w:val="63803611"/>
    <w:rsid w:val="63A24058"/>
    <w:rsid w:val="63B81B8E"/>
    <w:rsid w:val="63C63B2D"/>
    <w:rsid w:val="63C80384"/>
    <w:rsid w:val="63CE2F96"/>
    <w:rsid w:val="63E353C0"/>
    <w:rsid w:val="640A5BE8"/>
    <w:rsid w:val="642D74A9"/>
    <w:rsid w:val="6467756F"/>
    <w:rsid w:val="649561BD"/>
    <w:rsid w:val="649C5A0B"/>
    <w:rsid w:val="64C576A4"/>
    <w:rsid w:val="64D56188"/>
    <w:rsid w:val="64EB356D"/>
    <w:rsid w:val="657B5026"/>
    <w:rsid w:val="65BD74CE"/>
    <w:rsid w:val="65BE5D68"/>
    <w:rsid w:val="65C42EA8"/>
    <w:rsid w:val="65D97592"/>
    <w:rsid w:val="65EC71CB"/>
    <w:rsid w:val="662E0EE9"/>
    <w:rsid w:val="66383C0F"/>
    <w:rsid w:val="66761F58"/>
    <w:rsid w:val="66821503"/>
    <w:rsid w:val="66843708"/>
    <w:rsid w:val="66A36987"/>
    <w:rsid w:val="66AC6538"/>
    <w:rsid w:val="66D924C5"/>
    <w:rsid w:val="66EC10AD"/>
    <w:rsid w:val="66F518ED"/>
    <w:rsid w:val="670075B9"/>
    <w:rsid w:val="671B4760"/>
    <w:rsid w:val="672E785B"/>
    <w:rsid w:val="674E3C4B"/>
    <w:rsid w:val="6799245E"/>
    <w:rsid w:val="679A7E01"/>
    <w:rsid w:val="67CE0C06"/>
    <w:rsid w:val="67DF7CAD"/>
    <w:rsid w:val="67E45FF5"/>
    <w:rsid w:val="67F77F52"/>
    <w:rsid w:val="67F90CDE"/>
    <w:rsid w:val="680C5657"/>
    <w:rsid w:val="680D4FA2"/>
    <w:rsid w:val="682E77DC"/>
    <w:rsid w:val="688A2E16"/>
    <w:rsid w:val="68D7577A"/>
    <w:rsid w:val="690574A9"/>
    <w:rsid w:val="694D03AF"/>
    <w:rsid w:val="69570425"/>
    <w:rsid w:val="69814C55"/>
    <w:rsid w:val="698C2E61"/>
    <w:rsid w:val="6A4068D3"/>
    <w:rsid w:val="6A4755B2"/>
    <w:rsid w:val="6A590160"/>
    <w:rsid w:val="6A8401C8"/>
    <w:rsid w:val="6AA52DD1"/>
    <w:rsid w:val="6AAF0AA5"/>
    <w:rsid w:val="6AC43A79"/>
    <w:rsid w:val="6B131442"/>
    <w:rsid w:val="6B157678"/>
    <w:rsid w:val="6B4A367E"/>
    <w:rsid w:val="6B4E44D0"/>
    <w:rsid w:val="6B5C0A14"/>
    <w:rsid w:val="6BA87D8E"/>
    <w:rsid w:val="6BB666D4"/>
    <w:rsid w:val="6BBB0D6E"/>
    <w:rsid w:val="6BDE5255"/>
    <w:rsid w:val="6C1035F0"/>
    <w:rsid w:val="6C1B0084"/>
    <w:rsid w:val="6C213D50"/>
    <w:rsid w:val="6C3835FE"/>
    <w:rsid w:val="6C4833B5"/>
    <w:rsid w:val="6C6C408A"/>
    <w:rsid w:val="6C847A36"/>
    <w:rsid w:val="6C9D2089"/>
    <w:rsid w:val="6C9F6677"/>
    <w:rsid w:val="6CBF4775"/>
    <w:rsid w:val="6CC93219"/>
    <w:rsid w:val="6CCF3EA8"/>
    <w:rsid w:val="6D1A1D27"/>
    <w:rsid w:val="6D294250"/>
    <w:rsid w:val="6D4920DC"/>
    <w:rsid w:val="6D750A94"/>
    <w:rsid w:val="6DD20396"/>
    <w:rsid w:val="6DD33664"/>
    <w:rsid w:val="6DD43DD9"/>
    <w:rsid w:val="6DFF3BB6"/>
    <w:rsid w:val="6E2A6C7A"/>
    <w:rsid w:val="6E45456F"/>
    <w:rsid w:val="6E7570DA"/>
    <w:rsid w:val="6E7A49D7"/>
    <w:rsid w:val="6EAC772F"/>
    <w:rsid w:val="6ED54ACD"/>
    <w:rsid w:val="6EEB209A"/>
    <w:rsid w:val="6F24693F"/>
    <w:rsid w:val="6F47023D"/>
    <w:rsid w:val="6F5D65CB"/>
    <w:rsid w:val="6F9478A9"/>
    <w:rsid w:val="6FAE6058"/>
    <w:rsid w:val="6FE1317C"/>
    <w:rsid w:val="6FF62B21"/>
    <w:rsid w:val="70284C8D"/>
    <w:rsid w:val="70377D65"/>
    <w:rsid w:val="704F1D25"/>
    <w:rsid w:val="70577598"/>
    <w:rsid w:val="705D464D"/>
    <w:rsid w:val="70674C7C"/>
    <w:rsid w:val="70703829"/>
    <w:rsid w:val="70800E9E"/>
    <w:rsid w:val="7081480D"/>
    <w:rsid w:val="708312A5"/>
    <w:rsid w:val="70975EFF"/>
    <w:rsid w:val="70C84AFF"/>
    <w:rsid w:val="71031FE4"/>
    <w:rsid w:val="7123465C"/>
    <w:rsid w:val="713454CC"/>
    <w:rsid w:val="71744910"/>
    <w:rsid w:val="71797865"/>
    <w:rsid w:val="7186608C"/>
    <w:rsid w:val="71871419"/>
    <w:rsid w:val="7195257D"/>
    <w:rsid w:val="71A65933"/>
    <w:rsid w:val="71B65ECB"/>
    <w:rsid w:val="71C43B29"/>
    <w:rsid w:val="71E21D45"/>
    <w:rsid w:val="71E752DC"/>
    <w:rsid w:val="720B0CB2"/>
    <w:rsid w:val="72205126"/>
    <w:rsid w:val="7225197F"/>
    <w:rsid w:val="72340AB8"/>
    <w:rsid w:val="723713EB"/>
    <w:rsid w:val="724752FF"/>
    <w:rsid w:val="72A37BDD"/>
    <w:rsid w:val="72A74F2E"/>
    <w:rsid w:val="7312482F"/>
    <w:rsid w:val="733E1340"/>
    <w:rsid w:val="739C292F"/>
    <w:rsid w:val="73A24DFB"/>
    <w:rsid w:val="73BA733F"/>
    <w:rsid w:val="742D74E9"/>
    <w:rsid w:val="743A7359"/>
    <w:rsid w:val="743E6694"/>
    <w:rsid w:val="74721386"/>
    <w:rsid w:val="749D43C7"/>
    <w:rsid w:val="74FE2455"/>
    <w:rsid w:val="750F20B5"/>
    <w:rsid w:val="756658A0"/>
    <w:rsid w:val="75874F05"/>
    <w:rsid w:val="75A87959"/>
    <w:rsid w:val="75B051F5"/>
    <w:rsid w:val="75BB251D"/>
    <w:rsid w:val="75BE53BC"/>
    <w:rsid w:val="76010251"/>
    <w:rsid w:val="7608551A"/>
    <w:rsid w:val="764E228C"/>
    <w:rsid w:val="76A96EC9"/>
    <w:rsid w:val="76B765CD"/>
    <w:rsid w:val="76C23C96"/>
    <w:rsid w:val="76D16731"/>
    <w:rsid w:val="76F01CBC"/>
    <w:rsid w:val="772112F9"/>
    <w:rsid w:val="77277768"/>
    <w:rsid w:val="775F0226"/>
    <w:rsid w:val="777E2C5A"/>
    <w:rsid w:val="77902EEF"/>
    <w:rsid w:val="77A94E7C"/>
    <w:rsid w:val="77D81265"/>
    <w:rsid w:val="77FD389E"/>
    <w:rsid w:val="78003280"/>
    <w:rsid w:val="7802683B"/>
    <w:rsid w:val="78522A9C"/>
    <w:rsid w:val="7859305B"/>
    <w:rsid w:val="785C25D4"/>
    <w:rsid w:val="78E53498"/>
    <w:rsid w:val="78EB0356"/>
    <w:rsid w:val="790E1553"/>
    <w:rsid w:val="79176484"/>
    <w:rsid w:val="792817FD"/>
    <w:rsid w:val="79427DDF"/>
    <w:rsid w:val="79452053"/>
    <w:rsid w:val="797B1D76"/>
    <w:rsid w:val="79840359"/>
    <w:rsid w:val="79962297"/>
    <w:rsid w:val="79A53F9F"/>
    <w:rsid w:val="79C57FA3"/>
    <w:rsid w:val="79D2750A"/>
    <w:rsid w:val="7A0E774A"/>
    <w:rsid w:val="7A2F5024"/>
    <w:rsid w:val="7A440ED1"/>
    <w:rsid w:val="7A4F2676"/>
    <w:rsid w:val="7A5E6A42"/>
    <w:rsid w:val="7A6151F2"/>
    <w:rsid w:val="7ABA2133"/>
    <w:rsid w:val="7AC52594"/>
    <w:rsid w:val="7ACF0AAC"/>
    <w:rsid w:val="7ADB6B65"/>
    <w:rsid w:val="7AE95DCA"/>
    <w:rsid w:val="7AF175E3"/>
    <w:rsid w:val="7B035F96"/>
    <w:rsid w:val="7B0A194F"/>
    <w:rsid w:val="7B125882"/>
    <w:rsid w:val="7B151E30"/>
    <w:rsid w:val="7B275679"/>
    <w:rsid w:val="7B2E79EA"/>
    <w:rsid w:val="7B5905B3"/>
    <w:rsid w:val="7B5B40E2"/>
    <w:rsid w:val="7B8838F5"/>
    <w:rsid w:val="7B95562C"/>
    <w:rsid w:val="7BCF0677"/>
    <w:rsid w:val="7BEC6E25"/>
    <w:rsid w:val="7C32343C"/>
    <w:rsid w:val="7C323762"/>
    <w:rsid w:val="7C326642"/>
    <w:rsid w:val="7C9A4632"/>
    <w:rsid w:val="7C9D22A2"/>
    <w:rsid w:val="7C9F2F63"/>
    <w:rsid w:val="7CB259FF"/>
    <w:rsid w:val="7CE35E0E"/>
    <w:rsid w:val="7CF20B8D"/>
    <w:rsid w:val="7D05429C"/>
    <w:rsid w:val="7D5C6415"/>
    <w:rsid w:val="7D6B1DF0"/>
    <w:rsid w:val="7D6E07F9"/>
    <w:rsid w:val="7D910D77"/>
    <w:rsid w:val="7DF1277A"/>
    <w:rsid w:val="7DFC5D0E"/>
    <w:rsid w:val="7E8062D9"/>
    <w:rsid w:val="7E957CD9"/>
    <w:rsid w:val="7EB404D3"/>
    <w:rsid w:val="7ECC5F05"/>
    <w:rsid w:val="7ED961F5"/>
    <w:rsid w:val="7EEF3C0E"/>
    <w:rsid w:val="7EF727F2"/>
    <w:rsid w:val="7F0B602D"/>
    <w:rsid w:val="7F0E39E0"/>
    <w:rsid w:val="7F203CEF"/>
    <w:rsid w:val="7F212254"/>
    <w:rsid w:val="7F3353B5"/>
    <w:rsid w:val="7F452B7C"/>
    <w:rsid w:val="7F70461E"/>
    <w:rsid w:val="7F747B7F"/>
    <w:rsid w:val="7F8E7B14"/>
    <w:rsid w:val="7FAF4E32"/>
    <w:rsid w:val="7FDD199D"/>
    <w:rsid w:val="7FF142F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4"/>
      <o:rules v:ext="edit">
        <o:r id="V:Rule1" type="connector" idref="#_x0000_s3250"/>
        <o:r id="V:Rule2" type="connector" idref="#_x0000_s3258"/>
        <o:r id="V:Rule3" type="connector" idref="#_x0000_s3262"/>
        <o:r id="V:Rule4" type="connector" idref="#_x0000_s3263"/>
        <o:r id="V:Rule5" type="connector" idref="#_x0000_s3265"/>
        <o:r id="V:Rule6" type="connector" idref="#_x0000_s3266"/>
        <o:r id="V:Rule7" type="connector" idref="#_x0000_s3267"/>
        <o:r id="V:Rule8" type="connector" idref="#_x0000_s3269"/>
        <o:r id="V:Rule9" type="connector" idref="#直线 145"/>
        <o:r id="V:Rule10" type="connector" idref="#直线 150"/>
        <o:r id="V:Rule11" type="connector" idref="#直线 14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39" w:semiHidden="0" w:name="toc 2"/>
    <w:lsdException w:qFormat="1" w:uiPriority="39" w:semiHidden="0" w:name="toc 3"/>
    <w:lsdException w:qFormat="1"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nhideWhenUsed="0" w:uiPriority="0" w:semiHidden="0" w:name="endnote text"/>
    <w:lsdException w:uiPriority="0" w:name="table of authorities"/>
    <w:lsdException w:uiPriority="0" w:name="macro"/>
    <w:lsdException w:unhideWhenUsed="0" w:uiPriority="0" w:semiHidden="0" w:name="toa heading"/>
    <w:lsdException w:qFormat="1" w:uiPriority="99" w:semiHidden="0" w:name="List"/>
    <w:lsdException w:uiPriority="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99" w:semiHidden="0" w:name="Date"/>
    <w:lsdException w:qFormat="1" w:unhideWhenUsed="0" w:uiPriority="0" w:semiHidden="0" w:name="Body Text First Indent"/>
    <w:lsdException w:qFormat="1" w:unhideWhenUsed="0" w:uiPriority="99"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39" w:semiHidden="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0" w:name="HTML Keyboard"/>
    <w:lsdException w:qFormat="1" w:unhideWhenUsed="0" w:uiPriority="99" w:semiHidden="0" w:name="HTML Preformatted"/>
    <w:lsdException w:uiPriority="0" w:name="HTML Sample"/>
    <w:lsdException w:uiPriority="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qFormat="1" w:unhideWhenUsed="0" w:uiPriority="0" w:semiHidden="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0"/>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1"/>
    <w:qFormat/>
    <w:uiPriority w:val="1"/>
    <w:pPr>
      <w:keepNext/>
      <w:keepLines/>
      <w:spacing w:before="260" w:after="260" w:line="416" w:lineRule="auto"/>
      <w:outlineLvl w:val="1"/>
    </w:pPr>
    <w:rPr>
      <w:rFonts w:hAnsi="Arial" w:eastAsia="黑体"/>
      <w:b/>
      <w:bCs/>
      <w:sz w:val="32"/>
      <w:szCs w:val="32"/>
    </w:rPr>
  </w:style>
  <w:style w:type="paragraph" w:styleId="5">
    <w:name w:val="heading 3"/>
    <w:basedOn w:val="1"/>
    <w:next w:val="1"/>
    <w:link w:val="62"/>
    <w:qFormat/>
    <w:uiPriority w:val="0"/>
    <w:pPr>
      <w:keepNext/>
      <w:keepLines/>
      <w:spacing w:before="260" w:after="260" w:line="416" w:lineRule="auto"/>
      <w:outlineLvl w:val="2"/>
    </w:pPr>
    <w:rPr>
      <w:b/>
      <w:bCs/>
      <w:sz w:val="32"/>
      <w:szCs w:val="32"/>
    </w:rPr>
  </w:style>
  <w:style w:type="paragraph" w:styleId="6">
    <w:name w:val="heading 4"/>
    <w:basedOn w:val="1"/>
    <w:next w:val="1"/>
    <w:link w:val="63"/>
    <w:qFormat/>
    <w:uiPriority w:val="0"/>
    <w:pPr>
      <w:keepNext/>
      <w:keepLines/>
      <w:spacing w:before="280" w:after="290" w:line="376" w:lineRule="auto"/>
      <w:outlineLvl w:val="3"/>
    </w:pPr>
    <w:rPr>
      <w:rFonts w:hAnsi="Arial" w:eastAsia="黑体"/>
      <w:b/>
      <w:bCs/>
      <w:szCs w:val="28"/>
    </w:rPr>
  </w:style>
  <w:style w:type="paragraph" w:styleId="7">
    <w:name w:val="heading 5"/>
    <w:basedOn w:val="1"/>
    <w:next w:val="1"/>
    <w:link w:val="64"/>
    <w:qFormat/>
    <w:uiPriority w:val="0"/>
    <w:pPr>
      <w:keepNext/>
      <w:keepLines/>
      <w:adjustRightInd w:val="0"/>
      <w:spacing w:before="280" w:after="290" w:line="376" w:lineRule="atLeast"/>
      <w:jc w:val="left"/>
      <w:textAlignment w:val="baseline"/>
      <w:outlineLvl w:val="4"/>
    </w:pPr>
    <w:rPr>
      <w:b/>
      <w:kern w:val="0"/>
      <w:sz w:val="28"/>
      <w:szCs w:val="20"/>
    </w:rPr>
  </w:style>
  <w:style w:type="paragraph" w:styleId="8">
    <w:name w:val="heading 6"/>
    <w:basedOn w:val="1"/>
    <w:next w:val="1"/>
    <w:link w:val="65"/>
    <w:qFormat/>
    <w:uiPriority w:val="0"/>
    <w:pPr>
      <w:keepNext/>
      <w:keepLines/>
      <w:tabs>
        <w:tab w:val="left" w:pos="240"/>
        <w:tab w:val="left" w:pos="480"/>
        <w:tab w:val="left" w:pos="720"/>
      </w:tabs>
      <w:adjustRightInd w:val="0"/>
      <w:spacing w:before="240" w:after="64" w:line="320" w:lineRule="atLeast"/>
      <w:ind w:left="2520" w:hanging="420"/>
      <w:jc w:val="left"/>
      <w:textAlignment w:val="baseline"/>
      <w:outlineLvl w:val="5"/>
    </w:pPr>
    <w:rPr>
      <w:rFonts w:ascii="Arial" w:hAnsi="Arial" w:eastAsia="黑体"/>
      <w:b/>
      <w:color w:val="FF0000"/>
      <w:kern w:val="0"/>
      <w:sz w:val="24"/>
      <w:szCs w:val="20"/>
    </w:rPr>
  </w:style>
  <w:style w:type="paragraph" w:styleId="9">
    <w:name w:val="heading 7"/>
    <w:basedOn w:val="1"/>
    <w:next w:val="1"/>
    <w:link w:val="66"/>
    <w:qFormat/>
    <w:uiPriority w:val="0"/>
    <w:pPr>
      <w:keepNext/>
      <w:keepLines/>
      <w:tabs>
        <w:tab w:val="left" w:pos="240"/>
        <w:tab w:val="left" w:pos="480"/>
        <w:tab w:val="left" w:pos="720"/>
      </w:tabs>
      <w:adjustRightInd w:val="0"/>
      <w:spacing w:before="240" w:after="64" w:line="320" w:lineRule="atLeast"/>
      <w:ind w:left="2940" w:hanging="420"/>
      <w:jc w:val="left"/>
      <w:textAlignment w:val="baseline"/>
      <w:outlineLvl w:val="6"/>
    </w:pPr>
    <w:rPr>
      <w:b/>
      <w:color w:val="FF0000"/>
      <w:kern w:val="0"/>
      <w:sz w:val="24"/>
      <w:szCs w:val="20"/>
    </w:rPr>
  </w:style>
  <w:style w:type="paragraph" w:styleId="10">
    <w:name w:val="heading 8"/>
    <w:basedOn w:val="1"/>
    <w:next w:val="1"/>
    <w:link w:val="67"/>
    <w:qFormat/>
    <w:uiPriority w:val="0"/>
    <w:pPr>
      <w:keepNext/>
      <w:keepLines/>
      <w:tabs>
        <w:tab w:val="left" w:pos="240"/>
        <w:tab w:val="left" w:pos="480"/>
        <w:tab w:val="left" w:pos="720"/>
      </w:tabs>
      <w:adjustRightInd w:val="0"/>
      <w:spacing w:before="240" w:after="64" w:line="320" w:lineRule="atLeast"/>
      <w:ind w:left="3360" w:hanging="420"/>
      <w:jc w:val="left"/>
      <w:textAlignment w:val="baseline"/>
      <w:outlineLvl w:val="7"/>
    </w:pPr>
    <w:rPr>
      <w:rFonts w:ascii="Arial" w:hAnsi="Arial" w:eastAsia="黑体"/>
      <w:b/>
      <w:color w:val="FF0000"/>
      <w:kern w:val="0"/>
      <w:sz w:val="24"/>
      <w:szCs w:val="20"/>
    </w:rPr>
  </w:style>
  <w:style w:type="paragraph" w:styleId="11">
    <w:name w:val="heading 9"/>
    <w:basedOn w:val="1"/>
    <w:next w:val="1"/>
    <w:link w:val="68"/>
    <w:qFormat/>
    <w:uiPriority w:val="0"/>
    <w:pPr>
      <w:keepNext/>
      <w:keepLines/>
      <w:tabs>
        <w:tab w:val="left" w:pos="240"/>
        <w:tab w:val="left" w:pos="480"/>
        <w:tab w:val="left" w:pos="720"/>
      </w:tabs>
      <w:adjustRightInd w:val="0"/>
      <w:spacing w:before="240" w:after="64" w:line="320" w:lineRule="atLeast"/>
      <w:ind w:left="3780" w:hanging="420"/>
      <w:jc w:val="left"/>
      <w:textAlignment w:val="baseline"/>
      <w:outlineLvl w:val="8"/>
    </w:pPr>
    <w:rPr>
      <w:rFonts w:ascii="Arial" w:hAnsi="Arial" w:eastAsia="黑体"/>
      <w:b/>
      <w:color w:val="FF0000"/>
      <w:kern w:val="0"/>
      <w:szCs w:val="20"/>
    </w:rPr>
  </w:style>
  <w:style w:type="character" w:default="1" w:styleId="49">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73"/>
    <w:qFormat/>
    <w:uiPriority w:val="0"/>
    <w:pPr>
      <w:ind w:firstLine="420" w:firstLineChars="200"/>
    </w:pPr>
    <w:rPr>
      <w:sz w:val="20"/>
    </w:rPr>
  </w:style>
  <w:style w:type="paragraph" w:styleId="12">
    <w:name w:val="toc 7"/>
    <w:basedOn w:val="1"/>
    <w:next w:val="1"/>
    <w:unhideWhenUsed/>
    <w:qFormat/>
    <w:uiPriority w:val="39"/>
    <w:pPr>
      <w:ind w:left="2520" w:leftChars="1200"/>
    </w:pPr>
    <w:rPr>
      <w:rFonts w:ascii="Calibri" w:hAnsi="Calibri"/>
      <w:szCs w:val="22"/>
    </w:rPr>
  </w:style>
  <w:style w:type="paragraph" w:styleId="13">
    <w:name w:val="Document Map"/>
    <w:basedOn w:val="1"/>
    <w:link w:val="74"/>
    <w:qFormat/>
    <w:uiPriority w:val="0"/>
    <w:rPr>
      <w:rFonts w:ascii="宋体"/>
      <w:sz w:val="18"/>
      <w:szCs w:val="18"/>
    </w:rPr>
  </w:style>
  <w:style w:type="paragraph" w:styleId="14">
    <w:name w:val="annotation text"/>
    <w:basedOn w:val="1"/>
    <w:link w:val="69"/>
    <w:qFormat/>
    <w:uiPriority w:val="0"/>
    <w:pPr>
      <w:jc w:val="left"/>
    </w:pPr>
  </w:style>
  <w:style w:type="paragraph" w:styleId="15">
    <w:name w:val="Body Text 3"/>
    <w:basedOn w:val="1"/>
    <w:link w:val="75"/>
    <w:qFormat/>
    <w:uiPriority w:val="0"/>
    <w:pPr>
      <w:spacing w:line="320" w:lineRule="exact"/>
    </w:pPr>
    <w:rPr>
      <w:color w:val="000000"/>
      <w:sz w:val="24"/>
    </w:rPr>
  </w:style>
  <w:style w:type="paragraph" w:styleId="16">
    <w:name w:val="Body Text"/>
    <w:basedOn w:val="1"/>
    <w:link w:val="72"/>
    <w:qFormat/>
    <w:uiPriority w:val="0"/>
    <w:pPr>
      <w:spacing w:after="120"/>
    </w:pPr>
  </w:style>
  <w:style w:type="paragraph" w:styleId="17">
    <w:name w:val="Body Text Indent"/>
    <w:basedOn w:val="1"/>
    <w:link w:val="76"/>
    <w:qFormat/>
    <w:uiPriority w:val="0"/>
    <w:pPr>
      <w:spacing w:after="120"/>
      <w:ind w:left="420" w:leftChars="200"/>
    </w:pPr>
    <w:rPr>
      <w:szCs w:val="20"/>
    </w:rPr>
  </w:style>
  <w:style w:type="paragraph" w:styleId="18">
    <w:name w:val="List 2"/>
    <w:next w:val="1"/>
    <w:link w:val="77"/>
    <w:qFormat/>
    <w:uiPriority w:val="0"/>
    <w:pPr>
      <w:jc w:val="center"/>
    </w:pPr>
    <w:rPr>
      <w:rFonts w:ascii="Times New Roman" w:hAnsi="Times New Roman" w:eastAsia="宋体" w:cs="Times New Roman"/>
      <w:lang w:val="en-US" w:eastAsia="zh-CN" w:bidi="ar-SA"/>
    </w:rPr>
  </w:style>
  <w:style w:type="paragraph" w:styleId="19">
    <w:name w:val="Block Text"/>
    <w:basedOn w:val="1"/>
    <w:unhideWhenUsed/>
    <w:qFormat/>
    <w:uiPriority w:val="99"/>
    <w:pPr>
      <w:spacing w:after="120"/>
      <w:ind w:left="1440" w:leftChars="700" w:right="1440" w:rightChars="700"/>
    </w:pPr>
    <w:rPr>
      <w:sz w:val="28"/>
      <w:szCs w:val="20"/>
    </w:rPr>
  </w:style>
  <w:style w:type="paragraph" w:styleId="20">
    <w:name w:val="toc 5"/>
    <w:basedOn w:val="1"/>
    <w:next w:val="1"/>
    <w:qFormat/>
    <w:uiPriority w:val="39"/>
    <w:pPr>
      <w:jc w:val="center"/>
    </w:pPr>
    <w:rPr>
      <w:szCs w:val="21"/>
    </w:rPr>
  </w:style>
  <w:style w:type="paragraph" w:styleId="21">
    <w:name w:val="toc 3"/>
    <w:basedOn w:val="1"/>
    <w:next w:val="1"/>
    <w:unhideWhenUsed/>
    <w:qFormat/>
    <w:uiPriority w:val="39"/>
    <w:pPr>
      <w:ind w:left="840" w:leftChars="400"/>
    </w:pPr>
    <w:rPr>
      <w:rFonts w:ascii="Calibri" w:hAnsi="Calibri"/>
      <w:szCs w:val="22"/>
    </w:rPr>
  </w:style>
  <w:style w:type="paragraph" w:styleId="22">
    <w:name w:val="Plain Text"/>
    <w:basedOn w:val="1"/>
    <w:link w:val="78"/>
    <w:qFormat/>
    <w:uiPriority w:val="0"/>
    <w:rPr>
      <w:rFonts w:ascii="宋体" w:hAnsi="Courier New"/>
      <w:kern w:val="0"/>
      <w:sz w:val="20"/>
      <w:szCs w:val="21"/>
    </w:rPr>
  </w:style>
  <w:style w:type="paragraph" w:styleId="23">
    <w:name w:val="toc 8"/>
    <w:basedOn w:val="1"/>
    <w:next w:val="1"/>
    <w:unhideWhenUsed/>
    <w:qFormat/>
    <w:uiPriority w:val="39"/>
    <w:pPr>
      <w:ind w:left="2940" w:leftChars="1400"/>
    </w:pPr>
    <w:rPr>
      <w:rFonts w:ascii="Calibri" w:hAnsi="Calibri"/>
      <w:szCs w:val="22"/>
    </w:rPr>
  </w:style>
  <w:style w:type="paragraph" w:styleId="24">
    <w:name w:val="Date"/>
    <w:basedOn w:val="1"/>
    <w:next w:val="1"/>
    <w:link w:val="79"/>
    <w:qFormat/>
    <w:uiPriority w:val="99"/>
    <w:pPr>
      <w:ind w:left="100" w:leftChars="2500"/>
    </w:pPr>
    <w:rPr>
      <w:sz w:val="28"/>
      <w:szCs w:val="20"/>
    </w:rPr>
  </w:style>
  <w:style w:type="paragraph" w:styleId="25">
    <w:name w:val="Body Text Indent 2"/>
    <w:basedOn w:val="1"/>
    <w:link w:val="80"/>
    <w:qFormat/>
    <w:uiPriority w:val="0"/>
    <w:pPr>
      <w:spacing w:after="120" w:line="480" w:lineRule="auto"/>
      <w:ind w:left="420" w:leftChars="200"/>
    </w:pPr>
    <w:rPr>
      <w:szCs w:val="20"/>
    </w:rPr>
  </w:style>
  <w:style w:type="paragraph" w:styleId="26">
    <w:name w:val="Balloon Text"/>
    <w:basedOn w:val="1"/>
    <w:link w:val="81"/>
    <w:qFormat/>
    <w:uiPriority w:val="0"/>
    <w:rPr>
      <w:sz w:val="18"/>
      <w:szCs w:val="18"/>
    </w:rPr>
  </w:style>
  <w:style w:type="paragraph" w:styleId="27">
    <w:name w:val="footer"/>
    <w:basedOn w:val="1"/>
    <w:link w:val="82"/>
    <w:qFormat/>
    <w:uiPriority w:val="99"/>
    <w:pPr>
      <w:pBdr>
        <w:top w:val="none" w:color="auto" w:sz="0" w:space="1"/>
        <w:left w:val="none" w:color="auto" w:sz="0" w:space="4"/>
        <w:bottom w:val="thinThickLargeGap" w:color="auto" w:sz="24" w:space="1"/>
        <w:right w:val="none" w:color="auto" w:sz="0" w:space="4"/>
      </w:pBdr>
      <w:tabs>
        <w:tab w:val="center" w:pos="4153"/>
        <w:tab w:val="right" w:pos="8306"/>
      </w:tabs>
      <w:snapToGrid w:val="0"/>
      <w:jc w:val="left"/>
    </w:pPr>
    <w:rPr>
      <w:rFonts w:ascii="Calibri" w:hAnsi="Calibri"/>
    </w:rPr>
  </w:style>
  <w:style w:type="paragraph" w:styleId="28">
    <w:name w:val="header"/>
    <w:basedOn w:val="1"/>
    <w:link w:val="8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9">
    <w:name w:val="toc 1"/>
    <w:basedOn w:val="1"/>
    <w:next w:val="1"/>
    <w:qFormat/>
    <w:uiPriority w:val="0"/>
    <w:pPr>
      <w:tabs>
        <w:tab w:val="right" w:leader="hyphen" w:pos="8720"/>
      </w:tabs>
      <w:spacing w:line="440" w:lineRule="exact"/>
      <w:jc w:val="left"/>
    </w:pPr>
    <w:rPr>
      <w:rFonts w:ascii="宋体" w:hAnsi="宋体" w:cs="宋体"/>
      <w:b/>
      <w:bCs/>
      <w:caps/>
      <w:kern w:val="0"/>
      <w:sz w:val="24"/>
    </w:rPr>
  </w:style>
  <w:style w:type="paragraph" w:styleId="30">
    <w:name w:val="toc 4"/>
    <w:basedOn w:val="1"/>
    <w:next w:val="1"/>
    <w:unhideWhenUsed/>
    <w:qFormat/>
    <w:uiPriority w:val="39"/>
    <w:pPr>
      <w:ind w:left="1260" w:leftChars="600"/>
    </w:pPr>
    <w:rPr>
      <w:rFonts w:ascii="Calibri" w:hAnsi="Calibri"/>
      <w:szCs w:val="22"/>
    </w:rPr>
  </w:style>
  <w:style w:type="paragraph" w:styleId="31">
    <w:name w:val="List"/>
    <w:basedOn w:val="1"/>
    <w:unhideWhenUsed/>
    <w:qFormat/>
    <w:uiPriority w:val="99"/>
    <w:pPr>
      <w:ind w:left="200" w:hanging="200" w:hangingChars="200"/>
      <w:contextualSpacing/>
    </w:pPr>
    <w:rPr>
      <w:sz w:val="28"/>
      <w:szCs w:val="20"/>
    </w:rPr>
  </w:style>
  <w:style w:type="paragraph" w:styleId="32">
    <w:name w:val="toc 6"/>
    <w:basedOn w:val="1"/>
    <w:next w:val="1"/>
    <w:unhideWhenUsed/>
    <w:qFormat/>
    <w:uiPriority w:val="39"/>
    <w:pPr>
      <w:ind w:left="2100" w:leftChars="1000"/>
    </w:pPr>
    <w:rPr>
      <w:rFonts w:ascii="Calibri" w:hAnsi="Calibri"/>
      <w:szCs w:val="22"/>
    </w:rPr>
  </w:style>
  <w:style w:type="paragraph" w:styleId="33">
    <w:name w:val="Body Text Indent 3"/>
    <w:basedOn w:val="1"/>
    <w:link w:val="84"/>
    <w:qFormat/>
    <w:uiPriority w:val="0"/>
    <w:pPr>
      <w:spacing w:line="360" w:lineRule="auto"/>
      <w:ind w:firstLine="570"/>
    </w:pPr>
    <w:rPr>
      <w:rFonts w:ascii="宋体" w:hAnsi="宋体"/>
      <w:sz w:val="24"/>
    </w:rPr>
  </w:style>
  <w:style w:type="paragraph" w:styleId="34">
    <w:name w:val="toc 2"/>
    <w:basedOn w:val="1"/>
    <w:next w:val="1"/>
    <w:qFormat/>
    <w:uiPriority w:val="39"/>
    <w:pPr>
      <w:ind w:left="420" w:leftChars="200"/>
    </w:pPr>
  </w:style>
  <w:style w:type="paragraph" w:styleId="35">
    <w:name w:val="toc 9"/>
    <w:basedOn w:val="1"/>
    <w:next w:val="1"/>
    <w:unhideWhenUsed/>
    <w:qFormat/>
    <w:uiPriority w:val="39"/>
    <w:pPr>
      <w:ind w:left="3360" w:leftChars="1600"/>
    </w:pPr>
    <w:rPr>
      <w:rFonts w:ascii="Calibri" w:hAnsi="Calibri"/>
      <w:szCs w:val="22"/>
    </w:rPr>
  </w:style>
  <w:style w:type="paragraph" w:styleId="36">
    <w:name w:val="Body Text 2"/>
    <w:basedOn w:val="1"/>
    <w:link w:val="85"/>
    <w:qFormat/>
    <w:uiPriority w:val="0"/>
    <w:pPr>
      <w:spacing w:after="120" w:line="480" w:lineRule="auto"/>
    </w:pPr>
  </w:style>
  <w:style w:type="paragraph" w:styleId="37">
    <w:name w:val="HTML Preformatted"/>
    <w:basedOn w:val="1"/>
    <w:link w:val="86"/>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paragraph" w:styleId="38">
    <w:name w:val="Normal (Web)"/>
    <w:basedOn w:val="1"/>
    <w:qFormat/>
    <w:uiPriority w:val="39"/>
    <w:pPr>
      <w:widowControl/>
      <w:spacing w:before="100" w:beforeAutospacing="1" w:after="100" w:afterAutospacing="1" w:line="360" w:lineRule="atLeast"/>
      <w:jc w:val="left"/>
    </w:pPr>
    <w:rPr>
      <w:rFonts w:ascii="Arial Unicode MS" w:hAnsi="Arial Unicode MS" w:eastAsia="Arial Unicode MS" w:cs="Arial Unicode MS"/>
      <w:color w:val="000000"/>
      <w:kern w:val="0"/>
      <w:sz w:val="24"/>
    </w:rPr>
  </w:style>
  <w:style w:type="paragraph" w:styleId="39">
    <w:name w:val="index 1"/>
    <w:basedOn w:val="1"/>
    <w:next w:val="1"/>
    <w:qFormat/>
    <w:uiPriority w:val="0"/>
    <w:pPr>
      <w:tabs>
        <w:tab w:val="left" w:pos="5580"/>
      </w:tabs>
      <w:spacing w:line="280" w:lineRule="exact"/>
    </w:pPr>
    <w:rPr>
      <w:rFonts w:ascii="宋体" w:hAnsi="宋体"/>
      <w:spacing w:val="10"/>
    </w:rPr>
  </w:style>
  <w:style w:type="paragraph" w:styleId="40">
    <w:name w:val="Title"/>
    <w:basedOn w:val="1"/>
    <w:next w:val="1"/>
    <w:link w:val="87"/>
    <w:qFormat/>
    <w:uiPriority w:val="0"/>
    <w:pPr>
      <w:spacing w:before="240" w:after="60"/>
      <w:jc w:val="center"/>
      <w:outlineLvl w:val="0"/>
    </w:pPr>
    <w:rPr>
      <w:rFonts w:ascii="Calibri Light" w:hAnsi="Calibri Light"/>
      <w:b/>
      <w:bCs/>
      <w:spacing w:val="-6"/>
      <w:kern w:val="0"/>
      <w:sz w:val="32"/>
      <w:szCs w:val="32"/>
    </w:rPr>
  </w:style>
  <w:style w:type="paragraph" w:styleId="41">
    <w:name w:val="annotation subject"/>
    <w:basedOn w:val="14"/>
    <w:next w:val="14"/>
    <w:link w:val="70"/>
    <w:qFormat/>
    <w:uiPriority w:val="0"/>
    <w:rPr>
      <w:b/>
      <w:bCs/>
    </w:rPr>
  </w:style>
  <w:style w:type="paragraph" w:styleId="42">
    <w:name w:val="Body Text First Indent"/>
    <w:basedOn w:val="1"/>
    <w:link w:val="71"/>
    <w:qFormat/>
    <w:uiPriority w:val="0"/>
    <w:pPr>
      <w:suppressAutoHyphens/>
      <w:topLinePunct/>
      <w:adjustRightInd w:val="0"/>
      <w:spacing w:line="360" w:lineRule="auto"/>
      <w:ind w:firstLine="567"/>
      <w:textAlignment w:val="baseline"/>
    </w:pPr>
    <w:rPr>
      <w:sz w:val="28"/>
      <w:szCs w:val="20"/>
    </w:rPr>
  </w:style>
  <w:style w:type="paragraph" w:styleId="43">
    <w:name w:val="Body Text First Indent 2"/>
    <w:basedOn w:val="1"/>
    <w:link w:val="275"/>
    <w:qFormat/>
    <w:uiPriority w:val="99"/>
    <w:pPr>
      <w:widowControl/>
      <w:spacing w:after="120"/>
      <w:ind w:left="420" w:leftChars="200" w:firstLine="420" w:firstLineChars="200"/>
      <w:jc w:val="left"/>
    </w:pPr>
    <w:rPr>
      <w:kern w:val="0"/>
      <w:sz w:val="20"/>
      <w:szCs w:val="20"/>
    </w:r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Theme"/>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7">
    <w:name w:val="Table List 7"/>
    <w:basedOn w:val="44"/>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48">
    <w:name w:val="Table Professional"/>
    <w:basedOn w:val="4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50">
    <w:name w:val="Strong"/>
    <w:qFormat/>
    <w:uiPriority w:val="0"/>
    <w:rPr>
      <w:b/>
      <w:bCs/>
    </w:rPr>
  </w:style>
  <w:style w:type="character" w:styleId="51">
    <w:name w:val="page number"/>
    <w:basedOn w:val="49"/>
    <w:qFormat/>
    <w:uiPriority w:val="0"/>
  </w:style>
  <w:style w:type="character" w:styleId="52">
    <w:name w:val="FollowedHyperlink"/>
    <w:qFormat/>
    <w:uiPriority w:val="99"/>
    <w:rPr>
      <w:color w:val="333333"/>
      <w:u w:val="none"/>
    </w:rPr>
  </w:style>
  <w:style w:type="character" w:styleId="53">
    <w:name w:val="Emphasis"/>
    <w:qFormat/>
    <w:uiPriority w:val="0"/>
  </w:style>
  <w:style w:type="character" w:styleId="54">
    <w:name w:val="HTML Definition"/>
    <w:qFormat/>
    <w:uiPriority w:val="0"/>
  </w:style>
  <w:style w:type="character" w:styleId="55">
    <w:name w:val="HTML Variable"/>
    <w:qFormat/>
    <w:uiPriority w:val="0"/>
  </w:style>
  <w:style w:type="character" w:styleId="56">
    <w:name w:val="Hyperlink"/>
    <w:qFormat/>
    <w:uiPriority w:val="99"/>
    <w:rPr>
      <w:color w:val="333333"/>
      <w:u w:val="none"/>
    </w:rPr>
  </w:style>
  <w:style w:type="character" w:styleId="57">
    <w:name w:val="HTML Code"/>
    <w:qFormat/>
    <w:uiPriority w:val="0"/>
    <w:rPr>
      <w:rFonts w:ascii="Courier New" w:hAnsi="Courier New"/>
      <w:sz w:val="20"/>
    </w:rPr>
  </w:style>
  <w:style w:type="character" w:styleId="58">
    <w:name w:val="annotation reference"/>
    <w:qFormat/>
    <w:uiPriority w:val="0"/>
    <w:rPr>
      <w:sz w:val="21"/>
      <w:szCs w:val="21"/>
    </w:rPr>
  </w:style>
  <w:style w:type="character" w:styleId="59">
    <w:name w:val="HTML Cite"/>
    <w:qFormat/>
    <w:uiPriority w:val="0"/>
  </w:style>
  <w:style w:type="character" w:customStyle="1" w:styleId="60">
    <w:name w:val="标题 1 Char"/>
    <w:link w:val="3"/>
    <w:qFormat/>
    <w:uiPriority w:val="0"/>
    <w:rPr>
      <w:b/>
      <w:bCs/>
      <w:kern w:val="44"/>
      <w:sz w:val="44"/>
      <w:szCs w:val="44"/>
    </w:rPr>
  </w:style>
  <w:style w:type="character" w:customStyle="1" w:styleId="61">
    <w:name w:val="标题 2 Char"/>
    <w:link w:val="4"/>
    <w:qFormat/>
    <w:uiPriority w:val="0"/>
    <w:rPr>
      <w:rFonts w:hAnsi="Arial" w:eastAsia="黑体"/>
      <w:b/>
      <w:bCs/>
      <w:kern w:val="2"/>
      <w:sz w:val="32"/>
      <w:szCs w:val="32"/>
    </w:rPr>
  </w:style>
  <w:style w:type="character" w:customStyle="1" w:styleId="62">
    <w:name w:val="标题 3 Char"/>
    <w:link w:val="5"/>
    <w:qFormat/>
    <w:uiPriority w:val="0"/>
    <w:rPr>
      <w:b/>
      <w:bCs/>
      <w:kern w:val="2"/>
      <w:sz w:val="32"/>
      <w:szCs w:val="32"/>
    </w:rPr>
  </w:style>
  <w:style w:type="character" w:customStyle="1" w:styleId="63">
    <w:name w:val="标题 4 Char"/>
    <w:link w:val="6"/>
    <w:qFormat/>
    <w:uiPriority w:val="0"/>
    <w:rPr>
      <w:rFonts w:hAnsi="Arial" w:eastAsia="黑体"/>
      <w:b/>
      <w:bCs/>
      <w:kern w:val="2"/>
      <w:sz w:val="21"/>
      <w:szCs w:val="28"/>
    </w:rPr>
  </w:style>
  <w:style w:type="character" w:customStyle="1" w:styleId="64">
    <w:name w:val="标题 5 Char"/>
    <w:link w:val="7"/>
    <w:qFormat/>
    <w:uiPriority w:val="0"/>
    <w:rPr>
      <w:b/>
      <w:sz w:val="28"/>
    </w:rPr>
  </w:style>
  <w:style w:type="character" w:customStyle="1" w:styleId="65">
    <w:name w:val="标题 6 Char"/>
    <w:link w:val="8"/>
    <w:qFormat/>
    <w:uiPriority w:val="0"/>
    <w:rPr>
      <w:rFonts w:ascii="Arial" w:hAnsi="Arial" w:eastAsia="黑体"/>
      <w:b/>
      <w:color w:val="FF0000"/>
      <w:sz w:val="24"/>
    </w:rPr>
  </w:style>
  <w:style w:type="character" w:customStyle="1" w:styleId="66">
    <w:name w:val="标题 7 Char"/>
    <w:link w:val="9"/>
    <w:qFormat/>
    <w:uiPriority w:val="0"/>
    <w:rPr>
      <w:b/>
      <w:color w:val="FF0000"/>
      <w:sz w:val="24"/>
    </w:rPr>
  </w:style>
  <w:style w:type="character" w:customStyle="1" w:styleId="67">
    <w:name w:val="标题 8 Char"/>
    <w:link w:val="10"/>
    <w:qFormat/>
    <w:uiPriority w:val="0"/>
    <w:rPr>
      <w:rFonts w:ascii="Arial" w:hAnsi="Arial" w:eastAsia="黑体"/>
      <w:b/>
      <w:color w:val="FF0000"/>
      <w:sz w:val="24"/>
    </w:rPr>
  </w:style>
  <w:style w:type="character" w:customStyle="1" w:styleId="68">
    <w:name w:val="标题 9 Char"/>
    <w:link w:val="11"/>
    <w:qFormat/>
    <w:uiPriority w:val="0"/>
    <w:rPr>
      <w:rFonts w:ascii="Arial" w:hAnsi="Arial" w:eastAsia="黑体"/>
      <w:b/>
      <w:color w:val="FF0000"/>
      <w:sz w:val="21"/>
    </w:rPr>
  </w:style>
  <w:style w:type="character" w:customStyle="1" w:styleId="69">
    <w:name w:val="批注文字 Char"/>
    <w:link w:val="14"/>
    <w:qFormat/>
    <w:uiPriority w:val="0"/>
    <w:rPr>
      <w:kern w:val="2"/>
      <w:sz w:val="21"/>
      <w:szCs w:val="24"/>
    </w:rPr>
  </w:style>
  <w:style w:type="character" w:customStyle="1" w:styleId="70">
    <w:name w:val="批注主题 Char"/>
    <w:link w:val="41"/>
    <w:qFormat/>
    <w:uiPriority w:val="0"/>
    <w:rPr>
      <w:b/>
      <w:bCs/>
      <w:kern w:val="2"/>
      <w:sz w:val="21"/>
      <w:szCs w:val="24"/>
    </w:rPr>
  </w:style>
  <w:style w:type="character" w:customStyle="1" w:styleId="71">
    <w:name w:val="正文首行缩进 Char1"/>
    <w:basedOn w:val="72"/>
    <w:link w:val="42"/>
    <w:qFormat/>
    <w:uiPriority w:val="0"/>
    <w:rPr>
      <w:kern w:val="2"/>
      <w:sz w:val="21"/>
      <w:szCs w:val="24"/>
    </w:rPr>
  </w:style>
  <w:style w:type="character" w:customStyle="1" w:styleId="72">
    <w:name w:val="正文文本 Char1"/>
    <w:link w:val="16"/>
    <w:qFormat/>
    <w:uiPriority w:val="0"/>
    <w:rPr>
      <w:kern w:val="2"/>
      <w:sz w:val="21"/>
      <w:szCs w:val="24"/>
    </w:rPr>
  </w:style>
  <w:style w:type="character" w:customStyle="1" w:styleId="73">
    <w:name w:val="正文缩进 Char"/>
    <w:link w:val="2"/>
    <w:qFormat/>
    <w:uiPriority w:val="0"/>
    <w:rPr>
      <w:kern w:val="2"/>
      <w:szCs w:val="24"/>
    </w:rPr>
  </w:style>
  <w:style w:type="character" w:customStyle="1" w:styleId="74">
    <w:name w:val="文档结构图 Char"/>
    <w:link w:val="13"/>
    <w:qFormat/>
    <w:uiPriority w:val="0"/>
    <w:rPr>
      <w:rFonts w:ascii="宋体"/>
      <w:kern w:val="2"/>
      <w:sz w:val="18"/>
      <w:szCs w:val="18"/>
    </w:rPr>
  </w:style>
  <w:style w:type="character" w:customStyle="1" w:styleId="75">
    <w:name w:val="正文文本 3 Char"/>
    <w:link w:val="15"/>
    <w:qFormat/>
    <w:uiPriority w:val="0"/>
    <w:rPr>
      <w:color w:val="000000"/>
      <w:kern w:val="2"/>
      <w:sz w:val="24"/>
      <w:szCs w:val="24"/>
    </w:rPr>
  </w:style>
  <w:style w:type="character" w:customStyle="1" w:styleId="76">
    <w:name w:val="正文文本缩进 Char"/>
    <w:link w:val="17"/>
    <w:qFormat/>
    <w:uiPriority w:val="0"/>
    <w:rPr>
      <w:kern w:val="2"/>
      <w:sz w:val="21"/>
    </w:rPr>
  </w:style>
  <w:style w:type="character" w:customStyle="1" w:styleId="77">
    <w:name w:val="列表 2 Char"/>
    <w:link w:val="18"/>
    <w:qFormat/>
    <w:uiPriority w:val="0"/>
    <w:rPr>
      <w:lang w:val="en-US" w:eastAsia="zh-CN" w:bidi="ar-SA"/>
    </w:rPr>
  </w:style>
  <w:style w:type="character" w:customStyle="1" w:styleId="78">
    <w:name w:val="纯文本 Char"/>
    <w:link w:val="22"/>
    <w:qFormat/>
    <w:uiPriority w:val="0"/>
    <w:rPr>
      <w:rFonts w:ascii="宋体" w:hAnsi="Courier New" w:cs="Courier New"/>
      <w:szCs w:val="21"/>
    </w:rPr>
  </w:style>
  <w:style w:type="character" w:customStyle="1" w:styleId="79">
    <w:name w:val="日期 Char"/>
    <w:link w:val="24"/>
    <w:qFormat/>
    <w:uiPriority w:val="99"/>
    <w:rPr>
      <w:kern w:val="2"/>
      <w:sz w:val="28"/>
    </w:rPr>
  </w:style>
  <w:style w:type="character" w:customStyle="1" w:styleId="80">
    <w:name w:val="正文文本缩进 2 Char"/>
    <w:link w:val="25"/>
    <w:qFormat/>
    <w:uiPriority w:val="0"/>
    <w:rPr>
      <w:kern w:val="2"/>
      <w:sz w:val="21"/>
    </w:rPr>
  </w:style>
  <w:style w:type="character" w:customStyle="1" w:styleId="81">
    <w:name w:val="批注框文本 Char"/>
    <w:link w:val="26"/>
    <w:qFormat/>
    <w:uiPriority w:val="0"/>
    <w:rPr>
      <w:kern w:val="2"/>
      <w:sz w:val="18"/>
      <w:szCs w:val="18"/>
    </w:rPr>
  </w:style>
  <w:style w:type="character" w:customStyle="1" w:styleId="82">
    <w:name w:val="页脚 Char"/>
    <w:link w:val="27"/>
    <w:qFormat/>
    <w:uiPriority w:val="99"/>
    <w:rPr>
      <w:rFonts w:ascii="Calibri" w:hAnsi="Calibri"/>
      <w:kern w:val="2"/>
      <w:sz w:val="21"/>
      <w:szCs w:val="24"/>
    </w:rPr>
  </w:style>
  <w:style w:type="character" w:customStyle="1" w:styleId="83">
    <w:name w:val="页眉 Char"/>
    <w:link w:val="28"/>
    <w:qFormat/>
    <w:uiPriority w:val="99"/>
    <w:rPr>
      <w:kern w:val="2"/>
      <w:sz w:val="18"/>
      <w:szCs w:val="24"/>
    </w:rPr>
  </w:style>
  <w:style w:type="character" w:customStyle="1" w:styleId="84">
    <w:name w:val="正文文本缩进 3 Char"/>
    <w:link w:val="33"/>
    <w:qFormat/>
    <w:uiPriority w:val="0"/>
    <w:rPr>
      <w:rFonts w:ascii="宋体" w:hAnsi="宋体"/>
      <w:kern w:val="2"/>
      <w:sz w:val="24"/>
      <w:szCs w:val="24"/>
    </w:rPr>
  </w:style>
  <w:style w:type="character" w:customStyle="1" w:styleId="85">
    <w:name w:val="正文文本 2 Char"/>
    <w:link w:val="36"/>
    <w:qFormat/>
    <w:uiPriority w:val="0"/>
    <w:rPr>
      <w:kern w:val="2"/>
      <w:sz w:val="21"/>
      <w:szCs w:val="24"/>
    </w:rPr>
  </w:style>
  <w:style w:type="character" w:customStyle="1" w:styleId="86">
    <w:name w:val="HTML 预设格式 Char"/>
    <w:link w:val="37"/>
    <w:qFormat/>
    <w:uiPriority w:val="99"/>
    <w:rPr>
      <w:rFonts w:ascii="Arial" w:hAnsi="Arial" w:cs="Arial"/>
      <w:sz w:val="21"/>
      <w:szCs w:val="21"/>
    </w:rPr>
  </w:style>
  <w:style w:type="character" w:customStyle="1" w:styleId="87">
    <w:name w:val="标题 Char"/>
    <w:link w:val="40"/>
    <w:qFormat/>
    <w:uiPriority w:val="0"/>
    <w:rPr>
      <w:rFonts w:ascii="Calibri Light" w:hAnsi="Calibri Light"/>
      <w:b/>
      <w:bCs/>
      <w:spacing w:val="-6"/>
      <w:sz w:val="32"/>
      <w:szCs w:val="32"/>
    </w:rPr>
  </w:style>
  <w:style w:type="character" w:customStyle="1" w:styleId="88">
    <w:name w:val="正文111 Char"/>
    <w:link w:val="89"/>
    <w:qFormat/>
    <w:uiPriority w:val="0"/>
    <w:rPr>
      <w:b/>
      <w:spacing w:val="6"/>
      <w:sz w:val="21"/>
      <w:szCs w:val="21"/>
    </w:rPr>
  </w:style>
  <w:style w:type="paragraph" w:customStyle="1" w:styleId="89">
    <w:name w:val="正文111"/>
    <w:basedOn w:val="1"/>
    <w:link w:val="88"/>
    <w:qFormat/>
    <w:uiPriority w:val="0"/>
    <w:pPr>
      <w:spacing w:line="520" w:lineRule="exact"/>
      <w:ind w:firstLine="446" w:firstLineChars="200"/>
      <w:jc w:val="center"/>
    </w:pPr>
    <w:rPr>
      <w:b/>
      <w:spacing w:val="6"/>
      <w:kern w:val="0"/>
      <w:szCs w:val="21"/>
    </w:rPr>
  </w:style>
  <w:style w:type="character" w:customStyle="1" w:styleId="90">
    <w:name w:val="文本 Char"/>
    <w:link w:val="91"/>
    <w:qFormat/>
    <w:uiPriority w:val="0"/>
    <w:rPr>
      <w:kern w:val="2"/>
      <w:sz w:val="24"/>
      <w:szCs w:val="24"/>
    </w:rPr>
  </w:style>
  <w:style w:type="paragraph" w:customStyle="1" w:styleId="91">
    <w:name w:val="文本"/>
    <w:basedOn w:val="1"/>
    <w:link w:val="90"/>
    <w:qFormat/>
    <w:uiPriority w:val="0"/>
    <w:pPr>
      <w:spacing w:line="360" w:lineRule="auto"/>
      <w:ind w:firstLine="480" w:firstLineChars="200"/>
    </w:pPr>
    <w:rPr>
      <w:sz w:val="24"/>
    </w:rPr>
  </w:style>
  <w:style w:type="character" w:customStyle="1" w:styleId="92">
    <w:name w:val="页码2"/>
    <w:basedOn w:val="49"/>
    <w:qFormat/>
    <w:uiPriority w:val="0"/>
  </w:style>
  <w:style w:type="character" w:customStyle="1" w:styleId="93">
    <w:name w:val="正文1 Char"/>
    <w:link w:val="94"/>
    <w:qFormat/>
    <w:uiPriority w:val="0"/>
    <w:rPr>
      <w:kern w:val="2"/>
      <w:sz w:val="28"/>
    </w:rPr>
  </w:style>
  <w:style w:type="paragraph" w:customStyle="1" w:styleId="94">
    <w:name w:val="正文1"/>
    <w:basedOn w:val="1"/>
    <w:link w:val="93"/>
    <w:qFormat/>
    <w:uiPriority w:val="99"/>
    <w:pPr>
      <w:adjustRightInd w:val="0"/>
      <w:snapToGrid w:val="0"/>
      <w:spacing w:line="500" w:lineRule="atLeast"/>
      <w:ind w:firstLine="567"/>
    </w:pPr>
    <w:rPr>
      <w:sz w:val="28"/>
      <w:szCs w:val="20"/>
    </w:rPr>
  </w:style>
  <w:style w:type="character" w:customStyle="1" w:styleId="95">
    <w:name w:val="日期 Char1"/>
    <w:qFormat/>
    <w:uiPriority w:val="99"/>
    <w:rPr>
      <w:kern w:val="2"/>
      <w:sz w:val="21"/>
      <w:szCs w:val="24"/>
    </w:rPr>
  </w:style>
  <w:style w:type="character" w:customStyle="1" w:styleId="96">
    <w:name w:val="正文缩进 Char Char Char"/>
    <w:qFormat/>
    <w:uiPriority w:val="0"/>
    <w:rPr>
      <w:kern w:val="2"/>
      <w:sz w:val="28"/>
    </w:rPr>
  </w:style>
  <w:style w:type="character" w:customStyle="1" w:styleId="97">
    <w:name w:val="报告书正文 Char"/>
    <w:link w:val="98"/>
    <w:qFormat/>
    <w:uiPriority w:val="99"/>
    <w:rPr>
      <w:kern w:val="2"/>
      <w:sz w:val="24"/>
      <w:szCs w:val="24"/>
    </w:rPr>
  </w:style>
  <w:style w:type="paragraph" w:customStyle="1" w:styleId="98">
    <w:name w:val="报告书正文"/>
    <w:basedOn w:val="1"/>
    <w:next w:val="1"/>
    <w:link w:val="97"/>
    <w:qFormat/>
    <w:uiPriority w:val="0"/>
    <w:pPr>
      <w:spacing w:line="360" w:lineRule="auto"/>
      <w:ind w:firstLine="200" w:firstLineChars="200"/>
    </w:pPr>
    <w:rPr>
      <w:sz w:val="24"/>
    </w:rPr>
  </w:style>
  <w:style w:type="character" w:customStyle="1" w:styleId="99">
    <w:name w:val="style1"/>
    <w:qFormat/>
    <w:uiPriority w:val="0"/>
    <w:rPr>
      <w:rFonts w:hint="default" w:ascii="Times" w:hAnsi="Times"/>
      <w:color w:val="000000"/>
      <w:sz w:val="18"/>
      <w:szCs w:val="18"/>
    </w:rPr>
  </w:style>
  <w:style w:type="character" w:customStyle="1" w:styleId="100">
    <w:name w:val="正文首行缩进 Char"/>
    <w:basedOn w:val="101"/>
    <w:qFormat/>
    <w:uiPriority w:val="0"/>
    <w:rPr>
      <w:kern w:val="2"/>
      <w:sz w:val="28"/>
    </w:rPr>
  </w:style>
  <w:style w:type="character" w:customStyle="1" w:styleId="101">
    <w:name w:val="正文文本 Char"/>
    <w:qFormat/>
    <w:uiPriority w:val="0"/>
    <w:rPr>
      <w:kern w:val="2"/>
      <w:sz w:val="28"/>
    </w:rPr>
  </w:style>
  <w:style w:type="character" w:customStyle="1" w:styleId="102">
    <w:name w:val="纯文本 Char1"/>
    <w:qFormat/>
    <w:uiPriority w:val="0"/>
    <w:rPr>
      <w:rFonts w:ascii="宋体" w:hAnsi="Courier New" w:cs="Courier New"/>
      <w:kern w:val="2"/>
      <w:sz w:val="21"/>
      <w:szCs w:val="21"/>
    </w:rPr>
  </w:style>
  <w:style w:type="character" w:customStyle="1" w:styleId="103">
    <w:name w:val="~~表*标题 Char Char"/>
    <w:link w:val="104"/>
    <w:qFormat/>
    <w:uiPriority w:val="0"/>
    <w:rPr>
      <w:rFonts w:eastAsia="黑体"/>
      <w:kern w:val="2"/>
      <w:sz w:val="24"/>
      <w:szCs w:val="24"/>
    </w:rPr>
  </w:style>
  <w:style w:type="paragraph" w:customStyle="1" w:styleId="104">
    <w:name w:val="~~表*标题"/>
    <w:basedOn w:val="1"/>
    <w:link w:val="103"/>
    <w:qFormat/>
    <w:uiPriority w:val="0"/>
    <w:pPr>
      <w:spacing w:line="520" w:lineRule="exact"/>
      <w:ind w:firstLine="480" w:firstLineChars="200"/>
    </w:pPr>
    <w:rPr>
      <w:rFonts w:eastAsia="黑体"/>
      <w:sz w:val="24"/>
    </w:rPr>
  </w:style>
  <w:style w:type="character" w:customStyle="1" w:styleId="105">
    <w:name w:val="表内内容 Char"/>
    <w:link w:val="106"/>
    <w:qFormat/>
    <w:uiPriority w:val="0"/>
    <w:rPr>
      <w:kern w:val="2"/>
      <w:sz w:val="21"/>
      <w:szCs w:val="21"/>
    </w:rPr>
  </w:style>
  <w:style w:type="paragraph" w:customStyle="1" w:styleId="106">
    <w:name w:val="表内内容"/>
    <w:basedOn w:val="1"/>
    <w:link w:val="105"/>
    <w:qFormat/>
    <w:uiPriority w:val="0"/>
    <w:pPr>
      <w:jc w:val="center"/>
    </w:pPr>
    <w:rPr>
      <w:szCs w:val="21"/>
    </w:rPr>
  </w:style>
  <w:style w:type="character" w:customStyle="1" w:styleId="107">
    <w:name w:val="正文01 Char"/>
    <w:link w:val="108"/>
    <w:qFormat/>
    <w:uiPriority w:val="0"/>
    <w:rPr>
      <w:kern w:val="2"/>
      <w:sz w:val="24"/>
    </w:rPr>
  </w:style>
  <w:style w:type="paragraph" w:customStyle="1" w:styleId="108">
    <w:name w:val="正文01"/>
    <w:basedOn w:val="2"/>
    <w:link w:val="107"/>
    <w:qFormat/>
    <w:uiPriority w:val="0"/>
    <w:pPr>
      <w:spacing w:line="360" w:lineRule="auto"/>
      <w:ind w:firstLine="480"/>
    </w:pPr>
    <w:rPr>
      <w:sz w:val="24"/>
      <w:szCs w:val="20"/>
    </w:rPr>
  </w:style>
  <w:style w:type="character" w:customStyle="1" w:styleId="109">
    <w:name w:val="表格标题 Char"/>
    <w:link w:val="110"/>
    <w:qFormat/>
    <w:uiPriority w:val="0"/>
    <w:rPr>
      <w:b/>
      <w:kern w:val="2"/>
      <w:sz w:val="21"/>
      <w:szCs w:val="24"/>
    </w:rPr>
  </w:style>
  <w:style w:type="paragraph" w:customStyle="1" w:styleId="110">
    <w:name w:val="表格标题"/>
    <w:basedOn w:val="1"/>
    <w:next w:val="1"/>
    <w:link w:val="109"/>
    <w:qFormat/>
    <w:uiPriority w:val="0"/>
    <w:pPr>
      <w:tabs>
        <w:tab w:val="left" w:pos="227"/>
      </w:tabs>
      <w:spacing w:beforeLines="50"/>
      <w:jc w:val="center"/>
    </w:pPr>
    <w:rPr>
      <w:b/>
    </w:rPr>
  </w:style>
  <w:style w:type="character" w:customStyle="1" w:styleId="111">
    <w:name w:val="报告正文 Char"/>
    <w:qFormat/>
    <w:locked/>
    <w:uiPriority w:val="0"/>
    <w:rPr>
      <w:sz w:val="28"/>
      <w:szCs w:val="20"/>
    </w:rPr>
  </w:style>
  <w:style w:type="character" w:customStyle="1" w:styleId="112">
    <w:name w:val="15"/>
    <w:qFormat/>
    <w:uiPriority w:val="0"/>
    <w:rPr>
      <w:rFonts w:hint="default" w:ascii="Calibri" w:hAnsi="Calibri" w:cs="Calibri"/>
    </w:rPr>
  </w:style>
  <w:style w:type="character" w:customStyle="1" w:styleId="113">
    <w:name w:val="10"/>
    <w:qFormat/>
    <w:uiPriority w:val="0"/>
    <w:rPr>
      <w:rFonts w:hint="default" w:ascii="Calibri" w:hAnsi="Calibri" w:cs="Calibri"/>
    </w:rPr>
  </w:style>
  <w:style w:type="character" w:customStyle="1" w:styleId="114">
    <w:name w:val="正文文本缩进 2 Char1"/>
    <w:qFormat/>
    <w:uiPriority w:val="0"/>
    <w:rPr>
      <w:kern w:val="2"/>
      <w:sz w:val="21"/>
      <w:szCs w:val="24"/>
    </w:rPr>
  </w:style>
  <w:style w:type="character" w:customStyle="1" w:styleId="115">
    <w:name w:val="君邦正文 Char2"/>
    <w:link w:val="116"/>
    <w:qFormat/>
    <w:uiPriority w:val="0"/>
    <w:rPr>
      <w:bCs/>
      <w:snapToGrid w:val="0"/>
      <w:sz w:val="24"/>
      <w:lang w:val="en-US" w:eastAsia="zh-CN" w:bidi="ar-SA"/>
    </w:rPr>
  </w:style>
  <w:style w:type="paragraph" w:customStyle="1" w:styleId="116">
    <w:name w:val="君邦正文"/>
    <w:link w:val="115"/>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character" w:customStyle="1" w:styleId="117">
    <w:name w:val="报告书正文 Char Char Char Char Char"/>
    <w:qFormat/>
    <w:uiPriority w:val="0"/>
    <w:rPr>
      <w:rFonts w:ascii="Times New Roman" w:hAnsi="Times New Roman"/>
      <w:kern w:val="2"/>
      <w:sz w:val="24"/>
      <w:szCs w:val="24"/>
    </w:rPr>
  </w:style>
  <w:style w:type="character" w:customStyle="1" w:styleId="118">
    <w:name w:val="表内内容 Char Char"/>
    <w:qFormat/>
    <w:uiPriority w:val="0"/>
    <w:rPr>
      <w:rFonts w:eastAsia="宋体"/>
      <w:kern w:val="2"/>
      <w:sz w:val="21"/>
      <w:szCs w:val="21"/>
      <w:lang w:val="en-US" w:eastAsia="zh-CN" w:bidi="ar-SA"/>
    </w:rPr>
  </w:style>
  <w:style w:type="character" w:customStyle="1" w:styleId="119">
    <w:name w:val="中文报告书样式 Char"/>
    <w:link w:val="120"/>
    <w:qFormat/>
    <w:uiPriority w:val="0"/>
    <w:rPr>
      <w:kern w:val="24"/>
      <w:sz w:val="24"/>
    </w:rPr>
  </w:style>
  <w:style w:type="paragraph" w:customStyle="1" w:styleId="120">
    <w:name w:val="中文报告书样式"/>
    <w:basedOn w:val="1"/>
    <w:link w:val="119"/>
    <w:qFormat/>
    <w:uiPriority w:val="0"/>
    <w:pPr>
      <w:adjustRightInd w:val="0"/>
      <w:spacing w:line="480" w:lineRule="atLeast"/>
      <w:ind w:firstLine="482"/>
      <w:textAlignment w:val="baseline"/>
    </w:pPr>
    <w:rPr>
      <w:kern w:val="24"/>
      <w:sz w:val="24"/>
      <w:szCs w:val="20"/>
    </w:rPr>
  </w:style>
  <w:style w:type="character" w:customStyle="1" w:styleId="121">
    <w:name w:val="正文(首行缩进) Char"/>
    <w:link w:val="122"/>
    <w:qFormat/>
    <w:uiPriority w:val="0"/>
    <w:rPr>
      <w:snapToGrid w:val="0"/>
      <w:sz w:val="24"/>
      <w:szCs w:val="24"/>
    </w:rPr>
  </w:style>
  <w:style w:type="paragraph" w:customStyle="1" w:styleId="122">
    <w:name w:val="正文(首行缩进)"/>
    <w:basedOn w:val="1"/>
    <w:link w:val="121"/>
    <w:qFormat/>
    <w:uiPriority w:val="0"/>
    <w:pPr>
      <w:adjustRightInd w:val="0"/>
      <w:snapToGrid w:val="0"/>
      <w:spacing w:line="360" w:lineRule="auto"/>
      <w:ind w:firstLine="200" w:firstLineChars="200"/>
    </w:pPr>
    <w:rPr>
      <w:snapToGrid w:val="0"/>
      <w:kern w:val="0"/>
      <w:sz w:val="24"/>
    </w:rPr>
  </w:style>
  <w:style w:type="character" w:customStyle="1" w:styleId="123">
    <w:name w:val="报告书正文 Char Char"/>
    <w:qFormat/>
    <w:uiPriority w:val="0"/>
    <w:rPr>
      <w:kern w:val="2"/>
      <w:sz w:val="24"/>
      <w:szCs w:val="24"/>
    </w:rPr>
  </w:style>
  <w:style w:type="character" w:customStyle="1" w:styleId="124">
    <w:name w:val="报告正文 Char Char"/>
    <w:link w:val="125"/>
    <w:qFormat/>
    <w:uiPriority w:val="0"/>
    <w:rPr>
      <w:color w:val="000000"/>
      <w:kern w:val="2"/>
      <w:sz w:val="24"/>
      <w:szCs w:val="24"/>
    </w:rPr>
  </w:style>
  <w:style w:type="paragraph" w:customStyle="1" w:styleId="125">
    <w:name w:val="报告正文"/>
    <w:basedOn w:val="1"/>
    <w:link w:val="124"/>
    <w:qFormat/>
    <w:uiPriority w:val="0"/>
    <w:pPr>
      <w:spacing w:line="480" w:lineRule="exact"/>
    </w:pPr>
    <w:rPr>
      <w:color w:val="000000"/>
      <w:sz w:val="24"/>
    </w:rPr>
  </w:style>
  <w:style w:type="character" w:customStyle="1" w:styleId="126">
    <w:name w:val="apple-style-span"/>
    <w:qFormat/>
    <w:uiPriority w:val="0"/>
  </w:style>
  <w:style w:type="character" w:customStyle="1" w:styleId="127">
    <w:name w:val="提头 Char"/>
    <w:link w:val="128"/>
    <w:qFormat/>
    <w:uiPriority w:val="0"/>
    <w:rPr>
      <w:rFonts w:hAnsi="宋体"/>
      <w:b/>
      <w:kern w:val="2"/>
      <w:sz w:val="21"/>
      <w:szCs w:val="21"/>
    </w:rPr>
  </w:style>
  <w:style w:type="paragraph" w:customStyle="1" w:styleId="128">
    <w:name w:val="提头"/>
    <w:basedOn w:val="1"/>
    <w:next w:val="1"/>
    <w:link w:val="127"/>
    <w:qFormat/>
    <w:uiPriority w:val="0"/>
    <w:pPr>
      <w:tabs>
        <w:tab w:val="left" w:pos="227"/>
      </w:tabs>
      <w:spacing w:before="48" w:line="520" w:lineRule="exact"/>
      <w:jc w:val="center"/>
    </w:pPr>
    <w:rPr>
      <w:rFonts w:hAnsi="宋体"/>
      <w:b/>
      <w:szCs w:val="21"/>
    </w:rPr>
  </w:style>
  <w:style w:type="character" w:customStyle="1" w:styleId="129">
    <w:name w:val="~~表内容 Char Char"/>
    <w:link w:val="130"/>
    <w:qFormat/>
    <w:uiPriority w:val="0"/>
    <w:rPr>
      <w:kern w:val="2"/>
      <w:sz w:val="21"/>
      <w:szCs w:val="21"/>
    </w:rPr>
  </w:style>
  <w:style w:type="paragraph" w:customStyle="1" w:styleId="130">
    <w:name w:val="~~表内容"/>
    <w:basedOn w:val="1"/>
    <w:link w:val="129"/>
    <w:qFormat/>
    <w:uiPriority w:val="0"/>
    <w:pPr>
      <w:jc w:val="center"/>
    </w:pPr>
    <w:rPr>
      <w:szCs w:val="21"/>
    </w:rPr>
  </w:style>
  <w:style w:type="character" w:customStyle="1" w:styleId="131">
    <w:name w:val="1正文段落 Char"/>
    <w:link w:val="132"/>
    <w:qFormat/>
    <w:uiPriority w:val="0"/>
    <w:rPr>
      <w:snapToGrid w:val="0"/>
      <w:szCs w:val="24"/>
    </w:rPr>
  </w:style>
  <w:style w:type="paragraph" w:customStyle="1" w:styleId="132">
    <w:name w:val="1正文段落"/>
    <w:basedOn w:val="1"/>
    <w:link w:val="131"/>
    <w:qFormat/>
    <w:uiPriority w:val="0"/>
    <w:pPr>
      <w:spacing w:line="360" w:lineRule="auto"/>
      <w:ind w:firstLine="480" w:firstLineChars="200"/>
      <w:jc w:val="left"/>
    </w:pPr>
    <w:rPr>
      <w:snapToGrid w:val="0"/>
      <w:kern w:val="0"/>
      <w:sz w:val="20"/>
    </w:rPr>
  </w:style>
  <w:style w:type="character" w:customStyle="1" w:styleId="133">
    <w:name w:val="表头 Char1"/>
    <w:link w:val="134"/>
    <w:qFormat/>
    <w:uiPriority w:val="0"/>
    <w:rPr>
      <w:rFonts w:ascii="仿宋_GB2312" w:eastAsia="仿宋_GB2312"/>
      <w:shadow/>
      <w:kern w:val="2"/>
      <w:sz w:val="28"/>
      <w:szCs w:val="28"/>
    </w:rPr>
  </w:style>
  <w:style w:type="paragraph" w:customStyle="1" w:styleId="134">
    <w:name w:val="表头"/>
    <w:basedOn w:val="1"/>
    <w:link w:val="133"/>
    <w:qFormat/>
    <w:uiPriority w:val="0"/>
    <w:pPr>
      <w:spacing w:beforeLines="50" w:afterLines="50"/>
    </w:pPr>
    <w:rPr>
      <w:rFonts w:ascii="仿宋_GB2312" w:eastAsia="仿宋_GB2312"/>
      <w:shadow/>
      <w:sz w:val="28"/>
      <w:szCs w:val="28"/>
      <w:shd w:val="clear" w:color="auto" w:fill="FFFFFF"/>
    </w:rPr>
  </w:style>
  <w:style w:type="character" w:customStyle="1" w:styleId="135">
    <w:name w:val="正文（首行缩进两字） Char1"/>
    <w:qFormat/>
    <w:uiPriority w:val="0"/>
    <w:rPr>
      <w:sz w:val="28"/>
      <w:szCs w:val="20"/>
    </w:rPr>
  </w:style>
  <w:style w:type="character" w:customStyle="1" w:styleId="136">
    <w:name w:val="无间隔 Char"/>
    <w:link w:val="137"/>
    <w:qFormat/>
    <w:uiPriority w:val="1"/>
    <w:rPr>
      <w:rFonts w:ascii="Calibri" w:hAnsi="Calibri"/>
      <w:sz w:val="22"/>
      <w:szCs w:val="22"/>
      <w:lang w:val="en-US" w:eastAsia="zh-CN" w:bidi="ar-SA"/>
    </w:rPr>
  </w:style>
  <w:style w:type="paragraph" w:styleId="137">
    <w:name w:val="No Spacing"/>
    <w:link w:val="136"/>
    <w:qFormat/>
    <w:uiPriority w:val="1"/>
    <w:rPr>
      <w:rFonts w:ascii="Calibri" w:hAnsi="Calibri" w:eastAsia="宋体" w:cs="Times New Roman"/>
      <w:sz w:val="22"/>
      <w:szCs w:val="22"/>
      <w:lang w:val="en-US" w:eastAsia="zh-CN" w:bidi="ar-SA"/>
    </w:rPr>
  </w:style>
  <w:style w:type="character" w:customStyle="1" w:styleId="138">
    <w:name w:val="页码1"/>
    <w:basedOn w:val="49"/>
    <w:qFormat/>
    <w:uiPriority w:val="0"/>
  </w:style>
  <w:style w:type="character" w:customStyle="1" w:styleId="139">
    <w:name w:val="表格 Char"/>
    <w:link w:val="140"/>
    <w:qFormat/>
    <w:uiPriority w:val="0"/>
    <w:rPr>
      <w:sz w:val="21"/>
    </w:rPr>
  </w:style>
  <w:style w:type="paragraph" w:customStyle="1" w:styleId="140">
    <w:name w:val="表格"/>
    <w:basedOn w:val="1"/>
    <w:link w:val="139"/>
    <w:qFormat/>
    <w:uiPriority w:val="0"/>
    <w:pPr>
      <w:keepNext/>
      <w:adjustRightInd w:val="0"/>
      <w:spacing w:line="312" w:lineRule="atLeast"/>
      <w:jc w:val="center"/>
      <w:textAlignment w:val="baseline"/>
    </w:pPr>
    <w:rPr>
      <w:kern w:val="0"/>
      <w:szCs w:val="20"/>
    </w:rPr>
  </w:style>
  <w:style w:type="character" w:customStyle="1" w:styleId="141">
    <w:name w:val="页码11"/>
    <w:qFormat/>
    <w:uiPriority w:val="0"/>
  </w:style>
  <w:style w:type="character" w:customStyle="1" w:styleId="142">
    <w:name w:val="HTML 预设格式 Char1"/>
    <w:qFormat/>
    <w:uiPriority w:val="0"/>
    <w:rPr>
      <w:rFonts w:ascii="Courier New" w:hAnsi="Courier New" w:cs="Courier New"/>
      <w:kern w:val="2"/>
    </w:rPr>
  </w:style>
  <w:style w:type="character" w:customStyle="1" w:styleId="143">
    <w:name w:val="表格 Char Char"/>
    <w:qFormat/>
    <w:uiPriority w:val="0"/>
    <w:rPr>
      <w:sz w:val="24"/>
      <w:szCs w:val="24"/>
    </w:rPr>
  </w:style>
  <w:style w:type="character" w:customStyle="1" w:styleId="144">
    <w:name w:val="表格文字 Char"/>
    <w:link w:val="145"/>
    <w:qFormat/>
    <w:uiPriority w:val="0"/>
    <w:rPr>
      <w:rFonts w:eastAsia="楷体_GB2312"/>
      <w:bCs/>
      <w:sz w:val="24"/>
      <w:szCs w:val="22"/>
      <w:lang w:val="en-US" w:eastAsia="zh-CN" w:bidi="ar-SA"/>
    </w:rPr>
  </w:style>
  <w:style w:type="paragraph" w:customStyle="1" w:styleId="145">
    <w:name w:val="表格文字"/>
    <w:next w:val="16"/>
    <w:link w:val="144"/>
    <w:qFormat/>
    <w:uiPriority w:val="0"/>
    <w:pPr>
      <w:jc w:val="center"/>
    </w:pPr>
    <w:rPr>
      <w:rFonts w:ascii="Times New Roman" w:hAnsi="Times New Roman" w:eastAsia="楷体_GB2312" w:cs="Times New Roman"/>
      <w:bCs/>
      <w:sz w:val="24"/>
      <w:szCs w:val="22"/>
      <w:lang w:val="en-US" w:eastAsia="zh-CN" w:bidi="ar-SA"/>
    </w:rPr>
  </w:style>
  <w:style w:type="character" w:customStyle="1" w:styleId="146">
    <w:name w:val="1111正文 Char"/>
    <w:link w:val="147"/>
    <w:qFormat/>
    <w:uiPriority w:val="0"/>
    <w:rPr>
      <w:kern w:val="2"/>
      <w:sz w:val="24"/>
      <w:szCs w:val="24"/>
    </w:rPr>
  </w:style>
  <w:style w:type="paragraph" w:customStyle="1" w:styleId="147">
    <w:name w:val="1111正文"/>
    <w:basedOn w:val="1"/>
    <w:link w:val="146"/>
    <w:qFormat/>
    <w:uiPriority w:val="0"/>
    <w:pPr>
      <w:spacing w:line="480" w:lineRule="exact"/>
      <w:ind w:firstLine="480" w:firstLineChars="200"/>
    </w:pPr>
    <w:rPr>
      <w:sz w:val="24"/>
    </w:rPr>
  </w:style>
  <w:style w:type="character" w:customStyle="1" w:styleId="148">
    <w:name w:val="文档结构图 Char1"/>
    <w:qFormat/>
    <w:uiPriority w:val="99"/>
    <w:rPr>
      <w:rFonts w:ascii="宋体"/>
      <w:kern w:val="2"/>
      <w:sz w:val="18"/>
      <w:szCs w:val="18"/>
    </w:rPr>
  </w:style>
  <w:style w:type="character" w:customStyle="1" w:styleId="149">
    <w:name w:val="正文文本 3 Char1"/>
    <w:qFormat/>
    <w:uiPriority w:val="0"/>
    <w:rPr>
      <w:kern w:val="2"/>
      <w:sz w:val="16"/>
      <w:szCs w:val="16"/>
    </w:rPr>
  </w:style>
  <w:style w:type="character" w:customStyle="1" w:styleId="150">
    <w:name w:val="正文四号 Char"/>
    <w:link w:val="151"/>
    <w:qFormat/>
    <w:uiPriority w:val="0"/>
    <w:rPr>
      <w:sz w:val="28"/>
    </w:rPr>
  </w:style>
  <w:style w:type="paragraph" w:customStyle="1" w:styleId="151">
    <w:name w:val="正文四号"/>
    <w:basedOn w:val="1"/>
    <w:link w:val="150"/>
    <w:qFormat/>
    <w:uiPriority w:val="0"/>
    <w:pPr>
      <w:spacing w:line="360" w:lineRule="auto"/>
      <w:ind w:firstLine="200" w:firstLineChars="200"/>
    </w:pPr>
    <w:rPr>
      <w:kern w:val="0"/>
      <w:sz w:val="28"/>
      <w:szCs w:val="20"/>
    </w:rPr>
  </w:style>
  <w:style w:type="character" w:customStyle="1" w:styleId="152">
    <w:name w:val="正文缩进 Char1"/>
    <w:qFormat/>
    <w:uiPriority w:val="0"/>
    <w:rPr>
      <w:kern w:val="2"/>
      <w:sz w:val="28"/>
    </w:rPr>
  </w:style>
  <w:style w:type="character" w:customStyle="1" w:styleId="153">
    <w:name w:val="正文正文 正文 正文 正文 正文  1.5 倍行距 首行缩进:  2 字符 + 首行缩进:  2 字符 Char"/>
    <w:link w:val="154"/>
    <w:qFormat/>
    <w:uiPriority w:val="0"/>
    <w:rPr>
      <w:kern w:val="2"/>
      <w:sz w:val="24"/>
      <w:szCs w:val="24"/>
    </w:rPr>
  </w:style>
  <w:style w:type="paragraph" w:customStyle="1" w:styleId="154">
    <w:name w:val="正文正文 正文 正文 正文 正文  1.5 倍行距 首行缩进:  2 字符 + 首行缩进:  2 字符"/>
    <w:basedOn w:val="1"/>
    <w:link w:val="153"/>
    <w:qFormat/>
    <w:uiPriority w:val="0"/>
    <w:pPr>
      <w:spacing w:line="500" w:lineRule="exact"/>
      <w:ind w:firstLine="480" w:firstLineChars="200"/>
    </w:pPr>
    <w:rPr>
      <w:sz w:val="24"/>
    </w:rPr>
  </w:style>
  <w:style w:type="character" w:customStyle="1" w:styleId="155">
    <w:name w:val="样式标题5 Char"/>
    <w:link w:val="156"/>
    <w:qFormat/>
    <w:uiPriority w:val="0"/>
    <w:rPr>
      <w:kern w:val="2"/>
      <w:sz w:val="24"/>
      <w:szCs w:val="24"/>
    </w:rPr>
  </w:style>
  <w:style w:type="paragraph" w:customStyle="1" w:styleId="156">
    <w:name w:val="样式标题5"/>
    <w:basedOn w:val="1"/>
    <w:next w:val="98"/>
    <w:link w:val="155"/>
    <w:qFormat/>
    <w:uiPriority w:val="99"/>
    <w:pPr>
      <w:spacing w:line="520" w:lineRule="exact"/>
      <w:ind w:firstLine="400"/>
    </w:pPr>
    <w:rPr>
      <w:sz w:val="24"/>
    </w:rPr>
  </w:style>
  <w:style w:type="paragraph" w:customStyle="1" w:styleId="157">
    <w:name w:val="样式2"/>
    <w:basedOn w:val="28"/>
    <w:qFormat/>
    <w:uiPriority w:val="99"/>
    <w:pPr>
      <w:pBdr>
        <w:bottom w:val="thinThickSmallGap" w:color="auto" w:sz="12" w:space="1"/>
      </w:pBdr>
      <w:jc w:val="left"/>
    </w:pPr>
    <w:rPr>
      <w:rFonts w:ascii="宋体" w:hAnsi="宋体"/>
    </w:rPr>
  </w:style>
  <w:style w:type="paragraph" w:customStyle="1" w:styleId="158">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159">
    <w:name w:val="样式1 Char"/>
    <w:basedOn w:val="17"/>
    <w:qFormat/>
    <w:uiPriority w:val="0"/>
    <w:pPr>
      <w:spacing w:after="0" w:line="360" w:lineRule="auto"/>
      <w:ind w:left="0" w:leftChars="0" w:firstLine="600"/>
      <w:textAlignment w:val="bottom"/>
    </w:pPr>
    <w:rPr>
      <w:rFonts w:hint="eastAsia" w:hAnsi="宋体"/>
      <w:color w:val="000000"/>
      <w:kern w:val="0"/>
      <w:sz w:val="30"/>
    </w:rPr>
  </w:style>
  <w:style w:type="paragraph" w:customStyle="1" w:styleId="160">
    <w:name w:val="Char Char Char Char"/>
    <w:basedOn w:val="1"/>
    <w:qFormat/>
    <w:uiPriority w:val="99"/>
    <w:pPr>
      <w:snapToGrid w:val="0"/>
      <w:spacing w:line="360" w:lineRule="auto"/>
      <w:ind w:firstLine="200" w:firstLineChars="200"/>
    </w:pPr>
    <w:rPr>
      <w:rFonts w:eastAsia="仿宋_GB2312"/>
      <w:sz w:val="24"/>
    </w:rPr>
  </w:style>
  <w:style w:type="paragraph" w:customStyle="1" w:styleId="161">
    <w:name w:val="文字"/>
    <w:basedOn w:val="1"/>
    <w:qFormat/>
    <w:uiPriority w:val="99"/>
    <w:pPr>
      <w:widowControl/>
      <w:spacing w:afterLines="50" w:line="360" w:lineRule="auto"/>
      <w:ind w:firstLine="420"/>
    </w:pPr>
    <w:rPr>
      <w:kern w:val="0"/>
      <w:sz w:val="24"/>
    </w:rPr>
  </w:style>
  <w:style w:type="paragraph" w:customStyle="1" w:styleId="162">
    <w:name w:val="样式1"/>
    <w:basedOn w:val="28"/>
    <w:qFormat/>
    <w:uiPriority w:val="99"/>
    <w:pPr>
      <w:pBdr>
        <w:top w:val="none" w:color="auto" w:sz="0" w:space="0"/>
        <w:left w:val="none" w:color="auto" w:sz="0" w:space="0"/>
        <w:bottom w:val="single" w:color="auto" w:sz="6" w:space="1"/>
        <w:right w:val="none" w:color="auto" w:sz="0" w:space="0"/>
      </w:pBdr>
      <w:jc w:val="center"/>
    </w:pPr>
    <w:rPr>
      <w:szCs w:val="18"/>
    </w:rPr>
  </w:style>
  <w:style w:type="paragraph" w:customStyle="1" w:styleId="163">
    <w:name w:val="Char1 Char Char Char"/>
    <w:basedOn w:val="1"/>
    <w:qFormat/>
    <w:uiPriority w:val="99"/>
    <w:pPr>
      <w:spacing w:beforeLines="100" w:afterLines="50" w:line="600" w:lineRule="exact"/>
      <w:ind w:firstLine="200" w:firstLineChars="200"/>
    </w:pPr>
  </w:style>
  <w:style w:type="paragraph" w:customStyle="1" w:styleId="164">
    <w:name w:val="默认段落字体 Para Char Char Char Char"/>
    <w:basedOn w:val="1"/>
    <w:qFormat/>
    <w:uiPriority w:val="99"/>
    <w:pPr>
      <w:spacing w:beforeLines="100" w:afterLines="50" w:line="600" w:lineRule="exact"/>
      <w:ind w:firstLine="200" w:firstLineChars="200"/>
    </w:pPr>
    <w:rPr>
      <w:rFonts w:eastAsia="黑体"/>
      <w:sz w:val="28"/>
    </w:rPr>
  </w:style>
  <w:style w:type="paragraph" w:customStyle="1" w:styleId="165">
    <w:name w:val="五级条标题"/>
    <w:basedOn w:val="1"/>
    <w:next w:val="1"/>
    <w:qFormat/>
    <w:uiPriority w:val="99"/>
    <w:pPr>
      <w:widowControl/>
      <w:tabs>
        <w:tab w:val="left" w:pos="1296"/>
      </w:tabs>
      <w:ind w:left="3220" w:hanging="420"/>
      <w:outlineLvl w:val="6"/>
    </w:pPr>
    <w:rPr>
      <w:rFonts w:ascii="黑体" w:eastAsia="黑体"/>
      <w:kern w:val="0"/>
      <w:szCs w:val="20"/>
    </w:rPr>
  </w:style>
  <w:style w:type="paragraph" w:customStyle="1" w:styleId="166">
    <w:name w:val="表格字体"/>
    <w:basedOn w:val="125"/>
    <w:qFormat/>
    <w:uiPriority w:val="0"/>
    <w:pPr>
      <w:adjustRightInd w:val="0"/>
      <w:spacing w:line="300" w:lineRule="exact"/>
      <w:jc w:val="center"/>
    </w:pPr>
    <w:rPr>
      <w:sz w:val="18"/>
    </w:rPr>
  </w:style>
  <w:style w:type="paragraph" w:styleId="167">
    <w:name w:val="List Paragraph"/>
    <w:basedOn w:val="1"/>
    <w:qFormat/>
    <w:uiPriority w:val="1"/>
    <w:pPr>
      <w:ind w:firstLine="420" w:firstLineChars="200"/>
    </w:pPr>
    <w:rPr>
      <w:rFonts w:ascii="Calibri" w:hAnsi="Calibri" w:eastAsia="楷体_GB2312"/>
      <w:spacing w:val="-6"/>
      <w:kern w:val="0"/>
      <w:sz w:val="28"/>
      <w:szCs w:val="28"/>
    </w:rPr>
  </w:style>
  <w:style w:type="paragraph" w:customStyle="1" w:styleId="168">
    <w:name w:val="Char1"/>
    <w:basedOn w:val="1"/>
    <w:qFormat/>
    <w:uiPriority w:val="0"/>
    <w:pPr>
      <w:adjustRightInd w:val="0"/>
      <w:spacing w:line="360" w:lineRule="atLeast"/>
    </w:pPr>
    <w:rPr>
      <w:rFonts w:eastAsia="黑体"/>
      <w:b/>
      <w:kern w:val="28"/>
      <w:sz w:val="28"/>
      <w:szCs w:val="20"/>
    </w:rPr>
  </w:style>
  <w:style w:type="paragraph" w:customStyle="1" w:styleId="169">
    <w:name w:val="Char1 Char Char Char1"/>
    <w:basedOn w:val="1"/>
    <w:qFormat/>
    <w:uiPriority w:val="0"/>
    <w:pPr>
      <w:spacing w:beforeLines="100" w:afterLines="50" w:line="600" w:lineRule="exact"/>
      <w:ind w:firstLine="200" w:firstLineChars="200"/>
    </w:pPr>
  </w:style>
  <w:style w:type="paragraph" w:customStyle="1" w:styleId="170">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171">
    <w:name w:val="p0"/>
    <w:basedOn w:val="1"/>
    <w:qFormat/>
    <w:uiPriority w:val="99"/>
    <w:pPr>
      <w:widowControl/>
      <w:snapToGrid w:val="0"/>
      <w:spacing w:line="312" w:lineRule="atLeast"/>
    </w:pPr>
    <w:rPr>
      <w:kern w:val="0"/>
      <w:sz w:val="24"/>
      <w:szCs w:val="21"/>
    </w:rPr>
  </w:style>
  <w:style w:type="paragraph" w:customStyle="1" w:styleId="172">
    <w:name w:val="图号"/>
    <w:basedOn w:val="173"/>
    <w:qFormat/>
    <w:uiPriority w:val="99"/>
    <w:pPr>
      <w:ind w:firstLine="0" w:firstLineChars="0"/>
      <w:jc w:val="center"/>
    </w:pPr>
    <w:rPr>
      <w:rFonts w:ascii="Calibri" w:hAnsi="Calibri"/>
    </w:rPr>
  </w:style>
  <w:style w:type="paragraph" w:customStyle="1" w:styleId="173">
    <w:name w:val="缩进"/>
    <w:basedOn w:val="1"/>
    <w:qFormat/>
    <w:uiPriority w:val="99"/>
    <w:pPr>
      <w:autoSpaceDE w:val="0"/>
      <w:autoSpaceDN w:val="0"/>
      <w:adjustRightInd w:val="0"/>
      <w:spacing w:line="400" w:lineRule="atLeast"/>
      <w:ind w:firstLine="200" w:firstLineChars="200"/>
      <w:textAlignment w:val="baseline"/>
    </w:pPr>
    <w:rPr>
      <w:kern w:val="0"/>
      <w:sz w:val="24"/>
      <w:szCs w:val="20"/>
    </w:rPr>
  </w:style>
  <w:style w:type="paragraph" w:customStyle="1" w:styleId="174">
    <w:name w:val="_Style 3"/>
    <w:basedOn w:val="1"/>
    <w:qFormat/>
    <w:uiPriority w:val="99"/>
    <w:pPr>
      <w:ind w:firstLine="420" w:firstLineChars="200"/>
    </w:pPr>
    <w:rPr>
      <w:rFonts w:ascii="Calibri" w:hAnsi="Calibri"/>
      <w:szCs w:val="22"/>
    </w:rPr>
  </w:style>
  <w:style w:type="paragraph" w:customStyle="1" w:styleId="175">
    <w:name w:val="样式3"/>
    <w:basedOn w:val="4"/>
    <w:qFormat/>
    <w:uiPriority w:val="99"/>
    <w:pPr>
      <w:pBdr>
        <w:top w:val="none" w:color="auto" w:sz="0" w:space="1"/>
        <w:left w:val="none" w:color="auto" w:sz="0" w:space="4"/>
        <w:bottom w:val="thickThinMediumGap" w:color="auto" w:sz="12" w:space="1"/>
        <w:right w:val="none" w:color="auto" w:sz="0" w:space="4"/>
      </w:pBdr>
      <w:spacing w:line="413" w:lineRule="auto"/>
    </w:pPr>
    <w:rPr>
      <w:rFonts w:ascii="Arial" w:eastAsia="宋体"/>
      <w:bCs w:val="0"/>
      <w:szCs w:val="20"/>
    </w:rPr>
  </w:style>
  <w:style w:type="paragraph" w:customStyle="1" w:styleId="176">
    <w:name w:val="样式 首行缩进"/>
    <w:basedOn w:val="1"/>
    <w:qFormat/>
    <w:uiPriority w:val="99"/>
    <w:pPr>
      <w:spacing w:line="480" w:lineRule="exact"/>
      <w:ind w:firstLine="200" w:firstLineChars="200"/>
    </w:pPr>
    <w:rPr>
      <w:rFonts w:ascii="Calibri" w:hAnsi="Calibri" w:cs="宋体"/>
      <w:bCs/>
      <w:sz w:val="24"/>
      <w:szCs w:val="20"/>
    </w:rPr>
  </w:style>
  <w:style w:type="paragraph" w:customStyle="1" w:styleId="177">
    <w:name w:val="列出段落1"/>
    <w:basedOn w:val="1"/>
    <w:qFormat/>
    <w:uiPriority w:val="0"/>
    <w:pPr>
      <w:ind w:firstLine="420" w:firstLineChars="200"/>
    </w:pPr>
    <w:rPr>
      <w:rFonts w:hint="eastAsia"/>
    </w:rPr>
  </w:style>
  <w:style w:type="paragraph" w:customStyle="1" w:styleId="178">
    <w:name w:val="Char3"/>
    <w:basedOn w:val="1"/>
    <w:qFormat/>
    <w:uiPriority w:val="99"/>
    <w:rPr>
      <w:szCs w:val="20"/>
    </w:rPr>
  </w:style>
  <w:style w:type="paragraph" w:customStyle="1" w:styleId="179">
    <w:name w:val="样式 标题 3 + 首行缩进:  1.68 字符"/>
    <w:basedOn w:val="5"/>
    <w:qFormat/>
    <w:uiPriority w:val="99"/>
    <w:pPr>
      <w:spacing w:beforeLines="50" w:afterLines="50" w:line="520" w:lineRule="exact"/>
    </w:pPr>
    <w:rPr>
      <w:rFonts w:eastAsia="楷体_GB2312" w:cs="宋体"/>
      <w:b w:val="0"/>
      <w:bCs w:val="0"/>
      <w:sz w:val="28"/>
      <w:szCs w:val="28"/>
    </w:rPr>
  </w:style>
  <w:style w:type="paragraph" w:customStyle="1" w:styleId="180">
    <w:name w:val="标准"/>
    <w:basedOn w:val="1"/>
    <w:qFormat/>
    <w:uiPriority w:val="99"/>
    <w:pPr>
      <w:adjustRightInd w:val="0"/>
      <w:spacing w:line="360" w:lineRule="auto"/>
      <w:textAlignment w:val="baseline"/>
    </w:pPr>
    <w:rPr>
      <w:rFonts w:ascii="楷体_GB2312" w:eastAsia="楷体_GB2312"/>
      <w:kern w:val="0"/>
      <w:sz w:val="28"/>
      <w:szCs w:val="20"/>
    </w:rPr>
  </w:style>
  <w:style w:type="paragraph" w:customStyle="1" w:styleId="181">
    <w:name w:val="样式 小四 行距: 固定值 24 磅"/>
    <w:basedOn w:val="1"/>
    <w:qFormat/>
    <w:uiPriority w:val="99"/>
    <w:pPr>
      <w:adjustRightInd w:val="0"/>
      <w:snapToGrid w:val="0"/>
      <w:spacing w:line="360" w:lineRule="auto"/>
      <w:ind w:firstLine="200" w:firstLineChars="200"/>
    </w:pPr>
    <w:rPr>
      <w:rFonts w:cs="宋体"/>
      <w:sz w:val="24"/>
      <w:szCs w:val="20"/>
    </w:rPr>
  </w:style>
  <w:style w:type="paragraph" w:customStyle="1" w:styleId="182">
    <w:name w:val="小节标题"/>
    <w:basedOn w:val="1"/>
    <w:next w:val="1"/>
    <w:qFormat/>
    <w:uiPriority w:val="99"/>
    <w:pPr>
      <w:widowControl/>
      <w:spacing w:before="175" w:after="102" w:line="351" w:lineRule="atLeast"/>
      <w:textAlignment w:val="baseline"/>
    </w:pPr>
    <w:rPr>
      <w:rFonts w:eastAsia="黑体"/>
      <w:color w:val="000000"/>
      <w:kern w:val="0"/>
      <w:szCs w:val="20"/>
      <w:u w:color="000000"/>
    </w:rPr>
  </w:style>
  <w:style w:type="paragraph" w:customStyle="1" w:styleId="183">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184">
    <w:name w:val="样式 意见正文 + 首行缩进:  2 字符2"/>
    <w:basedOn w:val="1"/>
    <w:qFormat/>
    <w:uiPriority w:val="99"/>
    <w:pPr>
      <w:spacing w:line="360" w:lineRule="auto"/>
      <w:ind w:firstLine="200" w:firstLineChars="200"/>
    </w:pPr>
    <w:rPr>
      <w:rFonts w:cs="宋体"/>
      <w:sz w:val="24"/>
      <w:szCs w:val="20"/>
    </w:rPr>
  </w:style>
  <w:style w:type="paragraph" w:customStyle="1" w:styleId="185">
    <w:name w:val="格式正文"/>
    <w:basedOn w:val="1"/>
    <w:qFormat/>
    <w:uiPriority w:val="99"/>
    <w:pPr>
      <w:spacing w:line="520" w:lineRule="exact"/>
      <w:ind w:firstLine="200" w:firstLineChars="200"/>
    </w:pPr>
    <w:rPr>
      <w:sz w:val="24"/>
      <w:szCs w:val="20"/>
    </w:rPr>
  </w:style>
  <w:style w:type="paragraph" w:customStyle="1" w:styleId="186">
    <w:name w:val="表文字"/>
    <w:basedOn w:val="1"/>
    <w:qFormat/>
    <w:uiPriority w:val="99"/>
    <w:pPr>
      <w:topLinePunct/>
      <w:adjustRightInd w:val="0"/>
      <w:spacing w:line="240" w:lineRule="exact"/>
      <w:jc w:val="center"/>
      <w:textAlignment w:val="baseline"/>
    </w:pPr>
    <w:rPr>
      <w:szCs w:val="21"/>
    </w:rPr>
  </w:style>
  <w:style w:type="paragraph" w:customStyle="1" w:styleId="187">
    <w:name w:val="Char111"/>
    <w:basedOn w:val="1"/>
    <w:qFormat/>
    <w:uiPriority w:val="0"/>
    <w:pPr>
      <w:spacing w:beforeLines="100" w:afterLines="50" w:line="600" w:lineRule="exact"/>
      <w:ind w:firstLine="200" w:firstLineChars="200"/>
    </w:pPr>
    <w:rPr>
      <w:szCs w:val="20"/>
    </w:rPr>
  </w:style>
  <w:style w:type="paragraph" w:customStyle="1" w:styleId="188">
    <w:name w:val="Char Char6"/>
    <w:basedOn w:val="1"/>
    <w:qFormat/>
    <w:uiPriority w:val="99"/>
    <w:pPr>
      <w:spacing w:beforeLines="100" w:afterLines="50" w:line="600" w:lineRule="exact"/>
      <w:ind w:firstLine="200" w:firstLineChars="200"/>
    </w:pPr>
  </w:style>
  <w:style w:type="paragraph" w:customStyle="1" w:styleId="189">
    <w:name w:val="Char Char6 Char Char"/>
    <w:basedOn w:val="1"/>
    <w:qFormat/>
    <w:uiPriority w:val="99"/>
    <w:pPr>
      <w:spacing w:beforeLines="100" w:afterLines="50" w:line="600" w:lineRule="exact"/>
      <w:ind w:firstLine="200" w:firstLineChars="200"/>
    </w:pPr>
  </w:style>
  <w:style w:type="paragraph" w:customStyle="1" w:styleId="190">
    <w:name w:val="样式 居中"/>
    <w:basedOn w:val="1"/>
    <w:qFormat/>
    <w:uiPriority w:val="99"/>
    <w:pPr>
      <w:jc w:val="center"/>
    </w:pPr>
    <w:rPr>
      <w:rFonts w:cs="宋体"/>
      <w:szCs w:val="20"/>
    </w:rPr>
  </w:style>
  <w:style w:type="paragraph" w:customStyle="1" w:styleId="191">
    <w:name w:val="Char Char Char Char1"/>
    <w:basedOn w:val="1"/>
    <w:qFormat/>
    <w:uiPriority w:val="0"/>
    <w:pPr>
      <w:snapToGrid w:val="0"/>
      <w:spacing w:line="360" w:lineRule="auto"/>
      <w:ind w:firstLine="200" w:firstLineChars="200"/>
    </w:pPr>
    <w:rPr>
      <w:rFonts w:eastAsia="仿宋_GB2312"/>
      <w:sz w:val="24"/>
    </w:rPr>
  </w:style>
  <w:style w:type="paragraph" w:customStyle="1" w:styleId="192">
    <w:name w:val="标题4"/>
    <w:basedOn w:val="1"/>
    <w:next w:val="1"/>
    <w:qFormat/>
    <w:uiPriority w:val="99"/>
    <w:pPr>
      <w:spacing w:line="520" w:lineRule="exact"/>
    </w:pPr>
    <w:rPr>
      <w:color w:val="000000"/>
      <w:sz w:val="28"/>
    </w:rPr>
  </w:style>
  <w:style w:type="paragraph" w:customStyle="1" w:styleId="193">
    <w:name w:val="Char"/>
    <w:basedOn w:val="1"/>
    <w:qFormat/>
    <w:uiPriority w:val="99"/>
    <w:pPr>
      <w:spacing w:beforeLines="100" w:afterLines="50" w:line="600" w:lineRule="exact"/>
      <w:ind w:firstLine="200" w:firstLineChars="200"/>
    </w:pPr>
  </w:style>
  <w:style w:type="paragraph" w:customStyle="1" w:styleId="194">
    <w:name w:val="样式 (符号) 宋体 二号 加粗 居中 段前: 15.6 磅 段后: 5 磅 行距: 固定值 40 磅"/>
    <w:basedOn w:val="40"/>
    <w:qFormat/>
    <w:uiPriority w:val="99"/>
    <w:pPr>
      <w:spacing w:before="312" w:after="100" w:line="800" w:lineRule="exact"/>
    </w:pPr>
    <w:rPr>
      <w:rFonts w:ascii="Cambria" w:hAnsi="宋体" w:cs="宋体"/>
      <w:b w:val="0"/>
      <w:bCs w:val="0"/>
      <w:spacing w:val="0"/>
      <w:kern w:val="2"/>
      <w:sz w:val="44"/>
    </w:rPr>
  </w:style>
  <w:style w:type="paragraph" w:customStyle="1" w:styleId="195">
    <w:name w:val="dandan6-13正文 Char Char Char"/>
    <w:basedOn w:val="1"/>
    <w:next w:val="1"/>
    <w:qFormat/>
    <w:uiPriority w:val="99"/>
    <w:pPr>
      <w:keepNext/>
      <w:keepLines/>
      <w:widowControl/>
      <w:adjustRightInd w:val="0"/>
      <w:spacing w:before="40" w:after="40" w:line="360" w:lineRule="auto"/>
      <w:ind w:firstLine="200" w:firstLineChars="200"/>
      <w:textAlignment w:val="baseline"/>
    </w:pPr>
    <w:rPr>
      <w:rFonts w:cs="宋体"/>
      <w:kern w:val="0"/>
      <w:sz w:val="24"/>
      <w:szCs w:val="28"/>
    </w:rPr>
  </w:style>
  <w:style w:type="paragraph" w:customStyle="1" w:styleId="196">
    <w:name w:val="TOC 标题1"/>
    <w:basedOn w:val="3"/>
    <w:next w:val="1"/>
    <w:qFormat/>
    <w:uiPriority w:val="39"/>
    <w:pPr>
      <w:widowControl/>
      <w:spacing w:before="0" w:after="0" w:line="276" w:lineRule="auto"/>
      <w:jc w:val="left"/>
      <w:outlineLvl w:val="9"/>
    </w:pPr>
    <w:rPr>
      <w:rFonts w:ascii="Cambria" w:hAnsi="Cambria"/>
      <w:color w:val="365F91"/>
      <w:kern w:val="0"/>
      <w:sz w:val="28"/>
      <w:szCs w:val="28"/>
    </w:rPr>
  </w:style>
  <w:style w:type="paragraph" w:customStyle="1" w:styleId="197">
    <w:name w:val="表格1"/>
    <w:basedOn w:val="19"/>
    <w:qFormat/>
    <w:uiPriority w:val="99"/>
    <w:pPr>
      <w:adjustRightInd w:val="0"/>
      <w:snapToGrid w:val="0"/>
      <w:spacing w:after="0" w:line="360" w:lineRule="exact"/>
      <w:ind w:left="0" w:leftChars="0" w:right="0" w:rightChars="0"/>
      <w:jc w:val="center"/>
    </w:pPr>
    <w:rPr>
      <w:rFonts w:eastAsia="黑体"/>
      <w:kern w:val="0"/>
      <w:sz w:val="24"/>
      <w:szCs w:val="28"/>
    </w:rPr>
  </w:style>
  <w:style w:type="paragraph" w:customStyle="1" w:styleId="198">
    <w:name w:val="pictext"/>
    <w:basedOn w:val="1"/>
    <w:qFormat/>
    <w:uiPriority w:val="99"/>
    <w:pPr>
      <w:widowControl/>
      <w:spacing w:before="100" w:beforeAutospacing="1" w:after="100" w:afterAutospacing="1"/>
      <w:jc w:val="left"/>
    </w:pPr>
    <w:rPr>
      <w:rFonts w:ascii="宋体" w:hAnsi="宋体" w:cs="宋体"/>
      <w:kern w:val="0"/>
      <w:sz w:val="24"/>
    </w:rPr>
  </w:style>
  <w:style w:type="paragraph" w:customStyle="1" w:styleId="199">
    <w:name w:val="Char Char1 Char Char Char Char Char Char Char Char Char Char Char Char Char Char Char Char Char Char Char Char1 Char"/>
    <w:basedOn w:val="1"/>
    <w:qFormat/>
    <w:uiPriority w:val="99"/>
    <w:pPr>
      <w:spacing w:line="360" w:lineRule="auto"/>
      <w:ind w:firstLine="200" w:firstLineChars="200"/>
    </w:pPr>
    <w:rPr>
      <w:rFonts w:ascii="宋体" w:hAnsi="宋体" w:cs="宋体"/>
      <w:sz w:val="24"/>
    </w:rPr>
  </w:style>
  <w:style w:type="paragraph" w:customStyle="1" w:styleId="200">
    <w:name w:val="样式 标题 2 + 黑体 四号 非加粗"/>
    <w:basedOn w:val="4"/>
    <w:qFormat/>
    <w:uiPriority w:val="99"/>
    <w:pPr>
      <w:spacing w:before="0" w:after="0"/>
      <w:ind w:left="100" w:leftChars="100" w:right="100" w:rightChars="100"/>
      <w:jc w:val="left"/>
    </w:pPr>
    <w:rPr>
      <w:rFonts w:ascii="黑体" w:hAnsi="黑体" w:eastAsia="宋体"/>
      <w:b w:val="0"/>
      <w:bCs w:val="0"/>
      <w:sz w:val="28"/>
    </w:rPr>
  </w:style>
  <w:style w:type="paragraph" w:customStyle="1" w:styleId="201">
    <w:name w:val="Char Char Char Char Char Char Char Char Char Char Char Char Char Char Char Char Char Char Char"/>
    <w:basedOn w:val="1"/>
    <w:qFormat/>
    <w:uiPriority w:val="99"/>
    <w:rPr>
      <w:sz w:val="24"/>
    </w:rPr>
  </w:style>
  <w:style w:type="paragraph" w:customStyle="1" w:styleId="202">
    <w:name w:val="标题3 Char Char Char Char"/>
    <w:basedOn w:val="1"/>
    <w:qFormat/>
    <w:uiPriority w:val="99"/>
    <w:pPr>
      <w:spacing w:afterLines="50" w:line="560" w:lineRule="exact"/>
    </w:pPr>
    <w:rPr>
      <w:rFonts w:eastAsia="黑体"/>
      <w:sz w:val="30"/>
      <w:szCs w:val="30"/>
    </w:rPr>
  </w:style>
  <w:style w:type="paragraph" w:customStyle="1" w:styleId="203">
    <w:name w:val="4 Char Char"/>
    <w:basedOn w:val="1"/>
    <w:qFormat/>
    <w:uiPriority w:val="99"/>
    <w:pPr>
      <w:autoSpaceDE w:val="0"/>
      <w:autoSpaceDN w:val="0"/>
      <w:adjustRightInd w:val="0"/>
      <w:snapToGrid w:val="0"/>
      <w:spacing w:line="360" w:lineRule="auto"/>
      <w:ind w:firstLine="567"/>
      <w:jc w:val="left"/>
    </w:pPr>
    <w:rPr>
      <w:sz w:val="28"/>
    </w:rPr>
  </w:style>
  <w:style w:type="paragraph" w:customStyle="1" w:styleId="204">
    <w:name w:val="Char Char Char1 Char Char Char Char Char Char Char Char Char Char Char Char Char Char Char Char Char Char Char"/>
    <w:basedOn w:val="1"/>
    <w:qFormat/>
    <w:uiPriority w:val="99"/>
    <w:pPr>
      <w:spacing w:line="360" w:lineRule="auto"/>
      <w:ind w:firstLine="200" w:firstLineChars="200"/>
    </w:pPr>
    <w:rPr>
      <w:rFonts w:ascii="宋体" w:hAnsi="宋体" w:cs="宋体"/>
      <w:sz w:val="24"/>
    </w:rPr>
  </w:style>
  <w:style w:type="paragraph" w:customStyle="1" w:styleId="205">
    <w:name w:val="表格正文"/>
    <w:basedOn w:val="1"/>
    <w:qFormat/>
    <w:uiPriority w:val="0"/>
    <w:pPr>
      <w:spacing w:line="360" w:lineRule="exact"/>
      <w:jc w:val="center"/>
    </w:pPr>
    <w:rPr>
      <w:rFonts w:ascii="Arial" w:hAnsi="Arial"/>
    </w:rPr>
  </w:style>
  <w:style w:type="paragraph" w:customStyle="1" w:styleId="206">
    <w:name w:val="表格式"/>
    <w:basedOn w:val="31"/>
    <w:qFormat/>
    <w:uiPriority w:val="99"/>
    <w:pPr>
      <w:spacing w:beforeLines="50" w:afterLines="50" w:line="200" w:lineRule="exact"/>
      <w:ind w:left="0" w:firstLine="0" w:firstLineChars="0"/>
      <w:jc w:val="center"/>
    </w:pPr>
    <w:rPr>
      <w:sz w:val="21"/>
    </w:rPr>
  </w:style>
  <w:style w:type="paragraph" w:customStyle="1" w:styleId="207">
    <w:name w:val="Char2"/>
    <w:basedOn w:val="1"/>
    <w:qFormat/>
    <w:uiPriority w:val="0"/>
    <w:pPr>
      <w:spacing w:beforeLines="100" w:afterLines="50" w:line="600" w:lineRule="exact"/>
      <w:ind w:firstLine="200" w:firstLineChars="200"/>
    </w:pPr>
  </w:style>
  <w:style w:type="paragraph" w:customStyle="1" w:styleId="208">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209">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cs="宋体"/>
      <w:sz w:val="24"/>
    </w:rPr>
  </w:style>
  <w:style w:type="paragraph" w:customStyle="1" w:styleId="210">
    <w:name w:val="xl31"/>
    <w:basedOn w:val="1"/>
    <w:qFormat/>
    <w:uiPriority w:val="99"/>
    <w:pPr>
      <w:widowControl/>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211">
    <w:name w:val="Char11"/>
    <w:basedOn w:val="1"/>
    <w:qFormat/>
    <w:uiPriority w:val="99"/>
    <w:pPr>
      <w:spacing w:beforeLines="100" w:afterLines="50" w:line="600" w:lineRule="exact"/>
      <w:ind w:firstLine="200" w:firstLineChars="200"/>
    </w:pPr>
    <w:rPr>
      <w:szCs w:val="20"/>
    </w:rPr>
  </w:style>
  <w:style w:type="paragraph" w:customStyle="1" w:styleId="212">
    <w:name w:val="Char Char Char1 Char Char Char Char Char Char Char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213">
    <w:name w:val="样式 首行缩进:  2 字符"/>
    <w:basedOn w:val="1"/>
    <w:qFormat/>
    <w:uiPriority w:val="99"/>
    <w:pPr>
      <w:autoSpaceDE w:val="0"/>
      <w:autoSpaceDN w:val="0"/>
      <w:adjustRightInd w:val="0"/>
      <w:snapToGrid w:val="0"/>
      <w:spacing w:line="520" w:lineRule="exact"/>
    </w:pPr>
    <w:rPr>
      <w:rFonts w:ascii="宋体" w:hAnsi="宋体"/>
      <w:kern w:val="0"/>
      <w:sz w:val="24"/>
    </w:rPr>
  </w:style>
  <w:style w:type="paragraph" w:customStyle="1" w:styleId="214">
    <w:name w:val="正文2"/>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paragraph" w:customStyle="1" w:styleId="215">
    <w:name w:val="Char Char Char Char1 Char Char Char Char Char Char Char Char Char"/>
    <w:basedOn w:val="1"/>
    <w:qFormat/>
    <w:uiPriority w:val="99"/>
    <w:rPr>
      <w:rFonts w:ascii="Calibri" w:hAnsi="Calibri"/>
    </w:rPr>
  </w:style>
  <w:style w:type="paragraph" w:customStyle="1" w:styleId="216">
    <w:name w:val="Char Char Char Char Char Char Char Char Char Char Char Char Char Char Char Char Char Char Char Char Char Char Char Char"/>
    <w:basedOn w:val="1"/>
    <w:qFormat/>
    <w:uiPriority w:val="0"/>
  </w:style>
  <w:style w:type="paragraph" w:customStyle="1" w:styleId="217">
    <w:name w:val="流程图"/>
    <w:basedOn w:val="1"/>
    <w:qFormat/>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218">
    <w:name w:val="正文缩进1"/>
    <w:basedOn w:val="1"/>
    <w:qFormat/>
    <w:uiPriority w:val="0"/>
    <w:pPr>
      <w:spacing w:line="365" w:lineRule="atLeast"/>
      <w:ind w:firstLine="420" w:firstLineChars="200"/>
      <w:textAlignment w:val="bottom"/>
    </w:pPr>
    <w:rPr>
      <w:rFonts w:hint="eastAsia"/>
      <w:kern w:val="0"/>
      <w:sz w:val="20"/>
      <w:szCs w:val="20"/>
    </w:rPr>
  </w:style>
  <w:style w:type="paragraph" w:customStyle="1" w:styleId="219">
    <w:name w:val="Char Char Char Char Char Char Char"/>
    <w:basedOn w:val="1"/>
    <w:qFormat/>
    <w:uiPriority w:val="0"/>
    <w:rPr>
      <w:szCs w:val="21"/>
    </w:rPr>
  </w:style>
  <w:style w:type="paragraph" w:customStyle="1" w:styleId="220">
    <w:name w:val="Char Char6 Char Char1"/>
    <w:basedOn w:val="1"/>
    <w:qFormat/>
    <w:uiPriority w:val="0"/>
    <w:pPr>
      <w:spacing w:beforeLines="100" w:afterLines="50" w:line="600" w:lineRule="exact"/>
      <w:ind w:firstLine="200" w:firstLineChars="200"/>
    </w:pPr>
  </w:style>
  <w:style w:type="paragraph" w:customStyle="1" w:styleId="221">
    <w:name w:val="标题3"/>
    <w:basedOn w:val="5"/>
    <w:next w:val="1"/>
    <w:qFormat/>
    <w:uiPriority w:val="0"/>
    <w:pPr>
      <w:spacing w:before="80" w:after="80" w:line="416" w:lineRule="atLeast"/>
      <w:ind w:firstLine="561" w:firstLineChars="200"/>
    </w:pPr>
    <w:rPr>
      <w:rFonts w:eastAsia="楷体_GB2312"/>
      <w:b w:val="0"/>
      <w:sz w:val="28"/>
    </w:rPr>
  </w:style>
  <w:style w:type="paragraph" w:customStyle="1" w:styleId="222">
    <w:name w:val="Char Char Char Char Char Char Char Char Char Char Char Char Char Char Char Char Char Char Char1"/>
    <w:basedOn w:val="1"/>
    <w:qFormat/>
    <w:uiPriority w:val="0"/>
    <w:rPr>
      <w:sz w:val="24"/>
    </w:rPr>
  </w:style>
  <w:style w:type="paragraph" w:customStyle="1" w:styleId="223">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24">
    <w:name w:val="Char Char1 Char Char Char Char Char Char Char"/>
    <w:basedOn w:val="1"/>
    <w:qFormat/>
    <w:uiPriority w:val="0"/>
    <w:pPr>
      <w:spacing w:line="520" w:lineRule="exact"/>
      <w:ind w:firstLine="200" w:firstLineChars="200"/>
    </w:pPr>
    <w:rPr>
      <w:sz w:val="24"/>
    </w:rPr>
  </w:style>
  <w:style w:type="paragraph" w:customStyle="1" w:styleId="225">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226">
    <w:name w:val="正文缩进11"/>
    <w:basedOn w:val="1"/>
    <w:qFormat/>
    <w:uiPriority w:val="0"/>
    <w:pPr>
      <w:spacing w:line="365" w:lineRule="atLeast"/>
      <w:ind w:firstLine="420" w:firstLineChars="200"/>
      <w:textAlignment w:val="bottom"/>
    </w:pPr>
    <w:rPr>
      <w:rFonts w:hint="eastAsia"/>
      <w:kern w:val="0"/>
      <w:sz w:val="20"/>
      <w:szCs w:val="20"/>
    </w:rPr>
  </w:style>
  <w:style w:type="paragraph" w:customStyle="1" w:styleId="227">
    <w:name w:val="正文21"/>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paragraph" w:customStyle="1" w:styleId="228">
    <w:name w:val="B标题(2级)"/>
    <w:basedOn w:val="1"/>
    <w:qFormat/>
    <w:uiPriority w:val="0"/>
    <w:pPr>
      <w:tabs>
        <w:tab w:val="left" w:pos="1260"/>
      </w:tabs>
      <w:ind w:left="1260" w:hanging="420"/>
    </w:pPr>
  </w:style>
  <w:style w:type="paragraph" w:customStyle="1" w:styleId="229">
    <w:name w:val="Char Char61"/>
    <w:basedOn w:val="1"/>
    <w:qFormat/>
    <w:uiPriority w:val="0"/>
    <w:pPr>
      <w:spacing w:beforeLines="100" w:afterLines="50" w:line="600" w:lineRule="exact"/>
      <w:ind w:firstLine="200" w:firstLineChars="200"/>
    </w:pPr>
  </w:style>
  <w:style w:type="table" w:customStyle="1" w:styleId="230">
    <w:name w:val="专业型111"/>
    <w:basedOn w:val="4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31">
    <w:name w:val="专业型11"/>
    <w:basedOn w:val="4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32">
    <w:name w:val="列表型 71"/>
    <w:basedOn w:val="44"/>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33">
    <w:name w:val="网格型3"/>
    <w:basedOn w:val="4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34">
    <w:name w:val="专业型3"/>
    <w:basedOn w:val="4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35">
    <w:name w:val="列表型 7111"/>
    <w:basedOn w:val="44"/>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36">
    <w:name w:val="专业型21"/>
    <w:basedOn w:val="4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37">
    <w:name w:val="列表型 721"/>
    <w:basedOn w:val="44"/>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38">
    <w:name w:val="专业型12"/>
    <w:basedOn w:val="4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39">
    <w:name w:val="专业型13"/>
    <w:basedOn w:val="4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40">
    <w:name w:val="列表型 72"/>
    <w:basedOn w:val="44"/>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41">
    <w:name w:val="列表型 73"/>
    <w:basedOn w:val="44"/>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42">
    <w:name w:val="列表型 712"/>
    <w:basedOn w:val="44"/>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43">
    <w:name w:val="网格型2"/>
    <w:basedOn w:val="4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44">
    <w:name w:val="专业型2"/>
    <w:basedOn w:val="4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45">
    <w:name w:val="网格型1"/>
    <w:basedOn w:val="44"/>
    <w:qFormat/>
    <w:uiPriority w:val="0"/>
    <w:pPr>
      <w:widowControl w:val="0"/>
      <w:jc w:val="both"/>
    </w:pPr>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style>
  <w:style w:type="table" w:customStyle="1" w:styleId="246">
    <w:name w:val="专业型1"/>
    <w:basedOn w:val="4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47">
    <w:name w:val="列表型 711"/>
    <w:basedOn w:val="44"/>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48">
    <w:name w:val="列表型 713"/>
    <w:basedOn w:val="44"/>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paragraph" w:customStyle="1" w:styleId="249">
    <w:name w:val="_Style 58"/>
    <w:basedOn w:val="1"/>
    <w:next w:val="1"/>
    <w:qFormat/>
    <w:uiPriority w:val="0"/>
    <w:rPr>
      <w:rFonts w:ascii="Calibri" w:hAnsi="Calibri"/>
      <w:szCs w:val="22"/>
    </w:rPr>
  </w:style>
  <w:style w:type="character" w:customStyle="1" w:styleId="250">
    <w:name w:val="标题 1 Char2"/>
    <w:basedOn w:val="49"/>
    <w:qFormat/>
    <w:uiPriority w:val="0"/>
    <w:rPr>
      <w:b/>
      <w:bCs/>
      <w:kern w:val="44"/>
      <w:sz w:val="44"/>
      <w:szCs w:val="44"/>
    </w:rPr>
  </w:style>
  <w:style w:type="character" w:customStyle="1" w:styleId="251">
    <w:name w:val="标题 2 Char1"/>
    <w:basedOn w:val="49"/>
    <w:semiHidden/>
    <w:qFormat/>
    <w:uiPriority w:val="0"/>
    <w:rPr>
      <w:rFonts w:asciiTheme="majorHAnsi" w:hAnsiTheme="majorHAnsi" w:eastAsiaTheme="majorEastAsia" w:cstheme="majorBidi"/>
      <w:b/>
      <w:bCs/>
      <w:kern w:val="2"/>
      <w:sz w:val="32"/>
      <w:szCs w:val="32"/>
    </w:rPr>
  </w:style>
  <w:style w:type="character" w:customStyle="1" w:styleId="252">
    <w:name w:val="标题 3 Char1"/>
    <w:basedOn w:val="49"/>
    <w:semiHidden/>
    <w:qFormat/>
    <w:uiPriority w:val="0"/>
    <w:rPr>
      <w:b/>
      <w:bCs/>
      <w:kern w:val="2"/>
      <w:sz w:val="32"/>
      <w:szCs w:val="32"/>
    </w:rPr>
  </w:style>
  <w:style w:type="character" w:customStyle="1" w:styleId="253">
    <w:name w:val="标题 4 Char1"/>
    <w:basedOn w:val="49"/>
    <w:semiHidden/>
    <w:qFormat/>
    <w:uiPriority w:val="0"/>
    <w:rPr>
      <w:rFonts w:asciiTheme="majorHAnsi" w:hAnsiTheme="majorHAnsi" w:eastAsiaTheme="majorEastAsia" w:cstheme="majorBidi"/>
      <w:b/>
      <w:bCs/>
      <w:kern w:val="2"/>
      <w:sz w:val="28"/>
      <w:szCs w:val="28"/>
    </w:rPr>
  </w:style>
  <w:style w:type="character" w:customStyle="1" w:styleId="254">
    <w:name w:val="页眉 Char1"/>
    <w:basedOn w:val="49"/>
    <w:semiHidden/>
    <w:qFormat/>
    <w:uiPriority w:val="99"/>
    <w:rPr>
      <w:kern w:val="2"/>
      <w:sz w:val="18"/>
      <w:szCs w:val="18"/>
    </w:rPr>
  </w:style>
  <w:style w:type="character" w:customStyle="1" w:styleId="255">
    <w:name w:val="批注文字 Char1"/>
    <w:basedOn w:val="49"/>
    <w:qFormat/>
    <w:uiPriority w:val="0"/>
    <w:rPr>
      <w:kern w:val="2"/>
      <w:sz w:val="21"/>
      <w:szCs w:val="24"/>
    </w:rPr>
  </w:style>
  <w:style w:type="character" w:customStyle="1" w:styleId="256">
    <w:name w:val="普通(网站) Char"/>
    <w:qFormat/>
    <w:locked/>
    <w:uiPriority w:val="1"/>
    <w:rPr>
      <w:rFonts w:ascii="Calibri" w:hAnsi="Calibri"/>
      <w:sz w:val="22"/>
      <w:szCs w:val="22"/>
    </w:rPr>
  </w:style>
  <w:style w:type="paragraph" w:customStyle="1" w:styleId="257">
    <w:name w:val="列出段落2"/>
    <w:basedOn w:val="1"/>
    <w:qFormat/>
    <w:uiPriority w:val="99"/>
    <w:pPr>
      <w:ind w:firstLine="420" w:firstLineChars="200"/>
    </w:pPr>
  </w:style>
  <w:style w:type="character" w:customStyle="1" w:styleId="258">
    <w:name w:val="标题 Char1"/>
    <w:basedOn w:val="49"/>
    <w:qFormat/>
    <w:uiPriority w:val="0"/>
    <w:rPr>
      <w:rFonts w:asciiTheme="majorHAnsi" w:hAnsiTheme="majorHAnsi" w:cstheme="majorBidi"/>
      <w:b/>
      <w:bCs/>
      <w:kern w:val="2"/>
      <w:sz w:val="32"/>
      <w:szCs w:val="32"/>
    </w:rPr>
  </w:style>
  <w:style w:type="character" w:customStyle="1" w:styleId="259">
    <w:name w:val="3级标题 Char"/>
    <w:link w:val="260"/>
    <w:qFormat/>
    <w:locked/>
    <w:uiPriority w:val="0"/>
    <w:rPr>
      <w:rFonts w:ascii="楷体_GB2312" w:eastAsia="楷体_GB2312"/>
      <w:b/>
      <w:kern w:val="2"/>
      <w:sz w:val="24"/>
      <w:szCs w:val="24"/>
    </w:rPr>
  </w:style>
  <w:style w:type="paragraph" w:customStyle="1" w:styleId="260">
    <w:name w:val="3级标题"/>
    <w:basedOn w:val="1"/>
    <w:link w:val="259"/>
    <w:qFormat/>
    <w:uiPriority w:val="0"/>
    <w:pPr>
      <w:spacing w:line="360" w:lineRule="auto"/>
      <w:outlineLvl w:val="2"/>
    </w:pPr>
    <w:rPr>
      <w:rFonts w:ascii="楷体_GB2312" w:eastAsia="楷体_GB2312"/>
      <w:b/>
      <w:sz w:val="24"/>
    </w:rPr>
  </w:style>
  <w:style w:type="paragraph" w:customStyle="1" w:styleId="261">
    <w:name w:val="样式 样式 标题 3 + 楷体_GB2312 小四 段前: 7.8 磅 段后: 7.8 磅 行距: 固定值 25 磅 + 段前:..."/>
    <w:basedOn w:val="1"/>
    <w:qFormat/>
    <w:uiPriority w:val="99"/>
    <w:pPr>
      <w:keepNext/>
      <w:keepLines/>
      <w:adjustRightInd w:val="0"/>
      <w:snapToGrid w:val="0"/>
      <w:spacing w:before="156" w:after="156" w:line="360" w:lineRule="auto"/>
      <w:outlineLvl w:val="2"/>
    </w:pPr>
    <w:rPr>
      <w:rFonts w:cs="宋体"/>
      <w:b/>
      <w:bCs/>
      <w:sz w:val="24"/>
      <w:szCs w:val="20"/>
    </w:rPr>
  </w:style>
  <w:style w:type="character" w:customStyle="1" w:styleId="262">
    <w:name w:val="正文（环评） Char Char"/>
    <w:link w:val="263"/>
    <w:qFormat/>
    <w:locked/>
    <w:uiPriority w:val="0"/>
    <w:rPr>
      <w:spacing w:val="6"/>
      <w:kern w:val="2"/>
      <w:sz w:val="24"/>
      <w:szCs w:val="24"/>
    </w:rPr>
  </w:style>
  <w:style w:type="paragraph" w:customStyle="1" w:styleId="263">
    <w:name w:val="正文（环评）"/>
    <w:basedOn w:val="1"/>
    <w:link w:val="262"/>
    <w:qFormat/>
    <w:uiPriority w:val="0"/>
    <w:pPr>
      <w:spacing w:line="360" w:lineRule="auto"/>
      <w:ind w:firstLine="200" w:firstLineChars="200"/>
      <w:jc w:val="left"/>
    </w:pPr>
    <w:rPr>
      <w:spacing w:val="6"/>
      <w:sz w:val="24"/>
    </w:rPr>
  </w:style>
  <w:style w:type="character" w:customStyle="1" w:styleId="264">
    <w:name w:val="正文文本缩进 3 Char1"/>
    <w:basedOn w:val="49"/>
    <w:semiHidden/>
    <w:qFormat/>
    <w:uiPriority w:val="0"/>
    <w:rPr>
      <w:kern w:val="2"/>
      <w:sz w:val="16"/>
      <w:szCs w:val="16"/>
    </w:rPr>
  </w:style>
  <w:style w:type="character" w:customStyle="1" w:styleId="265">
    <w:name w:val="页脚 Char1"/>
    <w:basedOn w:val="49"/>
    <w:semiHidden/>
    <w:qFormat/>
    <w:uiPriority w:val="99"/>
    <w:rPr>
      <w:kern w:val="2"/>
      <w:sz w:val="18"/>
      <w:szCs w:val="18"/>
    </w:rPr>
  </w:style>
  <w:style w:type="character" w:customStyle="1" w:styleId="266">
    <w:name w:val="正文文本 2 Char1"/>
    <w:basedOn w:val="49"/>
    <w:semiHidden/>
    <w:qFormat/>
    <w:uiPriority w:val="0"/>
    <w:rPr>
      <w:kern w:val="2"/>
      <w:sz w:val="21"/>
      <w:szCs w:val="24"/>
    </w:rPr>
  </w:style>
  <w:style w:type="character" w:customStyle="1" w:styleId="267">
    <w:name w:val="正文文本缩进 Char1"/>
    <w:basedOn w:val="49"/>
    <w:semiHidden/>
    <w:qFormat/>
    <w:uiPriority w:val="0"/>
    <w:rPr>
      <w:kern w:val="2"/>
      <w:sz w:val="21"/>
      <w:szCs w:val="24"/>
    </w:rPr>
  </w:style>
  <w:style w:type="character" w:customStyle="1" w:styleId="268">
    <w:name w:val="批注框文本 Char1"/>
    <w:basedOn w:val="49"/>
    <w:semiHidden/>
    <w:qFormat/>
    <w:uiPriority w:val="0"/>
    <w:rPr>
      <w:kern w:val="2"/>
      <w:sz w:val="18"/>
      <w:szCs w:val="18"/>
    </w:rPr>
  </w:style>
  <w:style w:type="character" w:customStyle="1" w:styleId="269">
    <w:name w:val="批注主题 Char1"/>
    <w:basedOn w:val="255"/>
    <w:semiHidden/>
    <w:qFormat/>
    <w:uiPriority w:val="0"/>
    <w:rPr>
      <w:b/>
      <w:bCs/>
      <w:kern w:val="2"/>
      <w:sz w:val="21"/>
      <w:szCs w:val="24"/>
    </w:rPr>
  </w:style>
  <w:style w:type="character" w:customStyle="1" w:styleId="270">
    <w:name w:val="页码3"/>
    <w:basedOn w:val="49"/>
    <w:qFormat/>
    <w:uiPriority w:val="0"/>
  </w:style>
  <w:style w:type="character" w:customStyle="1" w:styleId="271">
    <w:name w:val="表格内容 Char"/>
    <w:basedOn w:val="49"/>
    <w:link w:val="272"/>
    <w:qFormat/>
    <w:locked/>
    <w:uiPriority w:val="0"/>
    <w:rPr>
      <w:sz w:val="21"/>
      <w:szCs w:val="21"/>
    </w:rPr>
  </w:style>
  <w:style w:type="paragraph" w:customStyle="1" w:styleId="272">
    <w:name w:val="表格内容"/>
    <w:basedOn w:val="110"/>
    <w:next w:val="1"/>
    <w:link w:val="271"/>
    <w:qFormat/>
    <w:uiPriority w:val="0"/>
    <w:pPr>
      <w:spacing w:line="240" w:lineRule="exact"/>
    </w:pPr>
    <w:rPr>
      <w:kern w:val="0"/>
      <w:szCs w:val="21"/>
    </w:rPr>
  </w:style>
  <w:style w:type="character" w:customStyle="1" w:styleId="273">
    <w:name w:val="表内格式 Char1"/>
    <w:link w:val="274"/>
    <w:qFormat/>
    <w:uiPriority w:val="0"/>
    <w:rPr>
      <w:kern w:val="2"/>
      <w:sz w:val="18"/>
    </w:rPr>
  </w:style>
  <w:style w:type="paragraph" w:customStyle="1" w:styleId="274">
    <w:name w:val="表内格式"/>
    <w:basedOn w:val="1"/>
    <w:link w:val="273"/>
    <w:qFormat/>
    <w:uiPriority w:val="0"/>
    <w:pPr>
      <w:jc w:val="center"/>
    </w:pPr>
    <w:rPr>
      <w:sz w:val="18"/>
      <w:szCs w:val="20"/>
    </w:rPr>
  </w:style>
  <w:style w:type="character" w:customStyle="1" w:styleId="275">
    <w:name w:val="正文首行缩进 2 Char"/>
    <w:basedOn w:val="76"/>
    <w:link w:val="43"/>
    <w:qFormat/>
    <w:uiPriority w:val="99"/>
    <w:rPr>
      <w:kern w:val="2"/>
      <w:sz w:val="21"/>
    </w:rPr>
  </w:style>
  <w:style w:type="paragraph" w:customStyle="1" w:styleId="276">
    <w:name w:val="Table Paragraph"/>
    <w:basedOn w:val="1"/>
    <w:qFormat/>
    <w:uiPriority w:val="1"/>
    <w:pPr>
      <w:widowControl/>
      <w:jc w:val="left"/>
    </w:pPr>
    <w:rPr>
      <w:rFonts w:ascii="宋体" w:hAnsi="宋体" w:cs="宋体"/>
      <w:kern w:val="0"/>
      <w:sz w:val="20"/>
      <w:szCs w:val="20"/>
      <w:lang w:val="zh-CN" w:bidi="zh-CN"/>
    </w:rPr>
  </w:style>
  <w:style w:type="paragraph" w:customStyle="1" w:styleId="277">
    <w:name w:val="Default"/>
    <w:qFormat/>
    <w:uiPriority w:val="0"/>
    <w:pPr>
      <w:widowControl w:val="0"/>
      <w:autoSpaceDE w:val="0"/>
      <w:autoSpaceDN w:val="0"/>
      <w:adjustRightInd w:val="0"/>
      <w:spacing w:line="520" w:lineRule="exact"/>
      <w:ind w:firstLine="880" w:firstLineChars="200"/>
    </w:pPr>
    <w:rPr>
      <w:rFonts w:ascii="宋体" w:hAnsi="宋体" w:eastAsia="宋体" w:cs="宋体"/>
      <w:color w:val="000000"/>
      <w:sz w:val="24"/>
      <w:szCs w:val="24"/>
      <w:lang w:val="en-US" w:eastAsia="zh-CN" w:bidi="ar-SA"/>
    </w:rPr>
  </w:style>
  <w:style w:type="paragraph" w:customStyle="1" w:styleId="278">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279">
    <w:name w:val="镇里正文"/>
    <w:basedOn w:val="1"/>
    <w:qFormat/>
    <w:uiPriority w:val="0"/>
    <w:pPr>
      <w:spacing w:line="480" w:lineRule="exact"/>
      <w:ind w:firstLine="480" w:firstLineChars="200"/>
      <w:jc w:val="left"/>
    </w:pPr>
    <w:rPr>
      <w:rFonts w:ascii="Times New Roman" w:hAnsi="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1.jpeg"/><Relationship Id="rId54" Type="http://schemas.openxmlformats.org/officeDocument/2006/relationships/image" Target="media/image40.png"/><Relationship Id="rId53" Type="http://schemas.openxmlformats.org/officeDocument/2006/relationships/hyperlink" Target="http://www.biaozhi.net/eNews/news/200602/0030_0000002014.shtml" TargetMode="External"/><Relationship Id="rId52" Type="http://schemas.openxmlformats.org/officeDocument/2006/relationships/image" Target="media/image39.jpeg"/><Relationship Id="rId51" Type="http://schemas.openxmlformats.org/officeDocument/2006/relationships/hyperlink" Target="http://www.biaozhi.net/eNews/news/200602/0029_0000000909.shtml" TargetMode="External"/><Relationship Id="rId50" Type="http://schemas.openxmlformats.org/officeDocument/2006/relationships/image" Target="media/image38.jpeg"/><Relationship Id="rId5" Type="http://schemas.openxmlformats.org/officeDocument/2006/relationships/header" Target="header1.xml"/><Relationship Id="rId49" Type="http://schemas.openxmlformats.org/officeDocument/2006/relationships/hyperlink" Target="http://www.biaozhi.net/eNews/news/200602/0029_0000000907.shtml" TargetMode="External"/><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wmf"/><Relationship Id="rId44" Type="http://schemas.openxmlformats.org/officeDocument/2006/relationships/oleObject" Target="embeddings/oleObject3.bin"/><Relationship Id="rId43" Type="http://schemas.openxmlformats.org/officeDocument/2006/relationships/image" Target="media/image33.png"/><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footer" Target="foot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wmf"/><Relationship Id="rId36" Type="http://schemas.openxmlformats.org/officeDocument/2006/relationships/image" Target="media/image26.emf"/><Relationship Id="rId35" Type="http://schemas.openxmlformats.org/officeDocument/2006/relationships/image" Target="media/image25.emf"/><Relationship Id="rId34" Type="http://schemas.openxmlformats.org/officeDocument/2006/relationships/image" Target="media/image24.emf"/><Relationship Id="rId33" Type="http://schemas.openxmlformats.org/officeDocument/2006/relationships/image" Target="media/image23.emf"/><Relationship Id="rId32" Type="http://schemas.openxmlformats.org/officeDocument/2006/relationships/image" Target="media/image22.emf"/><Relationship Id="rId31" Type="http://schemas.openxmlformats.org/officeDocument/2006/relationships/image" Target="media/image21.wmf"/><Relationship Id="rId30" Type="http://schemas.openxmlformats.org/officeDocument/2006/relationships/oleObject" Target="embeddings/oleObject2.bin"/><Relationship Id="rId3" Type="http://schemas.openxmlformats.org/officeDocument/2006/relationships/footer" Target="footer1.xml"/><Relationship Id="rId29" Type="http://schemas.openxmlformats.org/officeDocument/2006/relationships/image" Target="media/image20.wmf"/><Relationship Id="rId28" Type="http://schemas.openxmlformats.org/officeDocument/2006/relationships/oleObject" Target="embeddings/oleObject1.bin"/><Relationship Id="rId27" Type="http://schemas.openxmlformats.org/officeDocument/2006/relationships/chart" Target="charts/chart1.xml"/><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GIF"/><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470588235294"/>
          <c:y val="0.103734439834025"/>
          <c:w val="0.709803921568628"/>
          <c:h val="0.75103734439834"/>
        </c:manualLayout>
      </c:layout>
      <c:radarChart>
        <c:radarStyle val="filled"/>
        <c:varyColors val="0"/>
        <c:ser>
          <c:idx val="0"/>
          <c:order val="0"/>
          <c:tx>
            <c:strRef>
              <c:f>Sheet1!$A$2</c:f>
              <c:strCache>
                <c:ptCount val="1"/>
                <c:pt idx="0">
                  <c:v>2004</c:v>
                </c:pt>
              </c:strCache>
            </c:strRef>
          </c:tx>
          <c:spPr>
            <a:solidFill>
              <a:srgbClr val="CCFFFF"/>
            </a:solidFill>
            <a:ln w="12576">
              <a:solidFill>
                <a:srgbClr val="000000"/>
              </a:solidFill>
              <a:prstDash val="solid"/>
            </a:ln>
          </c:spPr>
          <c:dLbls>
            <c:delete val="1"/>
          </c:dLbls>
          <c:cat>
            <c:strRef>
              <c:f>Sheet1!$B$1:$Q$1</c:f>
              <c:strCache>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Cache>
            </c:strRef>
          </c:cat>
          <c:val>
            <c:numRef>
              <c:f>Sheet1!$B$2:$Q$2</c:f>
              <c:numCache>
                <c:formatCode>General</c:formatCode>
                <c:ptCount val="16"/>
                <c:pt idx="0">
                  <c:v>8.67</c:v>
                </c:pt>
                <c:pt idx="1">
                  <c:v>5.58</c:v>
                </c:pt>
                <c:pt idx="2">
                  <c:v>5.33</c:v>
                </c:pt>
                <c:pt idx="3">
                  <c:v>5.84</c:v>
                </c:pt>
                <c:pt idx="4">
                  <c:v>4.5</c:v>
                </c:pt>
                <c:pt idx="5">
                  <c:v>5.27</c:v>
                </c:pt>
                <c:pt idx="6">
                  <c:v>6.17</c:v>
                </c:pt>
                <c:pt idx="7">
                  <c:v>5.85</c:v>
                </c:pt>
                <c:pt idx="8">
                  <c:v>7.58</c:v>
                </c:pt>
                <c:pt idx="9">
                  <c:v>7.45</c:v>
                </c:pt>
                <c:pt idx="10">
                  <c:v>5.43</c:v>
                </c:pt>
                <c:pt idx="11">
                  <c:v>2.98</c:v>
                </c:pt>
                <c:pt idx="12">
                  <c:v>2.08</c:v>
                </c:pt>
                <c:pt idx="13">
                  <c:v>4.03</c:v>
                </c:pt>
                <c:pt idx="14">
                  <c:v>5.18</c:v>
                </c:pt>
                <c:pt idx="15">
                  <c:v>5.58</c:v>
                </c:pt>
              </c:numCache>
            </c:numRef>
          </c:val>
        </c:ser>
        <c:dLbls>
          <c:showLegendKey val="0"/>
          <c:showVal val="0"/>
          <c:showCatName val="0"/>
          <c:showSerName val="0"/>
          <c:showPercent val="0"/>
          <c:showBubbleSize val="0"/>
        </c:dLbls>
        <c:axId val="199890048"/>
        <c:axId val="199891584"/>
      </c:radarChart>
      <c:catAx>
        <c:axId val="199890048"/>
        <c:scaling>
          <c:orientation val="minMax"/>
        </c:scaling>
        <c:delete val="0"/>
        <c:axPos val="b"/>
        <c:majorGridlines>
          <c:spPr>
            <a:ln w="3144" cap="flat" cmpd="sng" algn="ctr">
              <a:solidFill>
                <a:srgbClr val="000000"/>
              </a:solidFill>
              <a:prstDash val="solid"/>
              <a:round/>
            </a:ln>
          </c:spPr>
        </c:majorGridlines>
        <c:numFmt formatCode="General" sourceLinked="1"/>
        <c:majorTickMark val="out"/>
        <c:minorTickMark val="none"/>
        <c:tickLblPos val="nextTo"/>
        <c:txPr>
          <a:bodyPr rot="0" spcFirstLastPara="0" vertOverflow="ellipsis" vert="horz" wrap="square" anchor="ctr" anchorCtr="1"/>
          <a:lstStyle/>
          <a:p>
            <a:pPr>
              <a:defRPr lang="zh-CN" sz="790" b="0" i="0" u="none" strike="noStrike" kern="1200" baseline="0">
                <a:solidFill>
                  <a:srgbClr val="000000"/>
                </a:solidFill>
                <a:latin typeface="Times New Roman" panose="02020603050405020304"/>
                <a:ea typeface="Times New Roman" panose="02020603050405020304"/>
                <a:cs typeface="Times New Roman" panose="02020603050405020304"/>
              </a:defRPr>
            </a:pPr>
          </a:p>
        </c:txPr>
        <c:crossAx val="199891584"/>
        <c:crosses val="autoZero"/>
        <c:auto val="0"/>
        <c:lblAlgn val="ctr"/>
        <c:lblOffset val="100"/>
        <c:noMultiLvlLbl val="0"/>
      </c:catAx>
      <c:valAx>
        <c:axId val="199891584"/>
        <c:scaling>
          <c:orientation val="minMax"/>
        </c:scaling>
        <c:delete val="0"/>
        <c:axPos val="l"/>
        <c:numFmt formatCode="General" sourceLinked="1"/>
        <c:majorTickMark val="cross"/>
        <c:minorTickMark val="none"/>
        <c:tickLblPos val="nextTo"/>
        <c:spPr>
          <a:ln w="3144" cap="flat" cmpd="sng" algn="ctr">
            <a:solidFill>
              <a:srgbClr val="000000"/>
            </a:solidFill>
            <a:prstDash val="solid"/>
            <a:round/>
          </a:ln>
        </c:spPr>
        <c:txPr>
          <a:bodyPr rot="0" spcFirstLastPara="0" vertOverflow="ellipsis" vert="horz" wrap="square" anchor="ctr" anchorCtr="1"/>
          <a:lstStyle/>
          <a:p>
            <a:pPr>
              <a:defRPr lang="zh-CN" sz="790" b="0" i="0" u="none" strike="noStrike" kern="1200" baseline="0">
                <a:solidFill>
                  <a:srgbClr val="000000"/>
                </a:solidFill>
                <a:latin typeface="Arial Narrow" panose="020B0606020202030204"/>
                <a:ea typeface="Arial Narrow" panose="020B0606020202030204"/>
                <a:cs typeface="Arial Narrow" panose="020B0606020202030204"/>
              </a:defRPr>
            </a:pPr>
          </a:p>
        </c:txPr>
        <c:crossAx val="199890048"/>
        <c:crosses val="autoZero"/>
        <c:crossBetween val="between"/>
      </c:valAx>
      <c:spPr>
        <a:noFill/>
        <a:ln w="25151">
          <a:noFill/>
        </a:ln>
      </c:spPr>
    </c:plotArea>
    <c:plotVisOnly val="1"/>
    <c:dispBlanksAs val="gap"/>
    <c:showDLblsOverMax val="0"/>
  </c:chart>
  <c:spPr>
    <a:solidFill>
      <a:srgbClr val="FFFFFF"/>
    </a:solidFill>
    <a:ln w="9525" cap="flat" cmpd="sng" algn="ctr">
      <a:noFill/>
      <a:prstDash val="solid"/>
      <a:round/>
    </a:ln>
  </c:spPr>
  <c:txPr>
    <a:bodyPr/>
    <a:lstStyle/>
    <a:p>
      <a:pPr>
        <a:defRPr lang="zh-CN" sz="790" b="0" i="0" u="none" strike="noStrike" baseline="0">
          <a:solidFill>
            <a:srgbClr val="000000"/>
          </a:solidFill>
          <a:latin typeface="仿宋_GB2312"/>
          <a:ea typeface="仿宋_GB2312"/>
          <a:cs typeface="仿宋_GB231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73" textRotate="1"/>
    <customShpInfo spid="_x0000_s2068"/>
    <customShpInfo spid="_x0000_s3731"/>
    <customShpInfo spid="_x0000_s3928"/>
    <customShpInfo spid="_x0000_s4397"/>
    <customShpInfo spid="_x0000_s3929"/>
    <customShpInfo spid="_x0000_s3750"/>
    <customShpInfo spid="_x0000_s3252"/>
    <customShpInfo spid="_x0000_s3248"/>
    <customShpInfo spid="_x0000_s3250"/>
    <customShpInfo spid="_x0000_s3251"/>
    <customShpInfo spid="_x0000_s3253"/>
    <customShpInfo spid="_x0000_s3249"/>
    <customShpInfo spid="_x0000_s3264"/>
    <customShpInfo spid="_x0000_s3254"/>
    <customShpInfo spid="_x0000_s3255"/>
    <customShpInfo spid="_x0000_s3257"/>
    <customShpInfo spid="_x0000_s3256"/>
    <customShpInfo spid="_x0000_s3259"/>
    <customShpInfo spid="_x0000_s3258"/>
    <customShpInfo spid="_x0000_s3261"/>
    <customShpInfo spid="_x0000_s3271"/>
    <customShpInfo spid="_x0000_s3268"/>
    <customShpInfo spid="_x0000_s3267"/>
    <customShpInfo spid="_x0000_s3266"/>
    <customShpInfo spid="_x0000_s3260"/>
    <customShpInfo spid="_x0000_s3262"/>
    <customShpInfo spid="_x0000_s3272"/>
    <customShpInfo spid="_x0000_s3270"/>
    <customShpInfo spid="_x0000_s3269"/>
    <customShpInfo spid="_x0000_s3265"/>
    <customShpInfo spid="_x0000_s3263"/>
    <customShpInfo spid="_x0000_s4398"/>
    <customShpInfo spid="_x0000_s4391"/>
    <customShpInfo spid="_x0000_s4434"/>
    <customShpInfo spid="_x0000_s4449"/>
    <customShpInfo spid="_x0000_s4433"/>
    <customShpInfo spid="_x0000_s4435"/>
    <customShpInfo spid="_x0000_s4437"/>
    <customShpInfo spid="_x0000_s4439"/>
    <customShpInfo spid="_x0000_s4440"/>
    <customShpInfo spid="_x0000_s4441"/>
    <customShpInfo spid="_x0000_s4442"/>
    <customShpInfo spid="_x0000_s4443"/>
    <customShpInfo spid="_x0000_s4444"/>
    <customShpInfo spid="_x0000_s4445"/>
    <customShpInfo spid="_x0000_s4446"/>
    <customShpInfo spid="_x0000_s4447"/>
    <customShpInfo spid="_x0000_s4448"/>
    <customShpInfo spid="_x0000_s4450"/>
    <customShpInfo spid="_x0000_s4451"/>
    <customShpInfo spid="_x0000_s4453"/>
    <customShpInfo spid="_x0000_s4438"/>
    <customShpInfo spid="_x0000_s4456"/>
    <customShpInfo spid="_x0000_s4452"/>
    <customShpInfo spid="_x0000_s4436"/>
    <customShpInfo spid="_x0000_s4457"/>
    <customShpInfo spid="_x0000_s4454"/>
    <customShpInfo spid="_x0000_s4455"/>
    <customShpInfo spid="_x0000_s4428"/>
    <customShpInfo spid="_x0000_s4393"/>
    <customShpInfo spid="_x0000_s4392"/>
    <customShpInfo spid="_x0000_s3496"/>
    <customShpInfo spid="_x0000_s3736"/>
    <customShpInfo spid="_x0000_s3436"/>
    <customShpInfo spid="_x0000_s3743"/>
    <customShpInfo spid="_x0000_s3744"/>
    <customShpInfo spid="_x0000_s3745"/>
    <customShpInfo spid="_x0000_s3746"/>
    <customShpInfo spid="_x0000_s3476"/>
    <customShpInfo spid="_x0000_s373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B55147-88EC-4DC6-B94F-1BE32D746047}">
  <ds:schemaRefs/>
</ds:datastoreItem>
</file>

<file path=docProps/app.xml><?xml version="1.0" encoding="utf-8"?>
<Properties xmlns="http://schemas.openxmlformats.org/officeDocument/2006/extended-properties" xmlns:vt="http://schemas.openxmlformats.org/officeDocument/2006/docPropsVTypes">
  <Template>Normal.dotm</Template>
  <Company>中国石油大学</Company>
  <Pages>1</Pages>
  <Words>21850</Words>
  <Characters>124545</Characters>
  <Lines>1037</Lines>
  <Paragraphs>292</Paragraphs>
  <TotalTime>0</TotalTime>
  <ScaleCrop>false</ScaleCrop>
  <LinksUpToDate>false</LinksUpToDate>
  <CharactersWithSpaces>146103</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2019-10-29T10:00:00Z</dcterms:created>
  <dc:creator>zhaoxinlei</dc:creator>
  <cp:lastModifiedBy>ll</cp:lastModifiedBy>
  <cp:lastPrinted>2019-10-10T03:44:00Z</cp:lastPrinted>
  <dcterms:modified xsi:type="dcterms:W3CDTF">2020-01-06T03:42:55Z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